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732B7" w14:textId="77777777" w:rsidR="00570C0D" w:rsidRDefault="00570C0D"/>
    <w:p w14:paraId="76E15531" w14:textId="77777777" w:rsidR="00570C0D" w:rsidRDefault="00570C0D"/>
    <w:p w14:paraId="3D8E3A47" w14:textId="77777777" w:rsidR="00570C0D" w:rsidRDefault="00570C0D"/>
    <w:p w14:paraId="145E8AD7" w14:textId="77777777" w:rsidR="00570C0D" w:rsidRDefault="00000000">
      <w:pPr>
        <w:jc w:val="center"/>
      </w:pPr>
      <w:r>
        <w:rPr>
          <w:b/>
          <w:sz w:val="28"/>
        </w:rPr>
        <w:t>Московский государственный университет имени М.В. Ломоносова</w:t>
      </w:r>
    </w:p>
    <w:p w14:paraId="0A0113CE" w14:textId="77777777" w:rsidR="00570C0D" w:rsidRDefault="00000000">
      <w:pPr>
        <w:jc w:val="center"/>
      </w:pPr>
      <w:r>
        <w:rPr>
          <w:sz w:val="26"/>
        </w:rPr>
        <w:t>Факультет вычислительной математики и кибернетики</w:t>
      </w:r>
    </w:p>
    <w:p w14:paraId="66617411" w14:textId="77777777" w:rsidR="00570C0D" w:rsidRDefault="00570C0D"/>
    <w:p w14:paraId="43AE8CCA" w14:textId="77777777" w:rsidR="00570C0D" w:rsidRDefault="00570C0D"/>
    <w:p w14:paraId="1A5BE858" w14:textId="77777777" w:rsidR="00570C0D" w:rsidRDefault="00000000">
      <w:pPr>
        <w:jc w:val="center"/>
      </w:pPr>
      <w:r>
        <w:rPr>
          <w:b/>
          <w:sz w:val="36"/>
        </w:rPr>
        <w:t>ИССЛЕДОВАТЕЛЬСКИЙ ПЛАН</w:t>
      </w:r>
    </w:p>
    <w:p w14:paraId="52ED2BF8" w14:textId="77777777" w:rsidR="00570C0D" w:rsidRDefault="00570C0D"/>
    <w:p w14:paraId="6FBCA52E" w14:textId="77777777" w:rsidR="00570C0D" w:rsidRDefault="00000000">
      <w:pPr>
        <w:jc w:val="center"/>
      </w:pPr>
      <w:r>
        <w:rPr>
          <w:b/>
          <w:sz w:val="28"/>
        </w:rPr>
        <w:t>Применение глубокого обучения для классификации пневмонии</w:t>
      </w:r>
      <w:r>
        <w:rPr>
          <w:b/>
          <w:sz w:val="28"/>
        </w:rPr>
        <w:br/>
        <w:t>на рентгеновских снимках грудной клетки</w:t>
      </w:r>
    </w:p>
    <w:p w14:paraId="3319B89E" w14:textId="77777777" w:rsidR="00570C0D" w:rsidRDefault="00000000">
      <w:pPr>
        <w:spacing w:after="160"/>
        <w:ind w:left="283"/>
      </w:pPr>
      <w:r>
        <w:rPr>
          <w:rFonts w:ascii="宋体" w:hAnsi="宋体"/>
          <w:color w:val="666666"/>
          <w:sz w:val="20"/>
        </w:rPr>
        <w:t>研究计划：基于深度学习的</w:t>
      </w:r>
      <w:r>
        <w:rPr>
          <w:rFonts w:ascii="宋体" w:hAnsi="宋体"/>
          <w:color w:val="666666"/>
          <w:sz w:val="20"/>
        </w:rPr>
        <w:t xml:space="preserve"> X </w:t>
      </w:r>
      <w:r>
        <w:rPr>
          <w:rFonts w:ascii="宋体" w:hAnsi="宋体"/>
          <w:color w:val="666666"/>
          <w:sz w:val="20"/>
        </w:rPr>
        <w:t>光胸片肺炎分类研究</w:t>
      </w:r>
    </w:p>
    <w:p w14:paraId="7CCC563E" w14:textId="77777777" w:rsidR="00570C0D" w:rsidRDefault="00570C0D"/>
    <w:p w14:paraId="4615885A" w14:textId="77777777" w:rsidR="00570C0D" w:rsidRDefault="00570C0D"/>
    <w:p w14:paraId="431CBA0A" w14:textId="74FF144E" w:rsidR="00570C0D" w:rsidRDefault="00000000">
      <w:pPr>
        <w:jc w:val="center"/>
      </w:pPr>
      <w:r>
        <w:t>Выполнил: студент магистратуры</w:t>
      </w:r>
      <w:r>
        <w:br/>
        <w:t xml:space="preserve">Научный руководитель: </w:t>
      </w:r>
      <w:r>
        <w:br/>
        <w:t>Москва, 2026</w:t>
      </w:r>
    </w:p>
    <w:p w14:paraId="4019E734" w14:textId="77777777" w:rsidR="00570C0D" w:rsidRDefault="00000000">
      <w:r>
        <w:br w:type="page"/>
      </w:r>
    </w:p>
    <w:p w14:paraId="3CC77A00" w14:textId="77777777" w:rsidR="00570C0D" w:rsidRDefault="00000000">
      <w:pPr>
        <w:jc w:val="center"/>
      </w:pPr>
      <w:r>
        <w:rPr>
          <w:b/>
          <w:sz w:val="28"/>
        </w:rPr>
        <w:lastRenderedPageBreak/>
        <w:t>1. Введение</w:t>
      </w:r>
    </w:p>
    <w:p w14:paraId="4BA0301C" w14:textId="77777777" w:rsidR="00570C0D" w:rsidRDefault="00000000">
      <w:pPr>
        <w:spacing w:after="160"/>
        <w:ind w:left="283"/>
      </w:pPr>
      <w:r>
        <w:rPr>
          <w:rFonts w:ascii="宋体" w:hAnsi="宋体"/>
          <w:color w:val="666666"/>
          <w:sz w:val="20"/>
        </w:rPr>
        <w:t>第</w:t>
      </w:r>
      <w:r>
        <w:rPr>
          <w:rFonts w:ascii="宋体" w:hAnsi="宋体"/>
          <w:color w:val="666666"/>
          <w:sz w:val="20"/>
        </w:rPr>
        <w:t xml:space="preserve"> 1 </w:t>
      </w:r>
      <w:r>
        <w:rPr>
          <w:rFonts w:ascii="宋体" w:hAnsi="宋体"/>
          <w:color w:val="666666"/>
          <w:sz w:val="20"/>
        </w:rPr>
        <w:t>章</w:t>
      </w:r>
      <w:r>
        <w:rPr>
          <w:rFonts w:ascii="宋体" w:hAnsi="宋体"/>
          <w:color w:val="666666"/>
          <w:sz w:val="20"/>
        </w:rPr>
        <w:t xml:space="preserve"> </w:t>
      </w:r>
      <w:r>
        <w:rPr>
          <w:rFonts w:ascii="宋体" w:hAnsi="宋体"/>
          <w:color w:val="666666"/>
          <w:sz w:val="20"/>
        </w:rPr>
        <w:t>引言</w:t>
      </w:r>
    </w:p>
    <w:p w14:paraId="5B628168" w14:textId="77777777" w:rsidR="00570C0D" w:rsidRDefault="00000000">
      <w:pPr>
        <w:jc w:val="center"/>
      </w:pPr>
      <w:r>
        <w:rPr>
          <w:b/>
          <w:sz w:val="26"/>
        </w:rPr>
        <w:t>Актуальность темы</w:t>
      </w:r>
    </w:p>
    <w:p w14:paraId="6D0B4773" w14:textId="77777777" w:rsidR="00570C0D" w:rsidRDefault="00000000">
      <w:pPr>
        <w:spacing w:after="160"/>
        <w:ind w:left="283"/>
      </w:pPr>
      <w:r>
        <w:rPr>
          <w:rFonts w:ascii="宋体" w:hAnsi="宋体"/>
          <w:color w:val="666666"/>
          <w:sz w:val="20"/>
        </w:rPr>
        <w:t>选题意义</w:t>
      </w:r>
    </w:p>
    <w:p w14:paraId="64C0EA5B" w14:textId="77777777" w:rsidR="00570C0D" w:rsidRDefault="00000000">
      <w:pPr>
        <w:spacing w:after="80"/>
      </w:pPr>
      <w:r>
        <w:t>Пневмония остаётся одной из ведущих причин смертности от инфекционных заболеваний во всём мире, особенно среди детей и пожилых людей. Своевременная и точная диагностика на основе рентгеновских снимков грудной клетки (CXR) критически важна для назначения эффективного лечения. Однако интерпретация CXR требует высокой квалификации рентгенолога и подвержена субъективным ошибкам. По данным исследований, межэкспертная вариабельность при чтении рентгенограмм достигает 20–30%.</w:t>
      </w:r>
      <w:r>
        <w:br/>
      </w:r>
      <w:r>
        <w:br/>
        <w:t>В последние годы методы глубокого обучения, особенно свёрточные нейронные сети (CNN), достигли впечатляющих результатов в задачах медицинской визуализации. Использование предобученных моделей (transfer learning) позволяет добиться высокой точности даже при ограниченном объёме данных. Тем не менее, вопрос интерпретируемости моделей («чёрный ящик») остаётся критическим барьером для внедрения ИИ в клиническую практику. Методы визуализации grad-CAM позволяют локализовать области, на основе которых модель принимает решение, повышая доверие врачей к автоматизированной системе диагностики.</w:t>
      </w:r>
    </w:p>
    <w:p w14:paraId="57EB8E55" w14:textId="77777777" w:rsidR="00570C0D" w:rsidRDefault="00000000">
      <w:pPr>
        <w:spacing w:after="160"/>
        <w:ind w:left="283"/>
      </w:pPr>
      <w:r>
        <w:rPr>
          <w:rFonts w:ascii="宋体" w:hAnsi="宋体"/>
          <w:color w:val="666666"/>
          <w:sz w:val="20"/>
        </w:rPr>
        <w:t>肺炎是全球传染病死亡的主要原因之一，及时准确的</w:t>
      </w:r>
      <w:r>
        <w:rPr>
          <w:rFonts w:ascii="宋体" w:hAnsi="宋体"/>
          <w:color w:val="666666"/>
          <w:sz w:val="20"/>
        </w:rPr>
        <w:t xml:space="preserve"> X </w:t>
      </w:r>
      <w:r>
        <w:rPr>
          <w:rFonts w:ascii="宋体" w:hAnsi="宋体"/>
          <w:color w:val="666666"/>
          <w:sz w:val="20"/>
        </w:rPr>
        <w:t>光诊断至关重要。但胸片解读依赖放射科医生经验，存在</w:t>
      </w:r>
      <w:r>
        <w:rPr>
          <w:rFonts w:ascii="宋体" w:hAnsi="宋体"/>
          <w:color w:val="666666"/>
          <w:sz w:val="20"/>
        </w:rPr>
        <w:t xml:space="preserve"> 20-30% </w:t>
      </w:r>
      <w:r>
        <w:rPr>
          <w:rFonts w:ascii="宋体" w:hAnsi="宋体"/>
          <w:color w:val="666666"/>
          <w:sz w:val="20"/>
        </w:rPr>
        <w:t>的阅片差异。深度学习（特别是</w:t>
      </w:r>
      <w:r>
        <w:rPr>
          <w:rFonts w:ascii="宋体" w:hAnsi="宋体"/>
          <w:color w:val="666666"/>
          <w:sz w:val="20"/>
        </w:rPr>
        <w:t xml:space="preserve"> CNN</w:t>
      </w:r>
      <w:r>
        <w:rPr>
          <w:rFonts w:ascii="宋体" w:hAnsi="宋体"/>
          <w:color w:val="666666"/>
          <w:sz w:val="20"/>
        </w:rPr>
        <w:t>）在医学影像领域已取得显著成果，迁移学习可在数据有限时达到高精度。然而模型的</w:t>
      </w:r>
      <w:r>
        <w:rPr>
          <w:rFonts w:ascii="宋体" w:hAnsi="宋体"/>
          <w:color w:val="666666"/>
          <w:sz w:val="20"/>
        </w:rPr>
        <w:t>'</w:t>
      </w:r>
      <w:r>
        <w:rPr>
          <w:rFonts w:ascii="宋体" w:hAnsi="宋体"/>
          <w:color w:val="666666"/>
          <w:sz w:val="20"/>
        </w:rPr>
        <w:t>黑箱</w:t>
      </w:r>
      <w:r>
        <w:rPr>
          <w:rFonts w:ascii="宋体" w:hAnsi="宋体"/>
          <w:color w:val="666666"/>
          <w:sz w:val="20"/>
        </w:rPr>
        <w:t>'</w:t>
      </w:r>
      <w:r>
        <w:rPr>
          <w:rFonts w:ascii="宋体" w:hAnsi="宋体"/>
          <w:color w:val="666666"/>
          <w:sz w:val="20"/>
        </w:rPr>
        <w:t>特性阻碍了其临床落地，</w:t>
      </w:r>
      <w:r>
        <w:rPr>
          <w:rFonts w:ascii="宋体" w:hAnsi="宋体"/>
          <w:color w:val="666666"/>
          <w:sz w:val="20"/>
        </w:rPr>
        <w:t xml:space="preserve">Grad-CAM </w:t>
      </w:r>
      <w:r>
        <w:rPr>
          <w:rFonts w:ascii="宋体" w:hAnsi="宋体"/>
          <w:color w:val="666666"/>
          <w:sz w:val="20"/>
        </w:rPr>
        <w:t>等可解释性方法能定位模型关注区域，提升医生对</w:t>
      </w:r>
      <w:r>
        <w:rPr>
          <w:rFonts w:ascii="宋体" w:hAnsi="宋体"/>
          <w:color w:val="666666"/>
          <w:sz w:val="20"/>
        </w:rPr>
        <w:t xml:space="preserve"> AI </w:t>
      </w:r>
      <w:r>
        <w:rPr>
          <w:rFonts w:ascii="宋体" w:hAnsi="宋体"/>
          <w:color w:val="666666"/>
          <w:sz w:val="20"/>
        </w:rPr>
        <w:t>辅助诊断的信任度。</w:t>
      </w:r>
    </w:p>
    <w:p w14:paraId="02C03497" w14:textId="77777777" w:rsidR="00570C0D" w:rsidRDefault="00000000">
      <w:pPr>
        <w:jc w:val="center"/>
      </w:pPr>
      <w:r>
        <w:rPr>
          <w:b/>
          <w:sz w:val="26"/>
        </w:rPr>
        <w:t>Цель работы</w:t>
      </w:r>
    </w:p>
    <w:p w14:paraId="22AE32F0" w14:textId="77777777" w:rsidR="00570C0D" w:rsidRDefault="00000000">
      <w:pPr>
        <w:spacing w:after="160"/>
        <w:ind w:left="283"/>
      </w:pPr>
      <w:r>
        <w:rPr>
          <w:rFonts w:ascii="宋体" w:hAnsi="宋体"/>
          <w:color w:val="666666"/>
          <w:sz w:val="20"/>
        </w:rPr>
        <w:t>研究目标</w:t>
      </w:r>
    </w:p>
    <w:p w14:paraId="0FE4EFDE" w14:textId="77777777" w:rsidR="00570C0D" w:rsidRDefault="00000000">
      <w:pPr>
        <w:spacing w:after="80"/>
      </w:pPr>
      <w:r>
        <w:lastRenderedPageBreak/>
        <w:t>Разработка и экспериментальное исследование модели глубокого обучения для автоматической бинарной классификации рентгеновских снимков грудной клетки (норма / пневмония) с использованием методов визуализации для обеспечения интерпретируемости результатов.</w:t>
      </w:r>
    </w:p>
    <w:p w14:paraId="5CD2D77C" w14:textId="77777777" w:rsidR="00570C0D" w:rsidRDefault="00000000">
      <w:pPr>
        <w:spacing w:after="160"/>
        <w:ind w:left="283"/>
      </w:pPr>
      <w:r>
        <w:rPr>
          <w:rFonts w:ascii="宋体" w:hAnsi="宋体"/>
          <w:color w:val="666666"/>
          <w:sz w:val="20"/>
        </w:rPr>
        <w:t>目标：开发并实验研究一种深度学习模型，用于胸片二分类（正常</w:t>
      </w:r>
      <w:r>
        <w:rPr>
          <w:rFonts w:ascii="宋体" w:hAnsi="宋体"/>
          <w:color w:val="666666"/>
          <w:sz w:val="20"/>
        </w:rPr>
        <w:t>/</w:t>
      </w:r>
      <w:r>
        <w:rPr>
          <w:rFonts w:ascii="宋体" w:hAnsi="宋体"/>
          <w:color w:val="666666"/>
          <w:sz w:val="20"/>
        </w:rPr>
        <w:t>肺炎），并使用可视化方法确保结果的可解释性。</w:t>
      </w:r>
    </w:p>
    <w:p w14:paraId="1FA1A6F6" w14:textId="77777777" w:rsidR="00570C0D" w:rsidRDefault="00000000">
      <w:pPr>
        <w:jc w:val="center"/>
      </w:pPr>
      <w:r>
        <w:rPr>
          <w:b/>
          <w:sz w:val="26"/>
        </w:rPr>
        <w:t>Задачи исследования</w:t>
      </w:r>
    </w:p>
    <w:p w14:paraId="178EE8F6" w14:textId="77777777" w:rsidR="00570C0D" w:rsidRDefault="00000000">
      <w:pPr>
        <w:spacing w:after="160"/>
        <w:ind w:left="283"/>
      </w:pPr>
      <w:r>
        <w:rPr>
          <w:rFonts w:ascii="宋体" w:hAnsi="宋体"/>
          <w:color w:val="666666"/>
          <w:sz w:val="20"/>
        </w:rPr>
        <w:t>研究任务</w:t>
      </w:r>
    </w:p>
    <w:p w14:paraId="608BE4AE" w14:textId="77777777" w:rsidR="00570C0D" w:rsidRDefault="00000000">
      <w:pPr>
        <w:pStyle w:val="a0"/>
        <w:spacing w:after="80"/>
      </w:pPr>
      <w:r>
        <w:t>Провести обзор существующих методов и публикаций в области медицинской визуализации и применения CNN для классификации пневмонии.</w:t>
      </w:r>
    </w:p>
    <w:p w14:paraId="71D0D3B4" w14:textId="77777777" w:rsidR="00570C0D" w:rsidRDefault="00000000">
      <w:pPr>
        <w:spacing w:after="160"/>
        <w:ind w:left="283"/>
      </w:pPr>
      <w:r>
        <w:rPr>
          <w:rFonts w:ascii="宋体" w:hAnsi="宋体"/>
          <w:color w:val="666666"/>
          <w:sz w:val="20"/>
        </w:rPr>
        <w:t xml:space="preserve">1. </w:t>
      </w:r>
      <w:r>
        <w:rPr>
          <w:rFonts w:ascii="宋体" w:hAnsi="宋体"/>
          <w:color w:val="666666"/>
          <w:sz w:val="20"/>
        </w:rPr>
        <w:t>调研医学影像</w:t>
      </w:r>
      <w:r>
        <w:rPr>
          <w:rFonts w:ascii="宋体" w:hAnsi="宋体"/>
          <w:color w:val="666666"/>
          <w:sz w:val="20"/>
        </w:rPr>
        <w:t xml:space="preserve"> AI </w:t>
      </w:r>
      <w:r>
        <w:rPr>
          <w:rFonts w:ascii="宋体" w:hAnsi="宋体"/>
          <w:color w:val="666666"/>
          <w:sz w:val="20"/>
        </w:rPr>
        <w:t>及</w:t>
      </w:r>
      <w:r>
        <w:rPr>
          <w:rFonts w:ascii="宋体" w:hAnsi="宋体"/>
          <w:color w:val="666666"/>
          <w:sz w:val="20"/>
        </w:rPr>
        <w:t xml:space="preserve"> CNN </w:t>
      </w:r>
      <w:r>
        <w:rPr>
          <w:rFonts w:ascii="宋体" w:hAnsi="宋体"/>
          <w:color w:val="666666"/>
          <w:sz w:val="20"/>
        </w:rPr>
        <w:t>肺炎分类领域的现有方法与文献。</w:t>
      </w:r>
    </w:p>
    <w:p w14:paraId="7356A131" w14:textId="77777777" w:rsidR="00570C0D" w:rsidRDefault="00000000">
      <w:pPr>
        <w:pStyle w:val="a0"/>
        <w:spacing w:after="80"/>
      </w:pPr>
      <w:r>
        <w:t>Подготовить и предобработать набор данных ChestXRay2017 (нормализация, аугментация, разделение на обучающую и тестовую выборки).</w:t>
      </w:r>
    </w:p>
    <w:p w14:paraId="5D72B7EE" w14:textId="77777777" w:rsidR="00570C0D" w:rsidRDefault="00000000">
      <w:pPr>
        <w:spacing w:after="160"/>
        <w:ind w:left="283"/>
      </w:pPr>
      <w:r>
        <w:rPr>
          <w:rFonts w:ascii="宋体" w:hAnsi="宋体"/>
          <w:color w:val="666666"/>
          <w:sz w:val="20"/>
        </w:rPr>
        <w:t xml:space="preserve">2. </w:t>
      </w:r>
      <w:r>
        <w:rPr>
          <w:rFonts w:ascii="宋体" w:hAnsi="宋体"/>
          <w:color w:val="666666"/>
          <w:sz w:val="20"/>
        </w:rPr>
        <w:t>准备并预处理</w:t>
      </w:r>
      <w:r>
        <w:rPr>
          <w:rFonts w:ascii="宋体" w:hAnsi="宋体"/>
          <w:color w:val="666666"/>
          <w:sz w:val="20"/>
        </w:rPr>
        <w:t xml:space="preserve"> ChestXRay2017 </w:t>
      </w:r>
      <w:r>
        <w:rPr>
          <w:rFonts w:ascii="宋体" w:hAnsi="宋体"/>
          <w:color w:val="666666"/>
          <w:sz w:val="20"/>
        </w:rPr>
        <w:t>数据集（归一化、数据增强、划分训练</w:t>
      </w:r>
      <w:r>
        <w:rPr>
          <w:rFonts w:ascii="宋体" w:hAnsi="宋体"/>
          <w:color w:val="666666"/>
          <w:sz w:val="20"/>
        </w:rPr>
        <w:t>/</w:t>
      </w:r>
      <w:r>
        <w:rPr>
          <w:rFonts w:ascii="宋体" w:hAnsi="宋体"/>
          <w:color w:val="666666"/>
          <w:sz w:val="20"/>
        </w:rPr>
        <w:t>测试集）。</w:t>
      </w:r>
    </w:p>
    <w:p w14:paraId="15070B4B" w14:textId="77777777" w:rsidR="00570C0D" w:rsidRDefault="00000000">
      <w:pPr>
        <w:pStyle w:val="a0"/>
        <w:spacing w:after="80"/>
      </w:pPr>
      <w:r>
        <w:t>Реализовать базовую модель на основе архитектуры ResNet-18 с использованием transfer learning.</w:t>
      </w:r>
    </w:p>
    <w:p w14:paraId="4A48E9F4" w14:textId="77777777" w:rsidR="00570C0D" w:rsidRDefault="00000000">
      <w:pPr>
        <w:spacing w:after="160"/>
        <w:ind w:left="283"/>
      </w:pPr>
      <w:r>
        <w:rPr>
          <w:rFonts w:ascii="宋体" w:hAnsi="宋体"/>
          <w:color w:val="666666"/>
          <w:sz w:val="20"/>
        </w:rPr>
        <w:t xml:space="preserve">3. </w:t>
      </w:r>
      <w:r>
        <w:rPr>
          <w:rFonts w:ascii="宋体" w:hAnsi="宋体"/>
          <w:color w:val="666666"/>
          <w:sz w:val="20"/>
        </w:rPr>
        <w:t>基于</w:t>
      </w:r>
      <w:r>
        <w:rPr>
          <w:rFonts w:ascii="宋体" w:hAnsi="宋体"/>
          <w:color w:val="666666"/>
          <w:sz w:val="20"/>
        </w:rPr>
        <w:t xml:space="preserve"> ResNet-18 </w:t>
      </w:r>
      <w:r>
        <w:rPr>
          <w:rFonts w:ascii="宋体" w:hAnsi="宋体"/>
          <w:color w:val="666666"/>
          <w:sz w:val="20"/>
        </w:rPr>
        <w:t>架构实现基线模型，使用迁移学习。</w:t>
      </w:r>
    </w:p>
    <w:p w14:paraId="6A4407D6" w14:textId="77777777" w:rsidR="00570C0D" w:rsidRDefault="00000000">
      <w:pPr>
        <w:pStyle w:val="a0"/>
        <w:spacing w:after="80"/>
      </w:pPr>
      <w:r>
        <w:t>Внедрить метод Grad-CAM для визуализации областей, влияющих на принятие решения моделью.</w:t>
      </w:r>
    </w:p>
    <w:p w14:paraId="4EED808C" w14:textId="77777777" w:rsidR="00570C0D" w:rsidRDefault="00000000">
      <w:pPr>
        <w:spacing w:after="160"/>
        <w:ind w:left="283"/>
      </w:pPr>
      <w:r>
        <w:rPr>
          <w:rFonts w:ascii="宋体" w:hAnsi="宋体"/>
          <w:color w:val="666666"/>
          <w:sz w:val="20"/>
        </w:rPr>
        <w:t xml:space="preserve">4. </w:t>
      </w:r>
      <w:r>
        <w:rPr>
          <w:rFonts w:ascii="宋体" w:hAnsi="宋体"/>
          <w:color w:val="666666"/>
          <w:sz w:val="20"/>
        </w:rPr>
        <w:t>集成</w:t>
      </w:r>
      <w:r>
        <w:rPr>
          <w:rFonts w:ascii="宋体" w:hAnsi="宋体"/>
          <w:color w:val="666666"/>
          <w:sz w:val="20"/>
        </w:rPr>
        <w:t xml:space="preserve"> Grad-CAM </w:t>
      </w:r>
      <w:r>
        <w:rPr>
          <w:rFonts w:ascii="宋体" w:hAnsi="宋体"/>
          <w:color w:val="666666"/>
          <w:sz w:val="20"/>
        </w:rPr>
        <w:t>方法，可视化模型决策关注区域。</w:t>
      </w:r>
    </w:p>
    <w:p w14:paraId="0869529B" w14:textId="77777777" w:rsidR="00570C0D" w:rsidRDefault="00000000">
      <w:pPr>
        <w:pStyle w:val="a0"/>
        <w:spacing w:after="80"/>
      </w:pPr>
      <w:r>
        <w:t>Провести серию экспериментов, оценить качество модели (Accuracy, AUC, Precision, Recall) и проанализировать результаты.</w:t>
      </w:r>
    </w:p>
    <w:p w14:paraId="4B92AC52" w14:textId="77777777" w:rsidR="00570C0D" w:rsidRDefault="00000000">
      <w:pPr>
        <w:spacing w:after="160"/>
        <w:ind w:left="283"/>
      </w:pPr>
      <w:r>
        <w:rPr>
          <w:rFonts w:ascii="宋体" w:hAnsi="宋体"/>
          <w:color w:val="666666"/>
          <w:sz w:val="20"/>
        </w:rPr>
        <w:t xml:space="preserve">5. </w:t>
      </w:r>
      <w:r>
        <w:rPr>
          <w:rFonts w:ascii="宋体" w:hAnsi="宋体"/>
          <w:color w:val="666666"/>
          <w:sz w:val="20"/>
        </w:rPr>
        <w:t>开展实验，评估模型性能（</w:t>
      </w:r>
      <w:r>
        <w:rPr>
          <w:rFonts w:ascii="宋体" w:hAnsi="宋体"/>
          <w:color w:val="666666"/>
          <w:sz w:val="20"/>
        </w:rPr>
        <w:t>Accuracy</w:t>
      </w:r>
      <w:r>
        <w:rPr>
          <w:rFonts w:ascii="宋体" w:hAnsi="宋体"/>
          <w:color w:val="666666"/>
          <w:sz w:val="20"/>
        </w:rPr>
        <w:t>、</w:t>
      </w:r>
      <w:r>
        <w:rPr>
          <w:rFonts w:ascii="宋体" w:hAnsi="宋体"/>
          <w:color w:val="666666"/>
          <w:sz w:val="20"/>
        </w:rPr>
        <w:t>AUC</w:t>
      </w:r>
      <w:r>
        <w:rPr>
          <w:rFonts w:ascii="宋体" w:hAnsi="宋体"/>
          <w:color w:val="666666"/>
          <w:sz w:val="20"/>
        </w:rPr>
        <w:t>、</w:t>
      </w:r>
      <w:r>
        <w:rPr>
          <w:rFonts w:ascii="宋体" w:hAnsi="宋体"/>
          <w:color w:val="666666"/>
          <w:sz w:val="20"/>
        </w:rPr>
        <w:t>Precision</w:t>
      </w:r>
      <w:r>
        <w:rPr>
          <w:rFonts w:ascii="宋体" w:hAnsi="宋体"/>
          <w:color w:val="666666"/>
          <w:sz w:val="20"/>
        </w:rPr>
        <w:t>、</w:t>
      </w:r>
      <w:r>
        <w:rPr>
          <w:rFonts w:ascii="宋体" w:hAnsi="宋体"/>
          <w:color w:val="666666"/>
          <w:sz w:val="20"/>
        </w:rPr>
        <w:t>Recall</w:t>
      </w:r>
      <w:r>
        <w:rPr>
          <w:rFonts w:ascii="宋体" w:hAnsi="宋体"/>
          <w:color w:val="666666"/>
          <w:sz w:val="20"/>
        </w:rPr>
        <w:t>）并分析结果。</w:t>
      </w:r>
    </w:p>
    <w:p w14:paraId="54E99F7A" w14:textId="77777777" w:rsidR="00570C0D" w:rsidRDefault="00000000">
      <w:pPr>
        <w:jc w:val="center"/>
      </w:pPr>
      <w:r>
        <w:rPr>
          <w:b/>
          <w:sz w:val="26"/>
        </w:rPr>
        <w:t>Объект и предмет исследования</w:t>
      </w:r>
    </w:p>
    <w:p w14:paraId="2197F56C" w14:textId="77777777" w:rsidR="00570C0D" w:rsidRDefault="00000000">
      <w:pPr>
        <w:spacing w:after="160"/>
        <w:ind w:left="283"/>
      </w:pPr>
      <w:r>
        <w:rPr>
          <w:rFonts w:ascii="宋体" w:hAnsi="宋体"/>
          <w:color w:val="666666"/>
          <w:sz w:val="20"/>
        </w:rPr>
        <w:lastRenderedPageBreak/>
        <w:t>研究对象与内容</w:t>
      </w:r>
    </w:p>
    <w:p w14:paraId="5DAEEB80" w14:textId="77777777" w:rsidR="00570C0D" w:rsidRDefault="00000000">
      <w:pPr>
        <w:spacing w:after="80"/>
      </w:pPr>
      <w:r>
        <w:t>Объект исследования: рентгеновские снимки грудной клетки из открытого набора данных ChestXRay2017.</w:t>
      </w:r>
      <w:r>
        <w:br/>
        <w:t>Предмет исследования: методы глубокого обучения (свёрточные нейронные сети) для задачи бинарной классификации медицинских изображений, а также методы визуализации для интерпретации решений модели.</w:t>
      </w:r>
    </w:p>
    <w:p w14:paraId="1A8D8157" w14:textId="77777777" w:rsidR="00570C0D" w:rsidRDefault="00000000">
      <w:pPr>
        <w:spacing w:after="160"/>
        <w:ind w:left="283"/>
      </w:pPr>
      <w:r>
        <w:rPr>
          <w:rFonts w:ascii="宋体" w:hAnsi="宋体"/>
          <w:color w:val="666666"/>
          <w:sz w:val="20"/>
        </w:rPr>
        <w:t>研究对象：</w:t>
      </w:r>
      <w:r>
        <w:rPr>
          <w:rFonts w:ascii="宋体" w:hAnsi="宋体"/>
          <w:color w:val="666666"/>
          <w:sz w:val="20"/>
        </w:rPr>
        <w:t xml:space="preserve">ChestXRay2017 </w:t>
      </w:r>
      <w:r>
        <w:rPr>
          <w:rFonts w:ascii="宋体" w:hAnsi="宋体"/>
          <w:color w:val="666666"/>
          <w:sz w:val="20"/>
        </w:rPr>
        <w:t>公开数据集中的</w:t>
      </w:r>
      <w:r>
        <w:rPr>
          <w:rFonts w:ascii="宋体" w:hAnsi="宋体"/>
          <w:color w:val="666666"/>
          <w:sz w:val="20"/>
        </w:rPr>
        <w:t xml:space="preserve"> X </w:t>
      </w:r>
      <w:r>
        <w:rPr>
          <w:rFonts w:ascii="宋体" w:hAnsi="宋体"/>
          <w:color w:val="666666"/>
          <w:sz w:val="20"/>
        </w:rPr>
        <w:t>光胸片。</w:t>
      </w:r>
      <w:r>
        <w:rPr>
          <w:rFonts w:ascii="宋体" w:hAnsi="宋体"/>
          <w:color w:val="666666"/>
          <w:sz w:val="20"/>
        </w:rPr>
        <w:br/>
      </w:r>
      <w:r>
        <w:rPr>
          <w:rFonts w:ascii="宋体" w:hAnsi="宋体"/>
          <w:color w:val="666666"/>
          <w:sz w:val="20"/>
        </w:rPr>
        <w:t>研究内容：用于医学影像二分类的深度学习（卷积神经网络）方法，以及解释模型决策的可视化方法。</w:t>
      </w:r>
    </w:p>
    <w:p w14:paraId="41A7B967" w14:textId="77777777" w:rsidR="00570C0D" w:rsidRDefault="00000000">
      <w:r>
        <w:br w:type="page"/>
      </w:r>
    </w:p>
    <w:p w14:paraId="5A80733E" w14:textId="77777777" w:rsidR="00570C0D" w:rsidRDefault="00000000">
      <w:pPr>
        <w:jc w:val="center"/>
      </w:pPr>
      <w:r>
        <w:rPr>
          <w:b/>
          <w:sz w:val="28"/>
        </w:rPr>
        <w:lastRenderedPageBreak/>
        <w:t>2. Обзор литературы</w:t>
      </w:r>
    </w:p>
    <w:p w14:paraId="0CD1EEAA" w14:textId="77777777" w:rsidR="00570C0D" w:rsidRDefault="00000000">
      <w:pPr>
        <w:spacing w:after="160"/>
        <w:ind w:left="283"/>
      </w:pPr>
      <w:r>
        <w:rPr>
          <w:rFonts w:ascii="宋体" w:hAnsi="宋体"/>
          <w:color w:val="666666"/>
          <w:sz w:val="20"/>
        </w:rPr>
        <w:t>第</w:t>
      </w:r>
      <w:r>
        <w:rPr>
          <w:rFonts w:ascii="宋体" w:hAnsi="宋体"/>
          <w:color w:val="666666"/>
          <w:sz w:val="20"/>
        </w:rPr>
        <w:t xml:space="preserve"> 2 </w:t>
      </w:r>
      <w:r>
        <w:rPr>
          <w:rFonts w:ascii="宋体" w:hAnsi="宋体"/>
          <w:color w:val="666666"/>
          <w:sz w:val="20"/>
        </w:rPr>
        <w:t>章</w:t>
      </w:r>
      <w:r>
        <w:rPr>
          <w:rFonts w:ascii="宋体" w:hAnsi="宋体"/>
          <w:color w:val="666666"/>
          <w:sz w:val="20"/>
        </w:rPr>
        <w:t xml:space="preserve"> </w:t>
      </w:r>
      <w:r>
        <w:rPr>
          <w:rFonts w:ascii="宋体" w:hAnsi="宋体"/>
          <w:color w:val="666666"/>
          <w:sz w:val="20"/>
        </w:rPr>
        <w:t>文献综述</w:t>
      </w:r>
    </w:p>
    <w:p w14:paraId="6CBD9AC4" w14:textId="77777777" w:rsidR="00570C0D" w:rsidRDefault="00000000">
      <w:pPr>
        <w:spacing w:after="80"/>
      </w:pPr>
      <w:r>
        <w:t>В работе [1] Rajpurkar et al. (2017) представили модель CheXNet, основанную на архитектуре DenseNet-121, которая превзошла среднего рентгенолога в задаче классификации пневмонии на рентгеновских снимках. Авторы использовали набор данных ChestX-ray14 (более 100 000 снимков) и продемонстрировали эффективность transfer learning в медицинских задачах.</w:t>
      </w:r>
      <w:r>
        <w:br/>
      </w:r>
      <w:r>
        <w:br/>
        <w:t>В работе [2] Selvaraju et al. (2017) предложили метод Grad-CAM (Gradient-weighted Class Activation Mapping), который позволяет визуализировать области изображения, важные для предсказания модели. Метод применим к любым CNN-архитектурам и не требует изменения архитектуры сети.</w:t>
      </w:r>
      <w:r>
        <w:br/>
      </w:r>
      <w:r>
        <w:br/>
        <w:t>В работе [3] He et al. (2016) предложили архитектуру ResNet (Residual Network), которая решает проблему затухающих градиентов при обучении глубоких сетей. Архитектура ResNet-18, предобученная на ImageNet, является эффективным базовым решением для медицинских задач с ограниченными данными.</w:t>
      </w:r>
      <w:r>
        <w:br/>
      </w:r>
      <w:r>
        <w:br/>
        <w:t>В работе [4] Woo et al. (2018) предложили модуль CBAM (Convolutional Block Attention Module), который последовательно применяет механизмы внимания по каналам и по пространству, улучшая представление признаков без существенного увеличения вычислительных затрат.</w:t>
      </w:r>
      <w:r>
        <w:br/>
      </w:r>
      <w:r>
        <w:br/>
        <w:t>В работе [5] Lin et al. (2017) предложили Focal Loss — модификацию функции потерь для решения проблемы дисбаланса классов, часто встречающейся в медицинских наборах данных.</w:t>
      </w:r>
    </w:p>
    <w:p w14:paraId="40E73515" w14:textId="77777777" w:rsidR="00570C0D" w:rsidRDefault="00000000">
      <w:pPr>
        <w:spacing w:after="160"/>
        <w:ind w:left="283"/>
      </w:pPr>
      <w:r>
        <w:rPr>
          <w:rFonts w:ascii="宋体" w:hAnsi="宋体"/>
          <w:color w:val="666666"/>
          <w:sz w:val="20"/>
        </w:rPr>
        <w:t xml:space="preserve">[1] Rajpurkar </w:t>
      </w:r>
      <w:r>
        <w:rPr>
          <w:rFonts w:ascii="宋体" w:hAnsi="宋体"/>
          <w:color w:val="666666"/>
          <w:sz w:val="20"/>
        </w:rPr>
        <w:t>等（</w:t>
      </w:r>
      <w:r>
        <w:rPr>
          <w:rFonts w:ascii="宋体" w:hAnsi="宋体"/>
          <w:color w:val="666666"/>
          <w:sz w:val="20"/>
        </w:rPr>
        <w:t>2017</w:t>
      </w:r>
      <w:r>
        <w:rPr>
          <w:rFonts w:ascii="宋体" w:hAnsi="宋体"/>
          <w:color w:val="666666"/>
          <w:sz w:val="20"/>
        </w:rPr>
        <w:t>）提出</w:t>
      </w:r>
      <w:r>
        <w:rPr>
          <w:rFonts w:ascii="宋体" w:hAnsi="宋体"/>
          <w:color w:val="666666"/>
          <w:sz w:val="20"/>
        </w:rPr>
        <w:t xml:space="preserve"> CheXNet</w:t>
      </w:r>
      <w:r>
        <w:rPr>
          <w:rFonts w:ascii="宋体" w:hAnsi="宋体"/>
          <w:color w:val="666666"/>
          <w:sz w:val="20"/>
        </w:rPr>
        <w:t>（</w:t>
      </w:r>
      <w:r>
        <w:rPr>
          <w:rFonts w:ascii="宋体" w:hAnsi="宋体"/>
          <w:color w:val="666666"/>
          <w:sz w:val="20"/>
        </w:rPr>
        <w:t>DenseNet-121</w:t>
      </w:r>
      <w:r>
        <w:rPr>
          <w:rFonts w:ascii="宋体" w:hAnsi="宋体"/>
          <w:color w:val="666666"/>
          <w:sz w:val="20"/>
        </w:rPr>
        <w:t>），在</w:t>
      </w:r>
      <w:r>
        <w:rPr>
          <w:rFonts w:ascii="宋体" w:hAnsi="宋体"/>
          <w:color w:val="666666"/>
          <w:sz w:val="20"/>
        </w:rPr>
        <w:t xml:space="preserve"> ChestX-ray14 </w:t>
      </w:r>
      <w:r>
        <w:rPr>
          <w:rFonts w:ascii="宋体" w:hAnsi="宋体"/>
          <w:color w:val="666666"/>
          <w:sz w:val="20"/>
        </w:rPr>
        <w:t>数据集上超越普通放射科医生水平。</w:t>
      </w:r>
      <w:r>
        <w:rPr>
          <w:rFonts w:ascii="宋体" w:hAnsi="宋体"/>
          <w:color w:val="666666"/>
          <w:sz w:val="20"/>
        </w:rPr>
        <w:br/>
        <w:t xml:space="preserve">[2] Selvaraju </w:t>
      </w:r>
      <w:r>
        <w:rPr>
          <w:rFonts w:ascii="宋体" w:hAnsi="宋体"/>
          <w:color w:val="666666"/>
          <w:sz w:val="20"/>
        </w:rPr>
        <w:t>等（</w:t>
      </w:r>
      <w:r>
        <w:rPr>
          <w:rFonts w:ascii="宋体" w:hAnsi="宋体"/>
          <w:color w:val="666666"/>
          <w:sz w:val="20"/>
        </w:rPr>
        <w:t>2017</w:t>
      </w:r>
      <w:r>
        <w:rPr>
          <w:rFonts w:ascii="宋体" w:hAnsi="宋体"/>
          <w:color w:val="666666"/>
          <w:sz w:val="20"/>
        </w:rPr>
        <w:t>）提出</w:t>
      </w:r>
      <w:r>
        <w:rPr>
          <w:rFonts w:ascii="宋体" w:hAnsi="宋体"/>
          <w:color w:val="666666"/>
          <w:sz w:val="20"/>
        </w:rPr>
        <w:t xml:space="preserve"> Grad-CAM</w:t>
      </w:r>
      <w:r>
        <w:rPr>
          <w:rFonts w:ascii="宋体" w:hAnsi="宋体"/>
          <w:color w:val="666666"/>
          <w:sz w:val="20"/>
        </w:rPr>
        <w:t>，可可视化</w:t>
      </w:r>
      <w:r>
        <w:rPr>
          <w:rFonts w:ascii="宋体" w:hAnsi="宋体"/>
          <w:color w:val="666666"/>
          <w:sz w:val="20"/>
        </w:rPr>
        <w:t xml:space="preserve"> CNN </w:t>
      </w:r>
      <w:r>
        <w:rPr>
          <w:rFonts w:ascii="宋体" w:hAnsi="宋体"/>
          <w:color w:val="666666"/>
          <w:sz w:val="20"/>
        </w:rPr>
        <w:t>决策关注区域，无需修改网络结构。</w:t>
      </w:r>
      <w:r>
        <w:rPr>
          <w:rFonts w:ascii="宋体" w:hAnsi="宋体"/>
          <w:color w:val="666666"/>
          <w:sz w:val="20"/>
        </w:rPr>
        <w:br/>
      </w:r>
      <w:r>
        <w:rPr>
          <w:rFonts w:ascii="宋体" w:hAnsi="宋体"/>
          <w:color w:val="666666"/>
          <w:sz w:val="20"/>
        </w:rPr>
        <w:lastRenderedPageBreak/>
        <w:t xml:space="preserve">[3] He </w:t>
      </w:r>
      <w:r>
        <w:rPr>
          <w:rFonts w:ascii="宋体" w:hAnsi="宋体"/>
          <w:color w:val="666666"/>
          <w:sz w:val="20"/>
        </w:rPr>
        <w:t>等（</w:t>
      </w:r>
      <w:r>
        <w:rPr>
          <w:rFonts w:ascii="宋体" w:hAnsi="宋体"/>
          <w:color w:val="666666"/>
          <w:sz w:val="20"/>
        </w:rPr>
        <w:t>2016</w:t>
      </w:r>
      <w:r>
        <w:rPr>
          <w:rFonts w:ascii="宋体" w:hAnsi="宋体"/>
          <w:color w:val="666666"/>
          <w:sz w:val="20"/>
        </w:rPr>
        <w:t>）提出</w:t>
      </w:r>
      <w:r>
        <w:rPr>
          <w:rFonts w:ascii="宋体" w:hAnsi="宋体"/>
          <w:color w:val="666666"/>
          <w:sz w:val="20"/>
        </w:rPr>
        <w:t xml:space="preserve"> ResNet</w:t>
      </w:r>
      <w:r>
        <w:rPr>
          <w:rFonts w:ascii="宋体" w:hAnsi="宋体"/>
          <w:color w:val="666666"/>
          <w:sz w:val="20"/>
        </w:rPr>
        <w:t>，解决深层网络梯度消失问题；</w:t>
      </w:r>
      <w:r>
        <w:rPr>
          <w:rFonts w:ascii="宋体" w:hAnsi="宋体"/>
          <w:color w:val="666666"/>
          <w:sz w:val="20"/>
        </w:rPr>
        <w:t>ResNet-18</w:t>
      </w:r>
      <w:r>
        <w:rPr>
          <w:rFonts w:ascii="宋体" w:hAnsi="宋体"/>
          <w:color w:val="666666"/>
          <w:sz w:val="20"/>
        </w:rPr>
        <w:t>（</w:t>
      </w:r>
      <w:r>
        <w:rPr>
          <w:rFonts w:ascii="宋体" w:hAnsi="宋体"/>
          <w:color w:val="666666"/>
          <w:sz w:val="20"/>
        </w:rPr>
        <w:t xml:space="preserve">ImageNet </w:t>
      </w:r>
      <w:r>
        <w:rPr>
          <w:rFonts w:ascii="宋体" w:hAnsi="宋体"/>
          <w:color w:val="666666"/>
          <w:sz w:val="20"/>
        </w:rPr>
        <w:t>预训练）是医学影像任务的理想基线。</w:t>
      </w:r>
      <w:r>
        <w:rPr>
          <w:rFonts w:ascii="宋体" w:hAnsi="宋体"/>
          <w:color w:val="666666"/>
          <w:sz w:val="20"/>
        </w:rPr>
        <w:br/>
        <w:t xml:space="preserve">[4] Woo </w:t>
      </w:r>
      <w:r>
        <w:rPr>
          <w:rFonts w:ascii="宋体" w:hAnsi="宋体"/>
          <w:color w:val="666666"/>
          <w:sz w:val="20"/>
        </w:rPr>
        <w:t>等（</w:t>
      </w:r>
      <w:r>
        <w:rPr>
          <w:rFonts w:ascii="宋体" w:hAnsi="宋体"/>
          <w:color w:val="666666"/>
          <w:sz w:val="20"/>
        </w:rPr>
        <w:t>2018</w:t>
      </w:r>
      <w:r>
        <w:rPr>
          <w:rFonts w:ascii="宋体" w:hAnsi="宋体"/>
          <w:color w:val="666666"/>
          <w:sz w:val="20"/>
        </w:rPr>
        <w:t>）提出</w:t>
      </w:r>
      <w:r>
        <w:rPr>
          <w:rFonts w:ascii="宋体" w:hAnsi="宋体"/>
          <w:color w:val="666666"/>
          <w:sz w:val="20"/>
        </w:rPr>
        <w:t xml:space="preserve"> CBAM </w:t>
      </w:r>
      <w:r>
        <w:rPr>
          <w:rFonts w:ascii="宋体" w:hAnsi="宋体"/>
          <w:color w:val="666666"/>
          <w:sz w:val="20"/>
        </w:rPr>
        <w:t>注意力模块，通过通道注意力和空间注意力提升特征表示，计算开销小。</w:t>
      </w:r>
      <w:r>
        <w:rPr>
          <w:rFonts w:ascii="宋体" w:hAnsi="宋体"/>
          <w:color w:val="666666"/>
          <w:sz w:val="20"/>
        </w:rPr>
        <w:br/>
        <w:t xml:space="preserve">[5] Lin </w:t>
      </w:r>
      <w:r>
        <w:rPr>
          <w:rFonts w:ascii="宋体" w:hAnsi="宋体"/>
          <w:color w:val="666666"/>
          <w:sz w:val="20"/>
        </w:rPr>
        <w:t>等（</w:t>
      </w:r>
      <w:r>
        <w:rPr>
          <w:rFonts w:ascii="宋体" w:hAnsi="宋体"/>
          <w:color w:val="666666"/>
          <w:sz w:val="20"/>
        </w:rPr>
        <w:t>2017</w:t>
      </w:r>
      <w:r>
        <w:rPr>
          <w:rFonts w:ascii="宋体" w:hAnsi="宋体"/>
          <w:color w:val="666666"/>
          <w:sz w:val="20"/>
        </w:rPr>
        <w:t>）提出</w:t>
      </w:r>
      <w:r>
        <w:rPr>
          <w:rFonts w:ascii="宋体" w:hAnsi="宋体"/>
          <w:color w:val="666666"/>
          <w:sz w:val="20"/>
        </w:rPr>
        <w:t xml:space="preserve"> Focal Loss</w:t>
      </w:r>
      <w:r>
        <w:rPr>
          <w:rFonts w:ascii="宋体" w:hAnsi="宋体"/>
          <w:color w:val="666666"/>
          <w:sz w:val="20"/>
        </w:rPr>
        <w:t>，解决医学数据集中常见的类别不平衡问题。</w:t>
      </w:r>
    </w:p>
    <w:p w14:paraId="00EC456B" w14:textId="77777777" w:rsidR="00570C0D" w:rsidRDefault="00000000">
      <w:r>
        <w:br w:type="page"/>
      </w:r>
    </w:p>
    <w:p w14:paraId="032FC4BC" w14:textId="77777777" w:rsidR="00570C0D" w:rsidRDefault="00000000">
      <w:pPr>
        <w:jc w:val="center"/>
      </w:pPr>
      <w:r>
        <w:rPr>
          <w:b/>
          <w:sz w:val="28"/>
        </w:rPr>
        <w:lastRenderedPageBreak/>
        <w:t>3. Методология</w:t>
      </w:r>
    </w:p>
    <w:p w14:paraId="5A9B0FE0" w14:textId="77777777" w:rsidR="00570C0D" w:rsidRDefault="00000000">
      <w:pPr>
        <w:spacing w:after="160"/>
        <w:ind w:left="283"/>
      </w:pPr>
      <w:r>
        <w:rPr>
          <w:rFonts w:ascii="宋体" w:hAnsi="宋体"/>
          <w:color w:val="666666"/>
          <w:sz w:val="20"/>
        </w:rPr>
        <w:t>第</w:t>
      </w:r>
      <w:r>
        <w:rPr>
          <w:rFonts w:ascii="宋体" w:hAnsi="宋体"/>
          <w:color w:val="666666"/>
          <w:sz w:val="20"/>
        </w:rPr>
        <w:t xml:space="preserve"> 3 </w:t>
      </w:r>
      <w:r>
        <w:rPr>
          <w:rFonts w:ascii="宋体" w:hAnsi="宋体"/>
          <w:color w:val="666666"/>
          <w:sz w:val="20"/>
        </w:rPr>
        <w:t>章</w:t>
      </w:r>
      <w:r>
        <w:rPr>
          <w:rFonts w:ascii="宋体" w:hAnsi="宋体"/>
          <w:color w:val="666666"/>
          <w:sz w:val="20"/>
        </w:rPr>
        <w:t xml:space="preserve"> </w:t>
      </w:r>
      <w:r>
        <w:rPr>
          <w:rFonts w:ascii="宋体" w:hAnsi="宋体"/>
          <w:color w:val="666666"/>
          <w:sz w:val="20"/>
        </w:rPr>
        <w:t>研究方法</w:t>
      </w:r>
    </w:p>
    <w:p w14:paraId="09BCF6D4" w14:textId="77777777" w:rsidR="00570C0D" w:rsidRDefault="00000000">
      <w:pPr>
        <w:jc w:val="center"/>
      </w:pPr>
      <w:r>
        <w:rPr>
          <w:b/>
          <w:sz w:val="26"/>
        </w:rPr>
        <w:t>3.1. Набор данных</w:t>
      </w:r>
    </w:p>
    <w:p w14:paraId="3155E434" w14:textId="77777777" w:rsidR="00570C0D" w:rsidRDefault="00000000">
      <w:pPr>
        <w:spacing w:after="160"/>
        <w:ind w:left="283"/>
      </w:pPr>
      <w:r>
        <w:rPr>
          <w:rFonts w:ascii="宋体" w:hAnsi="宋体"/>
          <w:color w:val="666666"/>
          <w:sz w:val="20"/>
        </w:rPr>
        <w:t xml:space="preserve">3.1 </w:t>
      </w:r>
      <w:r>
        <w:rPr>
          <w:rFonts w:ascii="宋体" w:hAnsi="宋体"/>
          <w:color w:val="666666"/>
          <w:sz w:val="20"/>
        </w:rPr>
        <w:t>数据集</w:t>
      </w:r>
    </w:p>
    <w:p w14:paraId="472079C7" w14:textId="77777777" w:rsidR="00570C0D" w:rsidRDefault="00000000">
      <w:pPr>
        <w:spacing w:after="80"/>
      </w:pPr>
      <w:r>
        <w:t>В работе используется открытый набор данных ChestXRay2017 (Kermany et al., 2018), доступный на платформе Kaggle. Набор содержит 5856 рентгеновских снимков грудной клетки в трёх категориях: Normal (норма), Bacterial Pneumonia (бактериальная пневмония) и Viral Pneumonia (вирусная пневмония). Для задачи бинарной классификации объединяем категории пневмонии в одну, получая два класса: Normal и Pneumonia.</w:t>
      </w:r>
      <w:r>
        <w:br/>
      </w:r>
      <w:r>
        <w:br/>
        <w:t>Размеры изображений варьируются, все снимки будут приведены к размеру 224×224 пикселя с использованием билинейной интерполяции. Для обучения используется разделение 80:20 (обучающая выборка / тестовая выборка).</w:t>
      </w:r>
    </w:p>
    <w:p w14:paraId="43ECADCC" w14:textId="77777777" w:rsidR="00570C0D" w:rsidRDefault="00000000">
      <w:pPr>
        <w:spacing w:after="160"/>
        <w:ind w:left="283"/>
      </w:pPr>
      <w:r>
        <w:rPr>
          <w:rFonts w:ascii="宋体" w:hAnsi="宋体"/>
          <w:color w:val="666666"/>
          <w:sz w:val="20"/>
        </w:rPr>
        <w:t>使用</w:t>
      </w:r>
      <w:r>
        <w:rPr>
          <w:rFonts w:ascii="宋体" w:hAnsi="宋体"/>
          <w:color w:val="666666"/>
          <w:sz w:val="20"/>
        </w:rPr>
        <w:t xml:space="preserve"> ChestXRay2017 </w:t>
      </w:r>
      <w:r>
        <w:rPr>
          <w:rFonts w:ascii="宋体" w:hAnsi="宋体"/>
          <w:color w:val="666666"/>
          <w:sz w:val="20"/>
        </w:rPr>
        <w:t>公开数据集（</w:t>
      </w:r>
      <w:r>
        <w:rPr>
          <w:rFonts w:ascii="宋体" w:hAnsi="宋体"/>
          <w:color w:val="666666"/>
          <w:sz w:val="20"/>
        </w:rPr>
        <w:t xml:space="preserve">Kermany </w:t>
      </w:r>
      <w:r>
        <w:rPr>
          <w:rFonts w:ascii="宋体" w:hAnsi="宋体"/>
          <w:color w:val="666666"/>
          <w:sz w:val="20"/>
        </w:rPr>
        <w:t>等，</w:t>
      </w:r>
      <w:r>
        <w:rPr>
          <w:rFonts w:ascii="宋体" w:hAnsi="宋体"/>
          <w:color w:val="666666"/>
          <w:sz w:val="20"/>
        </w:rPr>
        <w:t>2018</w:t>
      </w:r>
      <w:r>
        <w:rPr>
          <w:rFonts w:ascii="宋体" w:hAnsi="宋体"/>
          <w:color w:val="666666"/>
          <w:sz w:val="20"/>
        </w:rPr>
        <w:t>），共</w:t>
      </w:r>
      <w:r>
        <w:rPr>
          <w:rFonts w:ascii="宋体" w:hAnsi="宋体"/>
          <w:color w:val="666666"/>
          <w:sz w:val="20"/>
        </w:rPr>
        <w:t xml:space="preserve"> 5856 </w:t>
      </w:r>
      <w:r>
        <w:rPr>
          <w:rFonts w:ascii="宋体" w:hAnsi="宋体"/>
          <w:color w:val="666666"/>
          <w:sz w:val="20"/>
        </w:rPr>
        <w:t>张胸片，分三类：正常、细菌性肺炎、病毒性肺炎。为进行二分类，将两类肺炎合并为一类，最终两类：</w:t>
      </w:r>
      <w:r>
        <w:rPr>
          <w:rFonts w:ascii="宋体" w:hAnsi="宋体"/>
          <w:color w:val="666666"/>
          <w:sz w:val="20"/>
        </w:rPr>
        <w:t xml:space="preserve">Normal </w:t>
      </w:r>
      <w:r>
        <w:rPr>
          <w:rFonts w:ascii="宋体" w:hAnsi="宋体"/>
          <w:color w:val="666666"/>
          <w:sz w:val="20"/>
        </w:rPr>
        <w:t>和</w:t>
      </w:r>
      <w:r>
        <w:rPr>
          <w:rFonts w:ascii="宋体" w:hAnsi="宋体"/>
          <w:color w:val="666666"/>
          <w:sz w:val="20"/>
        </w:rPr>
        <w:t xml:space="preserve"> Pneumonia</w:t>
      </w:r>
      <w:r>
        <w:rPr>
          <w:rFonts w:ascii="宋体" w:hAnsi="宋体"/>
          <w:color w:val="666666"/>
          <w:sz w:val="20"/>
        </w:rPr>
        <w:t>。图像统一缩放至</w:t>
      </w:r>
      <w:r>
        <w:rPr>
          <w:rFonts w:ascii="宋体" w:hAnsi="宋体"/>
          <w:color w:val="666666"/>
          <w:sz w:val="20"/>
        </w:rPr>
        <w:t xml:space="preserve"> 224×224 </w:t>
      </w:r>
      <w:r>
        <w:rPr>
          <w:rFonts w:ascii="宋体" w:hAnsi="宋体"/>
          <w:color w:val="666666"/>
          <w:sz w:val="20"/>
        </w:rPr>
        <w:t>像素，按</w:t>
      </w:r>
      <w:r>
        <w:rPr>
          <w:rFonts w:ascii="宋体" w:hAnsi="宋体"/>
          <w:color w:val="666666"/>
          <w:sz w:val="20"/>
        </w:rPr>
        <w:t xml:space="preserve"> 80:20 </w:t>
      </w:r>
      <w:r>
        <w:rPr>
          <w:rFonts w:ascii="宋体" w:hAnsi="宋体"/>
          <w:color w:val="666666"/>
          <w:sz w:val="20"/>
        </w:rPr>
        <w:t>划分训练集和测试集。</w:t>
      </w:r>
    </w:p>
    <w:p w14:paraId="69D4312A" w14:textId="77777777" w:rsidR="00570C0D" w:rsidRDefault="00000000">
      <w:pPr>
        <w:jc w:val="center"/>
      </w:pPr>
      <w:r>
        <w:rPr>
          <w:b/>
          <w:sz w:val="26"/>
        </w:rPr>
        <w:t>3.2. Базовая модель (ResNet-18)</w:t>
      </w:r>
    </w:p>
    <w:p w14:paraId="0C6F1218" w14:textId="77777777" w:rsidR="00570C0D" w:rsidRDefault="00000000">
      <w:pPr>
        <w:spacing w:after="160"/>
        <w:ind w:left="283"/>
      </w:pPr>
      <w:r>
        <w:rPr>
          <w:rFonts w:ascii="宋体" w:hAnsi="宋体"/>
          <w:color w:val="666666"/>
          <w:sz w:val="20"/>
        </w:rPr>
        <w:t xml:space="preserve">3.2 </w:t>
      </w:r>
      <w:r>
        <w:rPr>
          <w:rFonts w:ascii="宋体" w:hAnsi="宋体"/>
          <w:color w:val="666666"/>
          <w:sz w:val="20"/>
        </w:rPr>
        <w:t>基线模型（</w:t>
      </w:r>
      <w:r>
        <w:rPr>
          <w:rFonts w:ascii="宋体" w:hAnsi="宋体"/>
          <w:color w:val="666666"/>
          <w:sz w:val="20"/>
        </w:rPr>
        <w:t>ResNet-18</w:t>
      </w:r>
      <w:r>
        <w:rPr>
          <w:rFonts w:ascii="宋体" w:hAnsi="宋体"/>
          <w:color w:val="666666"/>
          <w:sz w:val="20"/>
        </w:rPr>
        <w:t>）</w:t>
      </w:r>
    </w:p>
    <w:p w14:paraId="1C15E389" w14:textId="77777777" w:rsidR="00570C0D" w:rsidRDefault="00000000">
      <w:pPr>
        <w:spacing w:after="80"/>
      </w:pPr>
      <w:r>
        <w:t>В качестве базовой архитектуры выбрана свёрточная нейронная сеть ResNet-18, предобученная на наборе данных ImageNet. Transfer learning позволяет использовать знания, полученные при обучении на естественных изображениях, для решения задачи медицинской классификации.</w:t>
      </w:r>
      <w:r>
        <w:br/>
      </w:r>
      <w:r>
        <w:br/>
        <w:t>Архитектура модифицируется следующим образом:</w:t>
      </w:r>
      <w:r>
        <w:br/>
        <w:t>— заморозка (freeze) первых слоёв сети для сохранения базовых признаков;</w:t>
      </w:r>
      <w:r>
        <w:br/>
        <w:t xml:space="preserve">— замена последнего полносвязного слоя (fully connected layer) на слой с двумя </w:t>
      </w:r>
      <w:r>
        <w:lastRenderedPageBreak/>
        <w:t>выходами (Normal / Pneumonia);</w:t>
      </w:r>
      <w:r>
        <w:br/>
        <w:t>— использование функции активации Softmax для получения вероятностей классов.</w:t>
      </w:r>
      <w:r>
        <w:br/>
      </w:r>
      <w:r>
        <w:br/>
        <w:t>Оптимизатор: Adam (learning rate = 0.001). Функция потерь: Cross Entropy Loss.</w:t>
      </w:r>
    </w:p>
    <w:p w14:paraId="0EC6B6D2" w14:textId="77777777" w:rsidR="00570C0D" w:rsidRDefault="00000000">
      <w:pPr>
        <w:spacing w:after="160"/>
        <w:ind w:left="283"/>
      </w:pPr>
      <w:r>
        <w:rPr>
          <w:rFonts w:ascii="宋体" w:hAnsi="宋体"/>
          <w:color w:val="666666"/>
          <w:sz w:val="20"/>
        </w:rPr>
        <w:t>基线采用</w:t>
      </w:r>
      <w:r>
        <w:rPr>
          <w:rFonts w:ascii="宋体" w:hAnsi="宋体"/>
          <w:color w:val="666666"/>
          <w:sz w:val="20"/>
        </w:rPr>
        <w:t xml:space="preserve"> ImageNet </w:t>
      </w:r>
      <w:r>
        <w:rPr>
          <w:rFonts w:ascii="宋体" w:hAnsi="宋体"/>
          <w:color w:val="666666"/>
          <w:sz w:val="20"/>
        </w:rPr>
        <w:t>预训练的</w:t>
      </w:r>
      <w:r>
        <w:rPr>
          <w:rFonts w:ascii="宋体" w:hAnsi="宋体"/>
          <w:color w:val="666666"/>
          <w:sz w:val="20"/>
        </w:rPr>
        <w:t xml:space="preserve"> ResNet-18</w:t>
      </w:r>
      <w:r>
        <w:rPr>
          <w:rFonts w:ascii="宋体" w:hAnsi="宋体"/>
          <w:color w:val="666666"/>
          <w:sz w:val="20"/>
        </w:rPr>
        <w:t>，使用迁移学习。冻结前几层以保留通用特征，替换最后全连接层为二分类输出（</w:t>
      </w:r>
      <w:r>
        <w:rPr>
          <w:rFonts w:ascii="宋体" w:hAnsi="宋体"/>
          <w:color w:val="666666"/>
          <w:sz w:val="20"/>
        </w:rPr>
        <w:t>Normal/Pneumonia</w:t>
      </w:r>
      <w:r>
        <w:rPr>
          <w:rFonts w:ascii="宋体" w:hAnsi="宋体"/>
          <w:color w:val="666666"/>
          <w:sz w:val="20"/>
        </w:rPr>
        <w:t>），使用</w:t>
      </w:r>
      <w:r>
        <w:rPr>
          <w:rFonts w:ascii="宋体" w:hAnsi="宋体"/>
          <w:color w:val="666666"/>
          <w:sz w:val="20"/>
        </w:rPr>
        <w:t xml:space="preserve"> Softmax </w:t>
      </w:r>
      <w:r>
        <w:rPr>
          <w:rFonts w:ascii="宋体" w:hAnsi="宋体"/>
          <w:color w:val="666666"/>
          <w:sz w:val="20"/>
        </w:rPr>
        <w:t>输出概率。优化器：</w:t>
      </w:r>
      <w:r>
        <w:rPr>
          <w:rFonts w:ascii="宋体" w:hAnsi="宋体"/>
          <w:color w:val="666666"/>
          <w:sz w:val="20"/>
        </w:rPr>
        <w:t>Adam</w:t>
      </w:r>
      <w:r>
        <w:rPr>
          <w:rFonts w:ascii="宋体" w:hAnsi="宋体"/>
          <w:color w:val="666666"/>
          <w:sz w:val="20"/>
        </w:rPr>
        <w:t>（</w:t>
      </w:r>
      <w:r>
        <w:rPr>
          <w:rFonts w:ascii="宋体" w:hAnsi="宋体"/>
          <w:color w:val="666666"/>
          <w:sz w:val="20"/>
        </w:rPr>
        <w:t>lr=0.001</w:t>
      </w:r>
      <w:r>
        <w:rPr>
          <w:rFonts w:ascii="宋体" w:hAnsi="宋体"/>
          <w:color w:val="666666"/>
          <w:sz w:val="20"/>
        </w:rPr>
        <w:t>）；损失函数：交叉熵损失。</w:t>
      </w:r>
    </w:p>
    <w:p w14:paraId="786044AB" w14:textId="77777777" w:rsidR="00570C0D" w:rsidRDefault="00000000">
      <w:pPr>
        <w:jc w:val="center"/>
      </w:pPr>
      <w:r>
        <w:rPr>
          <w:b/>
          <w:sz w:val="26"/>
        </w:rPr>
        <w:t>3.3. Визуализация с помощью Grad-CAM</w:t>
      </w:r>
    </w:p>
    <w:p w14:paraId="20373EAC" w14:textId="77777777" w:rsidR="00570C0D" w:rsidRDefault="00000000">
      <w:pPr>
        <w:spacing w:after="160"/>
        <w:ind w:left="283"/>
      </w:pPr>
      <w:r>
        <w:rPr>
          <w:rFonts w:ascii="宋体" w:hAnsi="宋体"/>
          <w:color w:val="666666"/>
          <w:sz w:val="20"/>
        </w:rPr>
        <w:t xml:space="preserve">3.3 Grad-CAM </w:t>
      </w:r>
      <w:r>
        <w:rPr>
          <w:rFonts w:ascii="宋体" w:hAnsi="宋体"/>
          <w:color w:val="666666"/>
          <w:sz w:val="20"/>
        </w:rPr>
        <w:t>可视化</w:t>
      </w:r>
    </w:p>
    <w:p w14:paraId="026C0B5A" w14:textId="77777777" w:rsidR="00570C0D" w:rsidRDefault="00000000">
      <w:pPr>
        <w:spacing w:after="80"/>
      </w:pPr>
      <w:r>
        <w:t>Для обеспечения интерпретируемости модели применяется метод Grad-CAM (Gradient-weighted Class Activation Mapping). Метод вычисляет градиенты выхода целевого класса по картам признаков (feature maps) последнего свёрточного слоя, формируя тепловую карту (heatmap), которая показывает области изображения, наиболее важные для классификации.</w:t>
      </w:r>
      <w:r>
        <w:br/>
      </w:r>
      <w:r>
        <w:br/>
        <w:t>Тепловые карты накладываются на исходные рентгенограммы, что позволяет врачу-рентгенологу оценить обоснованность предсказания модели и выявить области, соответствующие паттернам пневмонии (например, затемнения в лёгочных полях).</w:t>
      </w:r>
    </w:p>
    <w:p w14:paraId="05FC3E63" w14:textId="77777777" w:rsidR="00570C0D" w:rsidRDefault="00000000">
      <w:pPr>
        <w:spacing w:after="160"/>
        <w:ind w:left="283"/>
      </w:pPr>
      <w:r>
        <w:rPr>
          <w:rFonts w:ascii="宋体" w:hAnsi="宋体"/>
          <w:color w:val="666666"/>
          <w:sz w:val="20"/>
        </w:rPr>
        <w:t>使用</w:t>
      </w:r>
      <w:r>
        <w:rPr>
          <w:rFonts w:ascii="宋体" w:hAnsi="宋体"/>
          <w:color w:val="666666"/>
          <w:sz w:val="20"/>
        </w:rPr>
        <w:t xml:space="preserve"> Grad-CAM </w:t>
      </w:r>
      <w:r>
        <w:rPr>
          <w:rFonts w:ascii="宋体" w:hAnsi="宋体"/>
          <w:color w:val="666666"/>
          <w:sz w:val="20"/>
        </w:rPr>
        <w:t>方法实现可解释性。计算目标类别对最后一层卷积特征图的梯度，生成热力图叠加在原始</w:t>
      </w:r>
      <w:r>
        <w:rPr>
          <w:rFonts w:ascii="宋体" w:hAnsi="宋体"/>
          <w:color w:val="666666"/>
          <w:sz w:val="20"/>
        </w:rPr>
        <w:t xml:space="preserve"> X </w:t>
      </w:r>
      <w:r>
        <w:rPr>
          <w:rFonts w:ascii="宋体" w:hAnsi="宋体"/>
          <w:color w:val="666666"/>
          <w:sz w:val="20"/>
        </w:rPr>
        <w:t>光片上，展示模型关注的区域，帮助医生判断模型预测的合理性。</w:t>
      </w:r>
    </w:p>
    <w:p w14:paraId="38F20268" w14:textId="77777777" w:rsidR="00570C0D" w:rsidRDefault="00000000">
      <w:pPr>
        <w:jc w:val="center"/>
      </w:pPr>
      <w:r>
        <w:rPr>
          <w:b/>
          <w:sz w:val="26"/>
        </w:rPr>
        <w:t>3.4. Возможные направления улучшения (опционально)</w:t>
      </w:r>
    </w:p>
    <w:p w14:paraId="37532138" w14:textId="77777777" w:rsidR="00570C0D" w:rsidRDefault="00000000">
      <w:pPr>
        <w:spacing w:after="160"/>
        <w:ind w:left="283"/>
      </w:pPr>
      <w:r>
        <w:rPr>
          <w:rFonts w:ascii="宋体" w:hAnsi="宋体"/>
          <w:color w:val="666666"/>
          <w:sz w:val="20"/>
        </w:rPr>
        <w:t xml:space="preserve">3.4 </w:t>
      </w:r>
      <w:r>
        <w:rPr>
          <w:rFonts w:ascii="宋体" w:hAnsi="宋体"/>
          <w:color w:val="666666"/>
          <w:sz w:val="20"/>
        </w:rPr>
        <w:t>可改进方向（可选）</w:t>
      </w:r>
    </w:p>
    <w:p w14:paraId="0B2E3CE9" w14:textId="77777777" w:rsidR="00570C0D" w:rsidRDefault="00000000">
      <w:pPr>
        <w:spacing w:after="80"/>
      </w:pPr>
      <w:r>
        <w:t>В рамках дальнейшего развития работы рассматриваются следующие направления:</w:t>
      </w:r>
      <w:r>
        <w:br/>
        <w:t>1) Интеграция модуля внимания CBAM (Convolutional Block Attention Module) в архитектуру ResNet-18 для улучшения представления признаков;</w:t>
      </w:r>
      <w:r>
        <w:br/>
      </w:r>
      <w:r>
        <w:lastRenderedPageBreak/>
        <w:t>2) Использование Focal Loss вместо стандартной Cross Entropy Loss для борьбы с дисбалансом классов;</w:t>
      </w:r>
      <w:r>
        <w:br/>
        <w:t>3) Применение методов аугментации данных (MixUp, CutMix) для повышения обобщающей способности модели.</w:t>
      </w:r>
    </w:p>
    <w:p w14:paraId="07E368C6" w14:textId="77777777" w:rsidR="00570C0D" w:rsidRDefault="00000000">
      <w:pPr>
        <w:spacing w:after="160"/>
        <w:ind w:left="283"/>
      </w:pPr>
      <w:r>
        <w:rPr>
          <w:rFonts w:ascii="宋体" w:hAnsi="宋体"/>
          <w:color w:val="666666"/>
          <w:sz w:val="20"/>
        </w:rPr>
        <w:t>可选改进方向：</w:t>
      </w:r>
      <w:r>
        <w:rPr>
          <w:rFonts w:ascii="宋体" w:hAnsi="宋体"/>
          <w:color w:val="666666"/>
          <w:sz w:val="20"/>
        </w:rPr>
        <w:t xml:space="preserve">① </w:t>
      </w:r>
      <w:r>
        <w:rPr>
          <w:rFonts w:ascii="宋体" w:hAnsi="宋体"/>
          <w:color w:val="666666"/>
          <w:sz w:val="20"/>
        </w:rPr>
        <w:t>在</w:t>
      </w:r>
      <w:r>
        <w:rPr>
          <w:rFonts w:ascii="宋体" w:hAnsi="宋体"/>
          <w:color w:val="666666"/>
          <w:sz w:val="20"/>
        </w:rPr>
        <w:t xml:space="preserve"> ResNet-18 </w:t>
      </w:r>
      <w:r>
        <w:rPr>
          <w:rFonts w:ascii="宋体" w:hAnsi="宋体"/>
          <w:color w:val="666666"/>
          <w:sz w:val="20"/>
        </w:rPr>
        <w:t>中集成</w:t>
      </w:r>
      <w:r>
        <w:rPr>
          <w:rFonts w:ascii="宋体" w:hAnsi="宋体"/>
          <w:color w:val="666666"/>
          <w:sz w:val="20"/>
        </w:rPr>
        <w:t xml:space="preserve"> CBAM </w:t>
      </w:r>
      <w:r>
        <w:rPr>
          <w:rFonts w:ascii="宋体" w:hAnsi="宋体"/>
          <w:color w:val="666666"/>
          <w:sz w:val="20"/>
        </w:rPr>
        <w:t>注意力模块，提升特征表示；</w:t>
      </w:r>
      <w:r>
        <w:rPr>
          <w:rFonts w:ascii="宋体" w:hAnsi="宋体"/>
          <w:color w:val="666666"/>
          <w:sz w:val="20"/>
        </w:rPr>
        <w:t xml:space="preserve">② </w:t>
      </w:r>
      <w:r>
        <w:rPr>
          <w:rFonts w:ascii="宋体" w:hAnsi="宋体"/>
          <w:color w:val="666666"/>
          <w:sz w:val="20"/>
        </w:rPr>
        <w:t>使用</w:t>
      </w:r>
      <w:r>
        <w:rPr>
          <w:rFonts w:ascii="宋体" w:hAnsi="宋体"/>
          <w:color w:val="666666"/>
          <w:sz w:val="20"/>
        </w:rPr>
        <w:t xml:space="preserve"> Focal Loss </w:t>
      </w:r>
      <w:r>
        <w:rPr>
          <w:rFonts w:ascii="宋体" w:hAnsi="宋体"/>
          <w:color w:val="666666"/>
          <w:sz w:val="20"/>
        </w:rPr>
        <w:t>替代交叉熵损失，应对类别不平衡；</w:t>
      </w:r>
      <w:r>
        <w:rPr>
          <w:rFonts w:ascii="宋体" w:hAnsi="宋体"/>
          <w:color w:val="666666"/>
          <w:sz w:val="20"/>
        </w:rPr>
        <w:t xml:space="preserve">③ </w:t>
      </w:r>
      <w:r>
        <w:rPr>
          <w:rFonts w:ascii="宋体" w:hAnsi="宋体"/>
          <w:color w:val="666666"/>
          <w:sz w:val="20"/>
        </w:rPr>
        <w:t>使用</w:t>
      </w:r>
      <w:r>
        <w:rPr>
          <w:rFonts w:ascii="宋体" w:hAnsi="宋体"/>
          <w:color w:val="666666"/>
          <w:sz w:val="20"/>
        </w:rPr>
        <w:t xml:space="preserve"> MixUp / CutMix </w:t>
      </w:r>
      <w:r>
        <w:rPr>
          <w:rFonts w:ascii="宋体" w:hAnsi="宋体"/>
          <w:color w:val="666666"/>
          <w:sz w:val="20"/>
        </w:rPr>
        <w:t>数据增强方法，提升模型泛化能力。</w:t>
      </w:r>
    </w:p>
    <w:p w14:paraId="3A373B43" w14:textId="77777777" w:rsidR="00570C0D" w:rsidRDefault="00000000">
      <w:pPr>
        <w:jc w:val="center"/>
      </w:pPr>
      <w:r>
        <w:rPr>
          <w:b/>
          <w:sz w:val="26"/>
        </w:rPr>
        <w:t>3.5. Метрики оценки</w:t>
      </w:r>
    </w:p>
    <w:p w14:paraId="73E9502E" w14:textId="77777777" w:rsidR="00570C0D" w:rsidRDefault="00000000">
      <w:pPr>
        <w:spacing w:after="160"/>
        <w:ind w:left="283"/>
      </w:pPr>
      <w:r>
        <w:rPr>
          <w:rFonts w:ascii="宋体" w:hAnsi="宋体"/>
          <w:color w:val="666666"/>
          <w:sz w:val="20"/>
        </w:rPr>
        <w:t xml:space="preserve">3.5 </w:t>
      </w:r>
      <w:r>
        <w:rPr>
          <w:rFonts w:ascii="宋体" w:hAnsi="宋体"/>
          <w:color w:val="666666"/>
          <w:sz w:val="20"/>
        </w:rPr>
        <w:t>评估指标</w:t>
      </w:r>
    </w:p>
    <w:p w14:paraId="58B5E28E" w14:textId="77777777" w:rsidR="00570C0D" w:rsidRDefault="00000000">
      <w:pPr>
        <w:spacing w:after="80"/>
      </w:pPr>
      <w:r>
        <w:t>Качество модели оценивается по следующим метрикам:</w:t>
      </w:r>
      <w:r>
        <w:br/>
        <w:t>— Accuracy (точность классификации);</w:t>
      </w:r>
      <w:r>
        <w:br/>
        <w:t>— AUC-ROC (площадь под ROC-кривой);</w:t>
      </w:r>
      <w:r>
        <w:br/>
        <w:t>— Precision (точность предсказаний положительного класса);</w:t>
      </w:r>
      <w:r>
        <w:br/>
        <w:t>— Recall (полнота, чувствительность);</w:t>
      </w:r>
      <w:r>
        <w:br/>
        <w:t>— F1-score (гармоническое среднее Precision и Recall).</w:t>
      </w:r>
    </w:p>
    <w:p w14:paraId="54C14683" w14:textId="77777777" w:rsidR="00570C0D" w:rsidRDefault="00000000">
      <w:pPr>
        <w:spacing w:after="160"/>
        <w:ind w:left="283"/>
      </w:pPr>
      <w:r>
        <w:rPr>
          <w:rFonts w:ascii="宋体" w:hAnsi="宋体"/>
          <w:color w:val="666666"/>
          <w:sz w:val="20"/>
        </w:rPr>
        <w:t>评估指标：</w:t>
      </w:r>
      <w:r>
        <w:rPr>
          <w:rFonts w:ascii="宋体" w:hAnsi="宋体"/>
          <w:color w:val="666666"/>
          <w:sz w:val="20"/>
        </w:rPr>
        <w:t>Accuracy</w:t>
      </w:r>
      <w:r>
        <w:rPr>
          <w:rFonts w:ascii="宋体" w:hAnsi="宋体"/>
          <w:color w:val="666666"/>
          <w:sz w:val="20"/>
        </w:rPr>
        <w:t>（准确率）、</w:t>
      </w:r>
      <w:r>
        <w:rPr>
          <w:rFonts w:ascii="宋体" w:hAnsi="宋体"/>
          <w:color w:val="666666"/>
          <w:sz w:val="20"/>
        </w:rPr>
        <w:t>AUC-ROC</w:t>
      </w:r>
      <w:r>
        <w:rPr>
          <w:rFonts w:ascii="宋体" w:hAnsi="宋体"/>
          <w:color w:val="666666"/>
          <w:sz w:val="20"/>
        </w:rPr>
        <w:t>（</w:t>
      </w:r>
      <w:r>
        <w:rPr>
          <w:rFonts w:ascii="宋体" w:hAnsi="宋体"/>
          <w:color w:val="666666"/>
          <w:sz w:val="20"/>
        </w:rPr>
        <w:t xml:space="preserve">ROC </w:t>
      </w:r>
      <w:r>
        <w:rPr>
          <w:rFonts w:ascii="宋体" w:hAnsi="宋体"/>
          <w:color w:val="666666"/>
          <w:sz w:val="20"/>
        </w:rPr>
        <w:t>曲线下面积）、</w:t>
      </w:r>
      <w:r>
        <w:rPr>
          <w:rFonts w:ascii="宋体" w:hAnsi="宋体"/>
          <w:color w:val="666666"/>
          <w:sz w:val="20"/>
        </w:rPr>
        <w:t>Precision</w:t>
      </w:r>
      <w:r>
        <w:rPr>
          <w:rFonts w:ascii="宋体" w:hAnsi="宋体"/>
          <w:color w:val="666666"/>
          <w:sz w:val="20"/>
        </w:rPr>
        <w:t>（精确率）、</w:t>
      </w:r>
      <w:r>
        <w:rPr>
          <w:rFonts w:ascii="宋体" w:hAnsi="宋体"/>
          <w:color w:val="666666"/>
          <w:sz w:val="20"/>
        </w:rPr>
        <w:t>Recall</w:t>
      </w:r>
      <w:r>
        <w:rPr>
          <w:rFonts w:ascii="宋体" w:hAnsi="宋体"/>
          <w:color w:val="666666"/>
          <w:sz w:val="20"/>
        </w:rPr>
        <w:t>（召回率</w:t>
      </w:r>
      <w:r>
        <w:rPr>
          <w:rFonts w:ascii="宋体" w:hAnsi="宋体"/>
          <w:color w:val="666666"/>
          <w:sz w:val="20"/>
        </w:rPr>
        <w:t>/</w:t>
      </w:r>
      <w:r>
        <w:rPr>
          <w:rFonts w:ascii="宋体" w:hAnsi="宋体"/>
          <w:color w:val="666666"/>
          <w:sz w:val="20"/>
        </w:rPr>
        <w:t>灵敏度）、</w:t>
      </w:r>
      <w:r>
        <w:rPr>
          <w:rFonts w:ascii="宋体" w:hAnsi="宋体"/>
          <w:color w:val="666666"/>
          <w:sz w:val="20"/>
        </w:rPr>
        <w:t>F1-score</w:t>
      </w:r>
      <w:r>
        <w:rPr>
          <w:rFonts w:ascii="宋体" w:hAnsi="宋体"/>
          <w:color w:val="666666"/>
          <w:sz w:val="20"/>
        </w:rPr>
        <w:t>（调和平均）。</w:t>
      </w:r>
    </w:p>
    <w:p w14:paraId="15BB0322" w14:textId="77777777" w:rsidR="00570C0D" w:rsidRDefault="00000000">
      <w:r>
        <w:br w:type="page"/>
      </w:r>
    </w:p>
    <w:p w14:paraId="4273E646" w14:textId="77777777" w:rsidR="00570C0D" w:rsidRDefault="00000000">
      <w:pPr>
        <w:jc w:val="center"/>
      </w:pPr>
      <w:r>
        <w:rPr>
          <w:b/>
          <w:sz w:val="28"/>
        </w:rPr>
        <w:lastRenderedPageBreak/>
        <w:t>4. Ожидаемые результаты</w:t>
      </w:r>
    </w:p>
    <w:p w14:paraId="7355EABC" w14:textId="77777777" w:rsidR="00570C0D" w:rsidRDefault="00000000">
      <w:pPr>
        <w:spacing w:after="160"/>
        <w:ind w:left="283"/>
      </w:pPr>
      <w:r>
        <w:rPr>
          <w:rFonts w:ascii="宋体" w:hAnsi="宋体"/>
          <w:color w:val="666666"/>
          <w:sz w:val="20"/>
        </w:rPr>
        <w:t>第</w:t>
      </w:r>
      <w:r>
        <w:rPr>
          <w:rFonts w:ascii="宋体" w:hAnsi="宋体"/>
          <w:color w:val="666666"/>
          <w:sz w:val="20"/>
        </w:rPr>
        <w:t xml:space="preserve"> 4 </w:t>
      </w:r>
      <w:r>
        <w:rPr>
          <w:rFonts w:ascii="宋体" w:hAnsi="宋体"/>
          <w:color w:val="666666"/>
          <w:sz w:val="20"/>
        </w:rPr>
        <w:t>章</w:t>
      </w:r>
      <w:r>
        <w:rPr>
          <w:rFonts w:ascii="宋体" w:hAnsi="宋体"/>
          <w:color w:val="666666"/>
          <w:sz w:val="20"/>
        </w:rPr>
        <w:t xml:space="preserve"> </w:t>
      </w:r>
      <w:r>
        <w:rPr>
          <w:rFonts w:ascii="宋体" w:hAnsi="宋体"/>
          <w:color w:val="666666"/>
          <w:sz w:val="20"/>
        </w:rPr>
        <w:t>预期成果</w:t>
      </w:r>
    </w:p>
    <w:p w14:paraId="421B304C" w14:textId="77777777" w:rsidR="00570C0D" w:rsidRDefault="00000000">
      <w:pPr>
        <w:spacing w:after="80"/>
      </w:pPr>
      <w:r>
        <w:t>В результате выполнения работы ожидается:</w:t>
      </w:r>
      <w:r>
        <w:br/>
        <w:t>1) Реализовать работающую модель на основе ResNet-18 для бинарной классификации пневмонии с accuracy не ниже 90% на тестовой выборке.</w:t>
      </w:r>
      <w:r>
        <w:br/>
        <w:t>2) Получить визуализации Grad-CAM для примеров из тестовой выборки, подтверждающие, что модель фокусируется на клинически значимых областях (лёгочные поля, затемнения, инфильтраты).</w:t>
      </w:r>
      <w:r>
        <w:br/>
        <w:t>3) Провести сравнительный анализ базовой модели и моделей с улучшениями (CBAM, Focal Loss).</w:t>
      </w:r>
      <w:r>
        <w:br/>
        <w:t>4) Оформить результаты в виде курсовой работы, соответствующей требованиям МГУ.</w:t>
      </w:r>
    </w:p>
    <w:p w14:paraId="2818B325" w14:textId="77777777" w:rsidR="00570C0D" w:rsidRDefault="00000000">
      <w:pPr>
        <w:spacing w:after="160"/>
        <w:ind w:left="283"/>
      </w:pPr>
      <w:r>
        <w:rPr>
          <w:rFonts w:ascii="宋体" w:hAnsi="宋体"/>
          <w:color w:val="666666"/>
          <w:sz w:val="20"/>
        </w:rPr>
        <w:t>预期成果：</w:t>
      </w:r>
      <w:r>
        <w:rPr>
          <w:rFonts w:ascii="宋体" w:hAnsi="宋体"/>
          <w:color w:val="666666"/>
          <w:sz w:val="20"/>
        </w:rPr>
        <w:t xml:space="preserve">① </w:t>
      </w:r>
      <w:r>
        <w:rPr>
          <w:rFonts w:ascii="宋体" w:hAnsi="宋体"/>
          <w:color w:val="666666"/>
          <w:sz w:val="20"/>
        </w:rPr>
        <w:t>实现</w:t>
      </w:r>
      <w:r>
        <w:rPr>
          <w:rFonts w:ascii="宋体" w:hAnsi="宋体"/>
          <w:color w:val="666666"/>
          <w:sz w:val="20"/>
        </w:rPr>
        <w:t xml:space="preserve"> ResNet-18 </w:t>
      </w:r>
      <w:r>
        <w:rPr>
          <w:rFonts w:ascii="宋体" w:hAnsi="宋体"/>
          <w:color w:val="666666"/>
          <w:sz w:val="20"/>
        </w:rPr>
        <w:t>二分类模型，测试集</w:t>
      </w:r>
      <w:r>
        <w:rPr>
          <w:rFonts w:ascii="宋体" w:hAnsi="宋体"/>
          <w:color w:val="666666"/>
          <w:sz w:val="20"/>
        </w:rPr>
        <w:t xml:space="preserve"> Accuracy ≥ 90%</w:t>
      </w:r>
      <w:r>
        <w:rPr>
          <w:rFonts w:ascii="宋体" w:hAnsi="宋体"/>
          <w:color w:val="666666"/>
          <w:sz w:val="20"/>
        </w:rPr>
        <w:t>；</w:t>
      </w:r>
      <w:r>
        <w:rPr>
          <w:rFonts w:ascii="宋体" w:hAnsi="宋体"/>
          <w:color w:val="666666"/>
          <w:sz w:val="20"/>
        </w:rPr>
        <w:t xml:space="preserve">② </w:t>
      </w:r>
      <w:r>
        <w:rPr>
          <w:rFonts w:ascii="宋体" w:hAnsi="宋体"/>
          <w:color w:val="666666"/>
          <w:sz w:val="20"/>
        </w:rPr>
        <w:t>生成</w:t>
      </w:r>
      <w:r>
        <w:rPr>
          <w:rFonts w:ascii="宋体" w:hAnsi="宋体"/>
          <w:color w:val="666666"/>
          <w:sz w:val="20"/>
        </w:rPr>
        <w:t xml:space="preserve"> Grad-CAM </w:t>
      </w:r>
      <w:r>
        <w:rPr>
          <w:rFonts w:ascii="宋体" w:hAnsi="宋体"/>
          <w:color w:val="666666"/>
          <w:sz w:val="20"/>
        </w:rPr>
        <w:t>可视化，验证模型关注区域与临床特征一致；</w:t>
      </w:r>
      <w:r>
        <w:rPr>
          <w:rFonts w:ascii="宋体" w:hAnsi="宋体"/>
          <w:color w:val="666666"/>
          <w:sz w:val="20"/>
        </w:rPr>
        <w:t xml:space="preserve">③ </w:t>
      </w:r>
      <w:r>
        <w:rPr>
          <w:rFonts w:ascii="宋体" w:hAnsi="宋体"/>
          <w:color w:val="666666"/>
          <w:sz w:val="20"/>
        </w:rPr>
        <w:t>对比基线模型与改进模型（</w:t>
      </w:r>
      <w:r>
        <w:rPr>
          <w:rFonts w:ascii="宋体" w:hAnsi="宋体"/>
          <w:color w:val="666666"/>
          <w:sz w:val="20"/>
        </w:rPr>
        <w:t>CBAM</w:t>
      </w:r>
      <w:r>
        <w:rPr>
          <w:rFonts w:ascii="宋体" w:hAnsi="宋体"/>
          <w:color w:val="666666"/>
          <w:sz w:val="20"/>
        </w:rPr>
        <w:t>、</w:t>
      </w:r>
      <w:r>
        <w:rPr>
          <w:rFonts w:ascii="宋体" w:hAnsi="宋体"/>
          <w:color w:val="666666"/>
          <w:sz w:val="20"/>
        </w:rPr>
        <w:t>Focal Loss</w:t>
      </w:r>
      <w:r>
        <w:rPr>
          <w:rFonts w:ascii="宋体" w:hAnsi="宋体"/>
          <w:color w:val="666666"/>
          <w:sz w:val="20"/>
        </w:rPr>
        <w:t>）的性能；</w:t>
      </w:r>
      <w:r>
        <w:rPr>
          <w:rFonts w:ascii="宋体" w:hAnsi="宋体"/>
          <w:color w:val="666666"/>
          <w:sz w:val="20"/>
        </w:rPr>
        <w:t xml:space="preserve">④ </w:t>
      </w:r>
      <w:r>
        <w:rPr>
          <w:rFonts w:ascii="宋体" w:hAnsi="宋体"/>
          <w:color w:val="666666"/>
          <w:sz w:val="20"/>
        </w:rPr>
        <w:t>撰写符合</w:t>
      </w:r>
      <w:r>
        <w:rPr>
          <w:rFonts w:ascii="宋体" w:hAnsi="宋体"/>
          <w:color w:val="666666"/>
          <w:sz w:val="20"/>
        </w:rPr>
        <w:t xml:space="preserve"> МГУ </w:t>
      </w:r>
      <w:r>
        <w:rPr>
          <w:rFonts w:ascii="宋体" w:hAnsi="宋体"/>
          <w:color w:val="666666"/>
          <w:sz w:val="20"/>
        </w:rPr>
        <w:t>要求的课程论文。</w:t>
      </w:r>
    </w:p>
    <w:p w14:paraId="569D5C9F" w14:textId="77777777" w:rsidR="00570C0D" w:rsidRDefault="00000000">
      <w:r>
        <w:br w:type="page"/>
      </w:r>
    </w:p>
    <w:p w14:paraId="6DF712DB" w14:textId="77777777" w:rsidR="00570C0D" w:rsidRDefault="00000000">
      <w:pPr>
        <w:jc w:val="center"/>
      </w:pPr>
      <w:r>
        <w:rPr>
          <w:b/>
          <w:sz w:val="28"/>
        </w:rPr>
        <w:lastRenderedPageBreak/>
        <w:t>5. Календарный план</w:t>
      </w:r>
    </w:p>
    <w:p w14:paraId="3A9B4642" w14:textId="77777777" w:rsidR="00570C0D" w:rsidRDefault="00000000">
      <w:pPr>
        <w:spacing w:after="160"/>
        <w:ind w:left="283"/>
      </w:pPr>
      <w:r>
        <w:rPr>
          <w:rFonts w:ascii="宋体" w:hAnsi="宋体"/>
          <w:color w:val="666666"/>
          <w:sz w:val="20"/>
        </w:rPr>
        <w:t>第</w:t>
      </w:r>
      <w:r>
        <w:rPr>
          <w:rFonts w:ascii="宋体" w:hAnsi="宋体"/>
          <w:color w:val="666666"/>
          <w:sz w:val="20"/>
        </w:rPr>
        <w:t xml:space="preserve"> 5 </w:t>
      </w:r>
      <w:r>
        <w:rPr>
          <w:rFonts w:ascii="宋体" w:hAnsi="宋体"/>
          <w:color w:val="666666"/>
          <w:sz w:val="20"/>
        </w:rPr>
        <w:t>章</w:t>
      </w:r>
      <w:r>
        <w:rPr>
          <w:rFonts w:ascii="宋体" w:hAnsi="宋体"/>
          <w:color w:val="666666"/>
          <w:sz w:val="20"/>
        </w:rPr>
        <w:t xml:space="preserve"> </w:t>
      </w:r>
      <w:r>
        <w:rPr>
          <w:rFonts w:ascii="宋体" w:hAnsi="宋体"/>
          <w:color w:val="666666"/>
          <w:sz w:val="20"/>
        </w:rPr>
        <w:t>时间计划</w:t>
      </w:r>
    </w:p>
    <w:tbl>
      <w:tblPr>
        <w:tblStyle w:val="aff1"/>
        <w:tblW w:w="0" w:type="auto"/>
        <w:jc w:val="center"/>
        <w:tblLook w:val="04A0" w:firstRow="1" w:lastRow="0" w:firstColumn="1" w:lastColumn="0" w:noHBand="0" w:noVBand="1"/>
      </w:tblPr>
      <w:tblGrid>
        <w:gridCol w:w="2880"/>
        <w:gridCol w:w="2880"/>
        <w:gridCol w:w="2880"/>
      </w:tblGrid>
      <w:tr w:rsidR="00570C0D" w14:paraId="2EA9FABD" w14:textId="77777777">
        <w:trPr>
          <w:jc w:val="center"/>
        </w:trPr>
        <w:tc>
          <w:tcPr>
            <w:tcW w:w="2880" w:type="dxa"/>
            <w:shd w:val="clear" w:color="auto" w:fill="D9E1F2"/>
          </w:tcPr>
          <w:p w14:paraId="71E31EA0" w14:textId="77777777" w:rsidR="00570C0D" w:rsidRDefault="00000000">
            <w:r>
              <w:rPr>
                <w:b/>
                <w:sz w:val="22"/>
              </w:rPr>
              <w:t>Этап / Stage</w:t>
            </w:r>
          </w:p>
        </w:tc>
        <w:tc>
          <w:tcPr>
            <w:tcW w:w="2880" w:type="dxa"/>
            <w:shd w:val="clear" w:color="auto" w:fill="D9E1F2"/>
          </w:tcPr>
          <w:p w14:paraId="311AD95C" w14:textId="77777777" w:rsidR="00570C0D" w:rsidRDefault="00000000">
            <w:r>
              <w:rPr>
                <w:b/>
                <w:sz w:val="22"/>
              </w:rPr>
              <w:t xml:space="preserve">Содержание работ / </w:t>
            </w:r>
            <w:r>
              <w:rPr>
                <w:b/>
                <w:sz w:val="22"/>
              </w:rPr>
              <w:t>工作内容</w:t>
            </w:r>
          </w:p>
        </w:tc>
        <w:tc>
          <w:tcPr>
            <w:tcW w:w="2880" w:type="dxa"/>
            <w:shd w:val="clear" w:color="auto" w:fill="D9E1F2"/>
          </w:tcPr>
          <w:p w14:paraId="6E11745D" w14:textId="77777777" w:rsidR="00570C0D" w:rsidRDefault="00000000">
            <w:r>
              <w:rPr>
                <w:b/>
                <w:sz w:val="22"/>
              </w:rPr>
              <w:t xml:space="preserve">Срок (недели) / </w:t>
            </w:r>
            <w:r>
              <w:rPr>
                <w:b/>
                <w:sz w:val="22"/>
              </w:rPr>
              <w:t>时间（周）</w:t>
            </w:r>
          </w:p>
        </w:tc>
      </w:tr>
      <w:tr w:rsidR="00570C0D" w14:paraId="2A36884E" w14:textId="77777777">
        <w:trPr>
          <w:jc w:val="center"/>
        </w:trPr>
        <w:tc>
          <w:tcPr>
            <w:tcW w:w="2880" w:type="dxa"/>
          </w:tcPr>
          <w:p w14:paraId="4A04EE50" w14:textId="77777777" w:rsidR="00570C0D" w:rsidRDefault="00000000">
            <w:r>
              <w:rPr>
                <w:sz w:val="22"/>
              </w:rPr>
              <w:t>Этап 1: Базовая модель и Grad-CAM</w:t>
            </w:r>
            <w:r>
              <w:rPr>
                <w:sz w:val="22"/>
              </w:rPr>
              <w:br/>
            </w:r>
            <w:r>
              <w:rPr>
                <w:sz w:val="22"/>
              </w:rPr>
              <w:t>阶段一：基线模型与</w:t>
            </w:r>
            <w:r>
              <w:rPr>
                <w:sz w:val="22"/>
              </w:rPr>
              <w:t xml:space="preserve"> Grad-CAM</w:t>
            </w:r>
          </w:p>
        </w:tc>
        <w:tc>
          <w:tcPr>
            <w:tcW w:w="2880" w:type="dxa"/>
          </w:tcPr>
          <w:p w14:paraId="3A37621B" w14:textId="77777777" w:rsidR="00570C0D" w:rsidRDefault="00000000">
            <w:r>
              <w:rPr>
                <w:sz w:val="22"/>
              </w:rPr>
              <w:t>• Обзор литературы</w:t>
            </w:r>
            <w:r>
              <w:rPr>
                <w:sz w:val="22"/>
              </w:rPr>
              <w:br/>
              <w:t>• Подготовка данных ChestXRay2017</w:t>
            </w:r>
            <w:r>
              <w:rPr>
                <w:sz w:val="22"/>
              </w:rPr>
              <w:br/>
              <w:t>• Реализация ResNet-18 baseline</w:t>
            </w:r>
            <w:r>
              <w:rPr>
                <w:sz w:val="22"/>
              </w:rPr>
              <w:br/>
              <w:t>• Внедрение Grad-CAM</w:t>
            </w:r>
            <w:r>
              <w:rPr>
                <w:sz w:val="22"/>
              </w:rPr>
              <w:br/>
              <w:t>• Первичная оценка на тестовой выборке</w:t>
            </w:r>
            <w:r>
              <w:rPr>
                <w:sz w:val="22"/>
              </w:rPr>
              <w:br/>
            </w:r>
            <w:r>
              <w:rPr>
                <w:sz w:val="22"/>
              </w:rPr>
              <w:br/>
            </w:r>
            <w:r>
              <w:rPr>
                <w:sz w:val="22"/>
              </w:rPr>
              <w:t>文献综述</w:t>
            </w:r>
            <w:r>
              <w:rPr>
                <w:sz w:val="22"/>
              </w:rPr>
              <w:br/>
              <w:t xml:space="preserve">ChestXRay2017 </w:t>
            </w:r>
            <w:r>
              <w:rPr>
                <w:sz w:val="22"/>
              </w:rPr>
              <w:t>数据准备</w:t>
            </w:r>
            <w:r>
              <w:rPr>
                <w:sz w:val="22"/>
              </w:rPr>
              <w:br/>
              <w:t xml:space="preserve">ResNet-18 </w:t>
            </w:r>
            <w:r>
              <w:rPr>
                <w:sz w:val="22"/>
              </w:rPr>
              <w:t>基线实现</w:t>
            </w:r>
            <w:r>
              <w:rPr>
                <w:sz w:val="22"/>
              </w:rPr>
              <w:br/>
            </w:r>
            <w:r>
              <w:rPr>
                <w:sz w:val="22"/>
              </w:rPr>
              <w:t>集成</w:t>
            </w:r>
            <w:r>
              <w:rPr>
                <w:sz w:val="22"/>
              </w:rPr>
              <w:t xml:space="preserve"> Grad-CAM</w:t>
            </w:r>
            <w:r>
              <w:rPr>
                <w:sz w:val="22"/>
              </w:rPr>
              <w:br/>
            </w:r>
            <w:r>
              <w:rPr>
                <w:sz w:val="22"/>
              </w:rPr>
              <w:t>初步测试集评估</w:t>
            </w:r>
          </w:p>
        </w:tc>
        <w:tc>
          <w:tcPr>
            <w:tcW w:w="2880" w:type="dxa"/>
          </w:tcPr>
          <w:p w14:paraId="79BB86FD" w14:textId="77777777" w:rsidR="00570C0D" w:rsidRDefault="00000000">
            <w:r>
              <w:rPr>
                <w:sz w:val="22"/>
              </w:rPr>
              <w:t>2–3 недели</w:t>
            </w:r>
          </w:p>
        </w:tc>
      </w:tr>
      <w:tr w:rsidR="00570C0D" w14:paraId="61A8A697" w14:textId="77777777">
        <w:trPr>
          <w:jc w:val="center"/>
        </w:trPr>
        <w:tc>
          <w:tcPr>
            <w:tcW w:w="2880" w:type="dxa"/>
          </w:tcPr>
          <w:p w14:paraId="0917DD80" w14:textId="77777777" w:rsidR="00570C0D" w:rsidRDefault="00000000">
            <w:r>
              <w:rPr>
                <w:sz w:val="22"/>
              </w:rPr>
              <w:t>Этап 2: Улучшение модели</w:t>
            </w:r>
            <w:r>
              <w:rPr>
                <w:sz w:val="22"/>
              </w:rPr>
              <w:br/>
            </w:r>
            <w:r>
              <w:rPr>
                <w:sz w:val="22"/>
              </w:rPr>
              <w:t>阶段二：模型改进</w:t>
            </w:r>
          </w:p>
        </w:tc>
        <w:tc>
          <w:tcPr>
            <w:tcW w:w="2880" w:type="dxa"/>
          </w:tcPr>
          <w:p w14:paraId="73991DB6" w14:textId="77777777" w:rsidR="00570C0D" w:rsidRDefault="00000000">
            <w:r>
              <w:rPr>
                <w:sz w:val="22"/>
              </w:rPr>
              <w:t>• Интеграция модуля CBAM</w:t>
            </w:r>
            <w:r>
              <w:rPr>
                <w:sz w:val="22"/>
              </w:rPr>
              <w:br/>
              <w:t>• Настройка гиперпараметров</w:t>
            </w:r>
            <w:r>
              <w:rPr>
                <w:sz w:val="22"/>
              </w:rPr>
              <w:br/>
              <w:t>• Эксперименты с Focal Loss</w:t>
            </w:r>
            <w:r>
              <w:rPr>
                <w:sz w:val="22"/>
              </w:rPr>
              <w:br/>
              <w:t>• Сравнительный анализ моделей</w:t>
            </w:r>
            <w:r>
              <w:rPr>
                <w:sz w:val="22"/>
              </w:rPr>
              <w:br/>
            </w:r>
            <w:r>
              <w:rPr>
                <w:sz w:val="22"/>
              </w:rPr>
              <w:br/>
            </w:r>
            <w:r>
              <w:rPr>
                <w:sz w:val="22"/>
              </w:rPr>
              <w:t>集成</w:t>
            </w:r>
            <w:r>
              <w:rPr>
                <w:sz w:val="22"/>
              </w:rPr>
              <w:t xml:space="preserve"> CBAM </w:t>
            </w:r>
            <w:r>
              <w:rPr>
                <w:sz w:val="22"/>
              </w:rPr>
              <w:t>模块</w:t>
            </w:r>
            <w:r>
              <w:rPr>
                <w:sz w:val="22"/>
              </w:rPr>
              <w:br/>
            </w:r>
            <w:r>
              <w:rPr>
                <w:sz w:val="22"/>
              </w:rPr>
              <w:lastRenderedPageBreak/>
              <w:t>超参数调优</w:t>
            </w:r>
            <w:r>
              <w:rPr>
                <w:sz w:val="22"/>
              </w:rPr>
              <w:br/>
              <w:t xml:space="preserve">Focal Loss </w:t>
            </w:r>
            <w:r>
              <w:rPr>
                <w:sz w:val="22"/>
              </w:rPr>
              <w:t>实验</w:t>
            </w:r>
            <w:r>
              <w:rPr>
                <w:sz w:val="22"/>
              </w:rPr>
              <w:br/>
            </w:r>
            <w:r>
              <w:rPr>
                <w:sz w:val="22"/>
              </w:rPr>
              <w:t>模型对比分析</w:t>
            </w:r>
          </w:p>
        </w:tc>
        <w:tc>
          <w:tcPr>
            <w:tcW w:w="2880" w:type="dxa"/>
          </w:tcPr>
          <w:p w14:paraId="5415C162" w14:textId="77777777" w:rsidR="00570C0D" w:rsidRDefault="00000000">
            <w:r>
              <w:rPr>
                <w:sz w:val="22"/>
              </w:rPr>
              <w:lastRenderedPageBreak/>
              <w:t>3–4 недели</w:t>
            </w:r>
          </w:p>
        </w:tc>
      </w:tr>
      <w:tr w:rsidR="00570C0D" w14:paraId="61DD56B0" w14:textId="77777777">
        <w:trPr>
          <w:jc w:val="center"/>
        </w:trPr>
        <w:tc>
          <w:tcPr>
            <w:tcW w:w="2880" w:type="dxa"/>
          </w:tcPr>
          <w:p w14:paraId="1E0BCE77" w14:textId="77777777" w:rsidR="00570C0D" w:rsidRDefault="00000000">
            <w:r>
              <w:rPr>
                <w:sz w:val="22"/>
              </w:rPr>
              <w:t>Этап 3: Завершение и оформление</w:t>
            </w:r>
            <w:r>
              <w:rPr>
                <w:sz w:val="22"/>
              </w:rPr>
              <w:br/>
            </w:r>
            <w:r>
              <w:rPr>
                <w:sz w:val="22"/>
              </w:rPr>
              <w:t>阶段三：收尾与撰写</w:t>
            </w:r>
          </w:p>
        </w:tc>
        <w:tc>
          <w:tcPr>
            <w:tcW w:w="2880" w:type="dxa"/>
          </w:tcPr>
          <w:p w14:paraId="45FC7C61" w14:textId="77777777" w:rsidR="00570C0D" w:rsidRDefault="00000000">
            <w:r>
              <w:rPr>
                <w:sz w:val="22"/>
              </w:rPr>
              <w:t>• Дообучение и финальная оценка</w:t>
            </w:r>
            <w:r>
              <w:rPr>
                <w:sz w:val="22"/>
              </w:rPr>
              <w:br/>
              <w:t>• Оформление курсовой работы</w:t>
            </w:r>
            <w:r>
              <w:rPr>
                <w:sz w:val="22"/>
              </w:rPr>
              <w:br/>
              <w:t>• Подготовка презентации</w:t>
            </w:r>
            <w:r>
              <w:rPr>
                <w:sz w:val="22"/>
              </w:rPr>
              <w:br/>
              <w:t>• Участие в конкурсе (опционально)</w:t>
            </w:r>
            <w:r>
              <w:rPr>
                <w:sz w:val="22"/>
              </w:rPr>
              <w:br/>
            </w:r>
            <w:r>
              <w:rPr>
                <w:sz w:val="22"/>
              </w:rPr>
              <w:br/>
            </w:r>
            <w:r>
              <w:rPr>
                <w:sz w:val="22"/>
              </w:rPr>
              <w:t>最终训练与评估</w:t>
            </w:r>
            <w:r>
              <w:rPr>
                <w:sz w:val="22"/>
              </w:rPr>
              <w:br/>
            </w:r>
            <w:r>
              <w:rPr>
                <w:sz w:val="22"/>
              </w:rPr>
              <w:t>课程论文撰写</w:t>
            </w:r>
            <w:r>
              <w:rPr>
                <w:sz w:val="22"/>
              </w:rPr>
              <w:br/>
              <w:t xml:space="preserve">PPT </w:t>
            </w:r>
            <w:r>
              <w:rPr>
                <w:sz w:val="22"/>
              </w:rPr>
              <w:t>准备</w:t>
            </w:r>
            <w:r>
              <w:rPr>
                <w:sz w:val="22"/>
              </w:rPr>
              <w:br/>
            </w:r>
            <w:r>
              <w:rPr>
                <w:sz w:val="22"/>
              </w:rPr>
              <w:t>参赛（可选）</w:t>
            </w:r>
          </w:p>
        </w:tc>
        <w:tc>
          <w:tcPr>
            <w:tcW w:w="2880" w:type="dxa"/>
          </w:tcPr>
          <w:p w14:paraId="023C6438" w14:textId="77777777" w:rsidR="00570C0D" w:rsidRDefault="00000000">
            <w:r>
              <w:rPr>
                <w:sz w:val="22"/>
              </w:rPr>
              <w:t>2–3 недели</w:t>
            </w:r>
          </w:p>
        </w:tc>
      </w:tr>
      <w:tr w:rsidR="00570C0D" w14:paraId="20FEA886" w14:textId="77777777">
        <w:trPr>
          <w:jc w:val="center"/>
        </w:trPr>
        <w:tc>
          <w:tcPr>
            <w:tcW w:w="2880" w:type="dxa"/>
          </w:tcPr>
          <w:p w14:paraId="03538D70" w14:textId="77777777" w:rsidR="00570C0D" w:rsidRDefault="00000000">
            <w:r>
              <w:rPr>
                <w:b/>
              </w:rPr>
              <w:t xml:space="preserve">Итого / </w:t>
            </w:r>
            <w:r>
              <w:rPr>
                <w:b/>
              </w:rPr>
              <w:t>总计</w:t>
            </w:r>
          </w:p>
        </w:tc>
        <w:tc>
          <w:tcPr>
            <w:tcW w:w="2880" w:type="dxa"/>
          </w:tcPr>
          <w:p w14:paraId="3765B098" w14:textId="77777777" w:rsidR="00570C0D" w:rsidRDefault="00000000">
            <w:r>
              <w:rPr>
                <w:b/>
              </w:rPr>
              <w:t>Полный цикл исследования и оформления работы</w:t>
            </w:r>
            <w:r>
              <w:rPr>
                <w:b/>
              </w:rPr>
              <w:br/>
            </w:r>
            <w:r>
              <w:rPr>
                <w:b/>
              </w:rPr>
              <w:t>完整研究及论文撰写周期</w:t>
            </w:r>
          </w:p>
        </w:tc>
        <w:tc>
          <w:tcPr>
            <w:tcW w:w="2880" w:type="dxa"/>
          </w:tcPr>
          <w:p w14:paraId="533485D2" w14:textId="77777777" w:rsidR="00570C0D" w:rsidRDefault="00000000">
            <w:r>
              <w:rPr>
                <w:b/>
              </w:rPr>
              <w:t xml:space="preserve">7–10 недель / </w:t>
            </w:r>
            <w:r>
              <w:rPr>
                <w:b/>
              </w:rPr>
              <w:t>约</w:t>
            </w:r>
            <w:r>
              <w:rPr>
                <w:b/>
              </w:rPr>
              <w:t xml:space="preserve"> 2–2.5 месяца</w:t>
            </w:r>
          </w:p>
        </w:tc>
      </w:tr>
    </w:tbl>
    <w:p w14:paraId="6493F159" w14:textId="77777777" w:rsidR="00570C0D" w:rsidRDefault="00570C0D"/>
    <w:p w14:paraId="1A9EC6EA" w14:textId="77777777" w:rsidR="00570C0D" w:rsidRDefault="00000000">
      <w:pPr>
        <w:jc w:val="center"/>
      </w:pPr>
      <w:r>
        <w:rPr>
          <w:b/>
          <w:sz w:val="28"/>
        </w:rPr>
        <w:t>6. Практическая значимость</w:t>
      </w:r>
    </w:p>
    <w:p w14:paraId="5841C1D8" w14:textId="77777777" w:rsidR="00570C0D" w:rsidRDefault="00000000">
      <w:pPr>
        <w:spacing w:after="160"/>
        <w:ind w:left="283"/>
      </w:pPr>
      <w:r>
        <w:rPr>
          <w:rFonts w:ascii="宋体" w:hAnsi="宋体"/>
          <w:color w:val="666666"/>
          <w:sz w:val="20"/>
        </w:rPr>
        <w:t>第</w:t>
      </w:r>
      <w:r>
        <w:rPr>
          <w:rFonts w:ascii="宋体" w:hAnsi="宋体"/>
          <w:color w:val="666666"/>
          <w:sz w:val="20"/>
        </w:rPr>
        <w:t xml:space="preserve"> 6 </w:t>
      </w:r>
      <w:r>
        <w:rPr>
          <w:rFonts w:ascii="宋体" w:hAnsi="宋体"/>
          <w:color w:val="666666"/>
          <w:sz w:val="20"/>
        </w:rPr>
        <w:t>章</w:t>
      </w:r>
      <w:r>
        <w:rPr>
          <w:rFonts w:ascii="宋体" w:hAnsi="宋体"/>
          <w:color w:val="666666"/>
          <w:sz w:val="20"/>
        </w:rPr>
        <w:t xml:space="preserve"> </w:t>
      </w:r>
      <w:r>
        <w:rPr>
          <w:rFonts w:ascii="宋体" w:hAnsi="宋体"/>
          <w:color w:val="666666"/>
          <w:sz w:val="20"/>
        </w:rPr>
        <w:t>实用价值</w:t>
      </w:r>
    </w:p>
    <w:p w14:paraId="6DB65634" w14:textId="77777777" w:rsidR="00570C0D" w:rsidRDefault="00000000">
      <w:pPr>
        <w:spacing w:after="80"/>
      </w:pPr>
      <w:r>
        <w:t>Разработанная модель может быть использована как вспомогательный инструмент для врачей-рентгенологов, позволяя снизить риск пропуска пневмонии (повысить Recall) и ускорить процесс первичного скрининга. Визуализация Grad-CAM обеспечивает прозрачность решений ИИ, что критически важно для доверия врачей и последующего внедрения в клиническую практику.</w:t>
      </w:r>
      <w:r>
        <w:br/>
      </w:r>
      <w:r>
        <w:lastRenderedPageBreak/>
        <w:br/>
        <w:t>Результаты работы могут быть представлены на студенческих конференциях и использованы для участия в профильных соревнованиях по медицинскому ИИ (например, MICCAI Challenges).</w:t>
      </w:r>
    </w:p>
    <w:p w14:paraId="071607D3" w14:textId="77777777" w:rsidR="00570C0D" w:rsidRDefault="00000000">
      <w:pPr>
        <w:spacing w:after="160"/>
        <w:ind w:left="283"/>
      </w:pPr>
      <w:r>
        <w:rPr>
          <w:rFonts w:ascii="宋体" w:hAnsi="宋体"/>
          <w:color w:val="666666"/>
          <w:sz w:val="20"/>
        </w:rPr>
        <w:t>本模型可作为放射科医生的辅助工具，降低漏诊率（提升</w:t>
      </w:r>
      <w:r>
        <w:rPr>
          <w:rFonts w:ascii="宋体" w:hAnsi="宋体"/>
          <w:color w:val="666666"/>
          <w:sz w:val="20"/>
        </w:rPr>
        <w:t xml:space="preserve"> Recall</w:t>
      </w:r>
      <w:r>
        <w:rPr>
          <w:rFonts w:ascii="宋体" w:hAnsi="宋体"/>
          <w:color w:val="666666"/>
          <w:sz w:val="20"/>
        </w:rPr>
        <w:t>）、加快初筛速度。</w:t>
      </w:r>
      <w:r>
        <w:rPr>
          <w:rFonts w:ascii="宋体" w:hAnsi="宋体"/>
          <w:color w:val="666666"/>
          <w:sz w:val="20"/>
        </w:rPr>
        <w:t xml:space="preserve">Grad-CAM </w:t>
      </w:r>
      <w:r>
        <w:rPr>
          <w:rFonts w:ascii="宋体" w:hAnsi="宋体"/>
          <w:color w:val="666666"/>
          <w:sz w:val="20"/>
        </w:rPr>
        <w:t>可视化确保</w:t>
      </w:r>
      <w:r>
        <w:rPr>
          <w:rFonts w:ascii="宋体" w:hAnsi="宋体"/>
          <w:color w:val="666666"/>
          <w:sz w:val="20"/>
        </w:rPr>
        <w:t xml:space="preserve"> AI </w:t>
      </w:r>
      <w:r>
        <w:rPr>
          <w:rFonts w:ascii="宋体" w:hAnsi="宋体"/>
          <w:color w:val="666666"/>
          <w:sz w:val="20"/>
        </w:rPr>
        <w:t>决策的透明度，这对医生信任和临床落地至关重要。研究成果可投稿学生会议，亦可用于参加医学</w:t>
      </w:r>
      <w:r>
        <w:rPr>
          <w:rFonts w:ascii="宋体" w:hAnsi="宋体"/>
          <w:color w:val="666666"/>
          <w:sz w:val="20"/>
        </w:rPr>
        <w:t xml:space="preserve"> AI </w:t>
      </w:r>
      <w:r>
        <w:rPr>
          <w:rFonts w:ascii="宋体" w:hAnsi="宋体"/>
          <w:color w:val="666666"/>
          <w:sz w:val="20"/>
        </w:rPr>
        <w:t>相关竞赛（如</w:t>
      </w:r>
      <w:r>
        <w:rPr>
          <w:rFonts w:ascii="宋体" w:hAnsi="宋体"/>
          <w:color w:val="666666"/>
          <w:sz w:val="20"/>
        </w:rPr>
        <w:t xml:space="preserve"> MICCAI Challenges</w:t>
      </w:r>
      <w:r>
        <w:rPr>
          <w:rFonts w:ascii="宋体" w:hAnsi="宋体"/>
          <w:color w:val="666666"/>
          <w:sz w:val="20"/>
        </w:rPr>
        <w:t>）。</w:t>
      </w:r>
    </w:p>
    <w:p w14:paraId="7336D1BC" w14:textId="77777777" w:rsidR="00570C0D" w:rsidRDefault="00000000">
      <w:r>
        <w:br w:type="page"/>
      </w:r>
    </w:p>
    <w:p w14:paraId="19192052" w14:textId="77777777" w:rsidR="00570C0D" w:rsidRDefault="00000000">
      <w:pPr>
        <w:jc w:val="center"/>
      </w:pPr>
      <w:r>
        <w:rPr>
          <w:b/>
          <w:sz w:val="28"/>
        </w:rPr>
        <w:lastRenderedPageBreak/>
        <w:t>7. Список литературы</w:t>
      </w:r>
    </w:p>
    <w:p w14:paraId="73F9A98D" w14:textId="77777777" w:rsidR="00570C0D" w:rsidRDefault="00000000">
      <w:pPr>
        <w:spacing w:after="160"/>
        <w:ind w:left="283"/>
      </w:pPr>
      <w:r>
        <w:rPr>
          <w:rFonts w:ascii="宋体" w:hAnsi="宋体"/>
          <w:color w:val="666666"/>
          <w:sz w:val="20"/>
        </w:rPr>
        <w:t>第</w:t>
      </w:r>
      <w:r>
        <w:rPr>
          <w:rFonts w:ascii="宋体" w:hAnsi="宋体"/>
          <w:color w:val="666666"/>
          <w:sz w:val="20"/>
        </w:rPr>
        <w:t xml:space="preserve"> 7 </w:t>
      </w:r>
      <w:r>
        <w:rPr>
          <w:rFonts w:ascii="宋体" w:hAnsi="宋体"/>
          <w:color w:val="666666"/>
          <w:sz w:val="20"/>
        </w:rPr>
        <w:t>章</w:t>
      </w:r>
      <w:r>
        <w:rPr>
          <w:rFonts w:ascii="宋体" w:hAnsi="宋体"/>
          <w:color w:val="666666"/>
          <w:sz w:val="20"/>
        </w:rPr>
        <w:t xml:space="preserve"> </w:t>
      </w:r>
      <w:r>
        <w:rPr>
          <w:rFonts w:ascii="宋体" w:hAnsi="宋体"/>
          <w:color w:val="666666"/>
          <w:sz w:val="20"/>
        </w:rPr>
        <w:t>参考文献</w:t>
      </w:r>
    </w:p>
    <w:p w14:paraId="4BEA762A" w14:textId="77777777" w:rsidR="00570C0D" w:rsidRDefault="00000000">
      <w:pPr>
        <w:spacing w:after="120"/>
      </w:pPr>
      <w:r>
        <w:rPr>
          <w:sz w:val="22"/>
        </w:rPr>
        <w:t>[1] Rajpurkar P., Irvin J., Zhu K. et al. CheXNet: Radiologist-Level Pneumonia Detection on Chest X-Rays with Deep Learning. arXiv:1711.05225, 2017.</w:t>
      </w:r>
    </w:p>
    <w:p w14:paraId="7CC4117B" w14:textId="77777777" w:rsidR="00570C0D" w:rsidRDefault="00000000">
      <w:pPr>
        <w:spacing w:after="120"/>
      </w:pPr>
      <w:r>
        <w:rPr>
          <w:sz w:val="22"/>
        </w:rPr>
        <w:t>[2] Selvaraju R.R., Cogswell M., Das A. et al. Grad-CAM: Visual Explanations from Deep Networks via Gradient-based Localization. ICCV 2017.</w:t>
      </w:r>
    </w:p>
    <w:p w14:paraId="08DF8EED" w14:textId="77777777" w:rsidR="00570C0D" w:rsidRDefault="00000000">
      <w:pPr>
        <w:spacing w:after="120"/>
      </w:pPr>
      <w:r>
        <w:rPr>
          <w:sz w:val="22"/>
        </w:rPr>
        <w:t>[3] He K., Zhang X., Ren S., Sun J. Deep Residual Learning for Image Recognition. CVPR 2016.</w:t>
      </w:r>
    </w:p>
    <w:p w14:paraId="037ADBAA" w14:textId="77777777" w:rsidR="00570C0D" w:rsidRDefault="00000000">
      <w:pPr>
        <w:spacing w:after="120"/>
      </w:pPr>
      <w:r>
        <w:rPr>
          <w:sz w:val="22"/>
        </w:rPr>
        <w:t>[4] Woo S., Park J., Lee J.Y., Kweon I.S. CBAM: Convolutional Block Attention Module. ECCV 2018.</w:t>
      </w:r>
    </w:p>
    <w:p w14:paraId="1B49B9C3" w14:textId="77777777" w:rsidR="00570C0D" w:rsidRDefault="00000000">
      <w:pPr>
        <w:spacing w:after="120"/>
      </w:pPr>
      <w:r>
        <w:rPr>
          <w:sz w:val="22"/>
        </w:rPr>
        <w:t>[5] Lin T.Y., Goyal P., Girshick R. et al. Focal Loss for Dense Object Detection. ICCV 2017.</w:t>
      </w:r>
    </w:p>
    <w:p w14:paraId="76683FBC" w14:textId="77777777" w:rsidR="00570C0D" w:rsidRDefault="00000000">
      <w:pPr>
        <w:spacing w:after="120"/>
      </w:pPr>
      <w:r>
        <w:rPr>
          <w:sz w:val="22"/>
        </w:rPr>
        <w:t>[6] Kermany D.S., Goldbaum M., Cai W. et al. Identifying Medical Diagnoses and Treatable Diseases by Image-Based Deep Learning. Cell, 2018.</w:t>
      </w:r>
    </w:p>
    <w:p w14:paraId="1861FD98" w14:textId="77777777" w:rsidR="00570C0D" w:rsidRDefault="00000000">
      <w:pPr>
        <w:spacing w:after="120"/>
      </w:pPr>
      <w:r>
        <w:rPr>
          <w:sz w:val="22"/>
        </w:rPr>
        <w:t>[7] Goodfellow I., Bengio Y., Courville A. Deep Learning. MIT Press, 2016. (Главы 9, 10, 11)</w:t>
      </w:r>
    </w:p>
    <w:sectPr w:rsidR="00570C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09314221">
    <w:abstractNumId w:val="8"/>
  </w:num>
  <w:num w:numId="2" w16cid:durableId="701589105">
    <w:abstractNumId w:val="6"/>
  </w:num>
  <w:num w:numId="3" w16cid:durableId="51657542">
    <w:abstractNumId w:val="5"/>
  </w:num>
  <w:num w:numId="4" w16cid:durableId="1095709675">
    <w:abstractNumId w:val="4"/>
  </w:num>
  <w:num w:numId="5" w16cid:durableId="1768884297">
    <w:abstractNumId w:val="7"/>
  </w:num>
  <w:num w:numId="6" w16cid:durableId="893467870">
    <w:abstractNumId w:val="3"/>
  </w:num>
  <w:num w:numId="7" w16cid:durableId="940182">
    <w:abstractNumId w:val="2"/>
  </w:num>
  <w:num w:numId="8" w16cid:durableId="1359356276">
    <w:abstractNumId w:val="1"/>
  </w:num>
  <w:num w:numId="9" w16cid:durableId="297027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0C0D"/>
    <w:rsid w:val="00AA1D8D"/>
    <w:rsid w:val="00B47730"/>
    <w:rsid w:val="00CB0664"/>
    <w:rsid w:val="00DB38D1"/>
    <w:rsid w:val="00EF0A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AB7046"/>
  <w14:defaultImageDpi w14:val="300"/>
  <w15:docId w15:val="{A6B7C5E6-69E3-4404-B574-6D8F9B57F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2253</Words>
  <Characters>9038</Characters>
  <Application>Microsoft Office Word</Application>
  <DocSecurity>0</DocSecurity>
  <Lines>273</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 Fan</cp:lastModifiedBy>
  <cp:revision>3</cp:revision>
  <dcterms:created xsi:type="dcterms:W3CDTF">2013-12-23T23:15:00Z</dcterms:created>
  <dcterms:modified xsi:type="dcterms:W3CDTF">2026-05-03T02:09:00Z</dcterms:modified>
  <cp:category/>
</cp:coreProperties>
</file>