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План курсовой работы</w:t>
      </w:r>
    </w:p>
    <w:p>
      <w:pPr>
        <w:spacing w:before="40" w:after="120"/>
      </w:pPr>
      <w:r>
        <w:rPr>
          <w:i/>
          <w:color w:val="777777"/>
          <w:sz w:val="18"/>
        </w:rPr>
        <w:t>课程论文研究计划</w:t>
      </w:r>
    </w:p>
    <w:p>
      <w:pPr>
        <w:jc w:val="center"/>
      </w:pPr>
      <w:r>
        <w:rPr>
          <w:b/>
          <w:sz w:val="28"/>
        </w:rPr>
        <w:t>Применение глубокого обучения для классификации пневмонии</w:t>
        <w:br/>
        <w:t>на рентгеновских снимках</w:t>
      </w:r>
    </w:p>
    <w:p>
      <w:pPr>
        <w:spacing w:before="40" w:after="120"/>
      </w:pPr>
      <w:r>
        <w:rPr>
          <w:i/>
          <w:color w:val="777777"/>
          <w:sz w:val="18"/>
        </w:rPr>
        <w:t>深度学习在胸片肺炎分类中的应用</w:t>
      </w:r>
    </w:p>
    <w:p/>
    <w:p>
      <w:r>
        <w:rPr>
          <w:b/>
        </w:rPr>
        <w:t xml:space="preserve">Студент: </w:t>
      </w:r>
      <w:r>
        <w:t xml:space="preserve"> Фань Юшу (Yushu Fan)</w:t>
      </w:r>
    </w:p>
    <w:p>
      <w:pPr>
        <w:spacing w:before="40" w:after="120"/>
      </w:pPr>
      <w:r>
        <w:rPr>
          <w:i/>
          <w:color w:val="777777"/>
          <w:sz w:val="18"/>
        </w:rPr>
        <w:t>学生：范玉书</w:t>
      </w:r>
    </w:p>
    <w:p>
      <w:r>
        <w:rPr>
          <w:b/>
        </w:rPr>
        <w:t xml:space="preserve">Научный руководитель: </w:t>
      </w:r>
      <w:r>
        <w:t xml:space="preserve"> Якушин Алексей Валериевич</w:t>
      </w:r>
    </w:p>
    <w:p>
      <w:pPr>
        <w:spacing w:before="40" w:after="120"/>
      </w:pPr>
      <w:r>
        <w:rPr>
          <w:i/>
          <w:color w:val="777777"/>
          <w:sz w:val="18"/>
        </w:rPr>
        <w:t>指导教师：阿列克谢·瓦列里耶维奇·雅库申</w:t>
      </w:r>
    </w:p>
    <w:p>
      <w:r>
        <w:rPr>
          <w:b/>
        </w:rPr>
        <w:t xml:space="preserve">Дата: </w:t>
      </w:r>
      <w:r>
        <w:t xml:space="preserve"> 04.05.2026</w:t>
      </w:r>
    </w:p>
    <w:p>
      <w:pPr>
        <w:spacing w:before="40" w:after="120"/>
      </w:pPr>
      <w:r>
        <w:rPr>
          <w:i/>
          <w:color w:val="777777"/>
          <w:sz w:val="18"/>
        </w:rPr>
        <w:t>日期：2026年5月4日</w:t>
      </w:r>
    </w:p>
    <w:p/>
    <w:p>
      <w:pPr>
        <w:pStyle w:val="Heading1"/>
        <w:jc w:val="left"/>
      </w:pPr>
      <w:r>
        <w:t>1. Введение</w:t>
      </w:r>
    </w:p>
    <w:p>
      <w:pPr>
        <w:spacing w:before="40" w:after="120"/>
      </w:pPr>
      <w:r>
        <w:rPr>
          <w:i/>
          <w:color w:val="777777"/>
          <w:sz w:val="18"/>
        </w:rPr>
        <w:t>1. 引言</w:t>
      </w:r>
    </w:p>
    <w:p>
      <w:r>
        <w:rPr>
          <w:b w:val="0"/>
          <w:color w:val="000000"/>
          <w:sz w:val="24"/>
        </w:rPr>
        <w:t>Пневмония остаётся одной из ведущих причин смертности от инфекционных заболеваний во всём мире. Быстрая и точная интерпретация рентгеновских снимков имеет решающее значение для своевременного назначения лечения. В последние годы глубокое обучение продемонстрировало высокую эффективность в задачах медицинского анализа изображений, включая классификацию патологий на рентгеновских снимках грудной клетки.</w:t>
      </w:r>
    </w:p>
    <w:p>
      <w:pPr>
        <w:spacing w:before="40" w:after="120"/>
      </w:pPr>
      <w:r>
        <w:rPr>
          <w:i/>
          <w:color w:val="777777"/>
          <w:sz w:val="18"/>
        </w:rPr>
        <w:t>肺炎仍是全球传染病死亡的主要原因之一。快速准确地判读胸片对及时制定治疗方案至关重要。近年来，深度学习在医学影像分析任务中展现出极高效率，包括胸片病理分类。</w:t>
      </w:r>
    </w:p>
    <w:p>
      <w:r>
        <w:rPr>
          <w:b w:val="0"/>
          <w:color w:val="000000"/>
          <w:sz w:val="24"/>
        </w:rPr>
        <w:t>Цель данной курсовой работы — разработать и экспериментально исследовать интерпретируемую систему глубокого обучения для классификации пневмонии по рентгеновским снимкам, с акцентом на зональный анализ лёгких и визуализацию решений модели (Grad-CAM).</w:t>
      </w:r>
    </w:p>
    <w:p>
      <w:pPr>
        <w:spacing w:before="40" w:after="120"/>
      </w:pPr>
      <w:r>
        <w:rPr>
          <w:i/>
          <w:color w:val="777777"/>
          <w:sz w:val="18"/>
        </w:rPr>
        <w:t>本课程的论文目标是开发并实验研究一套可解释的深度学习系统，用于胸片肺炎分类，重点在于肺部区域分析和模型决策可视化（Grad-CAM）。</w:t>
      </w:r>
    </w:p>
    <w:p>
      <w:pPr>
        <w:pStyle w:val="Heading1"/>
        <w:jc w:val="left"/>
      </w:pPr>
      <w:r>
        <w:t>2. Цели и задачи</w:t>
      </w:r>
    </w:p>
    <w:p>
      <w:pPr>
        <w:spacing w:before="40" w:after="120"/>
      </w:pPr>
      <w:r>
        <w:rPr>
          <w:i/>
          <w:color w:val="777777"/>
          <w:sz w:val="18"/>
        </w:rPr>
        <w:t>2. 目标与任务</w:t>
      </w:r>
    </w:p>
    <w:p>
      <w:r>
        <w:rPr>
          <w:b/>
          <w:color w:val="000000"/>
          <w:sz w:val="24"/>
        </w:rPr>
        <w:t>Основная цель:</w:t>
      </w:r>
    </w:p>
    <w:p>
      <w:pPr>
        <w:spacing w:before="40" w:after="120"/>
      </w:pPr>
      <w:r>
        <w:rPr>
          <w:i/>
          <w:color w:val="777777"/>
          <w:sz w:val="18"/>
        </w:rPr>
        <w:t>主要目标：</w:t>
      </w:r>
    </w:p>
    <w:p>
      <w:r>
        <w:rPr>
          <w:b w:val="0"/>
          <w:color w:val="000000"/>
          <w:sz w:val="24"/>
        </w:rPr>
        <w:t>Построить модель классификации пневмонии на основе свёрточных нейронных сетей (CNN), обеспечить интерпретируемость решений с помощью методов визуализации (Grad-CAM) и провести сравнительный анализ с существующими подходами.</w:t>
      </w:r>
    </w:p>
    <w:p>
      <w:pPr>
        <w:spacing w:before="40" w:after="120"/>
      </w:pPr>
      <w:r>
        <w:rPr>
          <w:i/>
          <w:color w:val="777777"/>
          <w:sz w:val="18"/>
        </w:rPr>
        <w:t>基于卷积神经网络（CNN）构建肺炎分类模型，通过可视化方法（Grad-CAM）保证决策可解释性，并与现有方法进行对比分析。</w:t>
      </w:r>
    </w:p>
    <w:p>
      <w:r>
        <w:rPr>
          <w:b/>
          <w:color w:val="000000"/>
          <w:sz w:val="24"/>
        </w:rPr>
        <w:t>Задачи:</w:t>
      </w:r>
    </w:p>
    <w:p>
      <w:pPr>
        <w:spacing w:before="40" w:after="120"/>
      </w:pPr>
      <w:r>
        <w:rPr>
          <w:i/>
          <w:color w:val="777777"/>
          <w:sz w:val="18"/>
        </w:rPr>
        <w:t>具体任务：</w:t>
      </w:r>
    </w:p>
    <w:p>
      <w:pPr>
        <w:pStyle w:val="ListBullet"/>
      </w:pPr>
      <w:r>
        <w:rPr>
          <w:b w:val="0"/>
          <w:color w:val="000000"/>
          <w:sz w:val="22"/>
        </w:rPr>
        <w:t>Изучить современное состояние области (обзор литературы): CheXNet, ChestXRay2017, методы интерпретации (Grad-CAM, Grad-CAM++).</w:t>
      </w:r>
    </w:p>
    <w:p>
      <w:pPr>
        <w:spacing w:before="40" w:after="120"/>
      </w:pPr>
      <w:r>
        <w:rPr>
          <w:i/>
          <w:color w:val="777777"/>
          <w:sz w:val="18"/>
        </w:rPr>
        <w:t>研究领域现状（文献综述）：CheXNet、ChestXRay2017 数据集、可解释性方法（Grad-CAM、Grad-CAM++）。</w:t>
      </w:r>
    </w:p>
    <w:p>
      <w:pPr>
        <w:pStyle w:val="ListBullet"/>
      </w:pPr>
      <w:r>
        <w:rPr>
          <w:b w:val="0"/>
          <w:color w:val="000000"/>
          <w:sz w:val="22"/>
        </w:rPr>
        <w:t>Подготовить набор данных ChestXRay2017 (Kermany et al., 2018): загрузка, разделение на обучающую / валидационную / тестовую выборки.</w:t>
      </w:r>
    </w:p>
    <w:p>
      <w:pPr>
        <w:spacing w:before="40" w:after="120"/>
      </w:pPr>
      <w:r>
        <w:rPr>
          <w:i/>
          <w:color w:val="777777"/>
          <w:sz w:val="18"/>
        </w:rPr>
        <w:t>准备数据集 ChestXRay2017：下载，划分为训练集 / 验证集 / 测试集。</w:t>
      </w:r>
    </w:p>
    <w:p>
      <w:pPr>
        <w:pStyle w:val="ListBullet"/>
      </w:pPr>
      <w:r>
        <w:rPr>
          <w:b w:val="0"/>
          <w:color w:val="000000"/>
          <w:sz w:val="22"/>
        </w:rPr>
        <w:t>Реализовать базовую модель на основе ResNet-18 (предобучена на ImageNet).</w:t>
      </w:r>
    </w:p>
    <w:p>
      <w:pPr>
        <w:spacing w:before="40" w:after="120"/>
      </w:pPr>
      <w:r>
        <w:rPr>
          <w:i/>
          <w:color w:val="777777"/>
          <w:sz w:val="18"/>
        </w:rPr>
        <w:t>基于 ResNet-18（ImageNet 预训练）实现基准模型。</w:t>
      </w:r>
    </w:p>
    <w:p>
      <w:pPr>
        <w:pStyle w:val="ListBullet"/>
      </w:pPr>
      <w:r>
        <w:rPr>
          <w:b w:val="0"/>
          <w:color w:val="000000"/>
          <w:sz w:val="22"/>
        </w:rPr>
        <w:t>Реализовать визуализацию Grad-CAM для интерпретации решений модели.</w:t>
      </w:r>
    </w:p>
    <w:p>
      <w:pPr>
        <w:spacing w:before="40" w:after="120"/>
      </w:pPr>
      <w:r>
        <w:rPr>
          <w:i/>
          <w:color w:val="777777"/>
          <w:sz w:val="18"/>
        </w:rPr>
        <w:t>实现 Grad-CAM 可视化以解释模型决策。</w:t>
      </w:r>
    </w:p>
    <w:p>
      <w:pPr>
        <w:pStyle w:val="ListBullet"/>
      </w:pPr>
      <w:r>
        <w:rPr>
          <w:b w:val="0"/>
          <w:color w:val="000000"/>
          <w:sz w:val="22"/>
        </w:rPr>
        <w:t>Провести серию экспериментов с вариацией гиперпараметров (learning rate, batch size, data augmentation).</w:t>
      </w:r>
    </w:p>
    <w:p>
      <w:pPr>
        <w:spacing w:before="40" w:after="120"/>
      </w:pPr>
      <w:r>
        <w:rPr>
          <w:i/>
          <w:color w:val="777777"/>
          <w:sz w:val="18"/>
        </w:rPr>
        <w:t>进行一系列超参数实验（学习率、批大小、数据增强）。</w:t>
      </w:r>
    </w:p>
    <w:p>
      <w:pPr>
        <w:pStyle w:val="ListBullet"/>
      </w:pPr>
      <w:r>
        <w:rPr>
          <w:b w:val="0"/>
          <w:color w:val="000000"/>
          <w:sz w:val="22"/>
        </w:rPr>
        <w:t>Оценить качество модели по стандартным метрикам: Accuracy, Precision, Recall, F1-score, AUC-ROC.</w:t>
      </w:r>
    </w:p>
    <w:p>
      <w:pPr>
        <w:spacing w:before="40" w:after="120"/>
      </w:pPr>
      <w:r>
        <w:rPr>
          <w:i/>
          <w:color w:val="777777"/>
          <w:sz w:val="18"/>
        </w:rPr>
        <w:t>使用标准指标评估模型质量：准确率、精确率、召回率、F1 值、AUC-ROC。</w:t>
      </w:r>
    </w:p>
    <w:p>
      <w:pPr>
        <w:pStyle w:val="ListBullet"/>
      </w:pPr>
      <w:r>
        <w:rPr>
          <w:b w:val="0"/>
          <w:color w:val="000000"/>
          <w:sz w:val="22"/>
        </w:rPr>
        <w:t>Оформить курсовую работу и подготовить презентацию для защиты.</w:t>
      </w:r>
    </w:p>
    <w:p>
      <w:pPr>
        <w:spacing w:before="40" w:after="120"/>
      </w:pPr>
      <w:r>
        <w:rPr>
          <w:i/>
          <w:color w:val="777777"/>
          <w:sz w:val="18"/>
        </w:rPr>
        <w:t>完成课程论文撰写并准备答辩 PPT。</w:t>
      </w:r>
    </w:p>
    <w:p>
      <w:pPr>
        <w:pStyle w:val="Heading1"/>
        <w:jc w:val="left"/>
      </w:pPr>
      <w:r>
        <w:t>3. Материалы и методы</w:t>
      </w:r>
    </w:p>
    <w:p>
      <w:pPr>
        <w:spacing w:before="40" w:after="120"/>
      </w:pPr>
      <w:r>
        <w:rPr>
          <w:i/>
          <w:color w:val="777777"/>
          <w:sz w:val="18"/>
        </w:rPr>
        <w:t>3. 材料与方法</w:t>
      </w:r>
    </w:p>
    <w:p>
      <w:r>
        <w:rPr>
          <w:b/>
          <w:color w:val="000000"/>
          <w:sz w:val="24"/>
        </w:rPr>
        <w:t>3.1. Набор данных</w:t>
      </w:r>
    </w:p>
    <w:p>
      <w:pPr>
        <w:spacing w:before="40" w:after="120"/>
      </w:pPr>
      <w:r>
        <w:rPr>
          <w:i/>
          <w:color w:val="777777"/>
          <w:sz w:val="18"/>
        </w:rPr>
        <w:t>3.1 数据集</w:t>
      </w:r>
    </w:p>
    <w:p>
      <w:r>
        <w:rPr>
          <w:b/>
          <w:color w:val="000000"/>
          <w:sz w:val="24"/>
        </w:rPr>
        <w:t>Используется открытый набор данных ChestXRay2017 (Kermany et al., Cell 2018), доступный на Kaggle (paultimothmooney/chest-x-ray-pneumonia). Набор содержит 5 856 рентгеновских снимков грудной клетки детей, разделённых на три класса: Normal (норма), Bacterial Pneumonia, Viral Pneumonia. В рамках работы рассматривается задача бинарной классификации: Normal vs Pneumonia.</w:t>
      </w:r>
    </w:p>
    <w:p>
      <w:pPr>
        <w:spacing w:before="40" w:after="120"/>
      </w:pPr>
      <w:r>
        <w:rPr>
          <w:i/>
          <w:color w:val="777777"/>
          <w:sz w:val="18"/>
        </w:rPr>
        <w:t>使用公开数据集 ChestXRay2017（Kermany 等，Cell 2018），可从 Kaggle 获取。包含 5,856 张儿童胸片，分为三类：Normal（正常）、Bacterial Pneumonia（细菌性肺炎）、Viral Pneumonia（病毒性肺炎）。本论文研究二分类任务：Normal vs Pneumonia。</w:t>
      </w:r>
    </w:p>
    <w:p>
      <w:r>
        <w:rPr>
          <w:b/>
          <w:color w:val="000000"/>
          <w:sz w:val="24"/>
        </w:rPr>
        <w:t>3.2. Архитектура модели</w:t>
      </w:r>
    </w:p>
    <w:p>
      <w:pPr>
        <w:spacing w:before="40" w:after="120"/>
      </w:pPr>
      <w:r>
        <w:rPr>
          <w:i/>
          <w:color w:val="777777"/>
          <w:sz w:val="18"/>
        </w:rPr>
        <w:t>3.2 模型架构</w:t>
      </w:r>
    </w:p>
    <w:p>
      <w:r>
        <w:rPr>
          <w:b/>
          <w:color w:val="000000"/>
          <w:sz w:val="24"/>
        </w:rPr>
        <w:t>Базовая архитектура — ResNet-18 с весами, предобученными на ImageNet. Для адаптации к задаче классификации заменяется последний полносвязный слой (fully connected layer) на слой с двумя выходами. В качестве альтернативных архитектур планируется сравнение с DenseNet-121 и (опционально) EfficientNet-B0.</w:t>
      </w:r>
    </w:p>
    <w:p>
      <w:pPr>
        <w:spacing w:before="40" w:after="120"/>
      </w:pPr>
      <w:r>
        <w:rPr>
          <w:i/>
          <w:color w:val="777777"/>
          <w:sz w:val="18"/>
        </w:rPr>
        <w:t>基准架构为在 ImageNet 上预训练的 ResNet-18。为适应分类任务，将最后的全连接层替换为双输出层。作为对比，计划与 DenseNet-121（以及可选的 EfficientNet-B0）进行比较。</w:t>
      </w:r>
    </w:p>
    <w:p>
      <w:r>
        <w:rPr>
          <w:b/>
          <w:color w:val="000000"/>
          <w:sz w:val="24"/>
        </w:rPr>
        <w:t>3.3. Интерпретируемость (Grad-CAM)</w:t>
      </w:r>
    </w:p>
    <w:p>
      <w:pPr>
        <w:spacing w:before="40" w:after="120"/>
      </w:pPr>
      <w:r>
        <w:rPr>
          <w:i/>
          <w:color w:val="777777"/>
          <w:sz w:val="18"/>
        </w:rPr>
        <w:t>3.3 可解释性（Grad-CAM）</w:t>
      </w:r>
    </w:p>
    <w:p>
      <w:r>
        <w:rPr>
          <w:b/>
          <w:color w:val="000000"/>
          <w:sz w:val="24"/>
        </w:rPr>
        <w:t>Для визуализации областей, на которые опирается модель при принятии решения, используется метод Grad-CAM (Selvaraju et al., ICCV 2017). Генерируются тепловые карты (heatmaps), накладываемые на исходный снимок. Это позволяет качественно оценить, соответствует ли «зона внимания» модели анатомически обоснованным областям поражения пневмонией.</w:t>
      </w:r>
    </w:p>
    <w:p>
      <w:pPr>
        <w:spacing w:before="40" w:after="120"/>
      </w:pPr>
      <w:r>
        <w:rPr>
          <w:i/>
          <w:color w:val="777777"/>
          <w:sz w:val="18"/>
        </w:rPr>
        <w:t>为可视化模型决策所依据的区域，使用 Grad-CAM 方法（Selvaraju 等，ICCV 2017）。生成热力图并叠加在原始影像上，从而定性评估模型的"注意力区域"是否与肺炎的解剖学病变区域一致。</w:t>
      </w:r>
    </w:p>
    <w:p>
      <w:r>
        <w:rPr>
          <w:b/>
          <w:color w:val="000000"/>
          <w:sz w:val="24"/>
        </w:rPr>
        <w:t>3.4. Процесс обучения</w:t>
      </w:r>
    </w:p>
    <w:p>
      <w:pPr>
        <w:spacing w:before="40" w:after="120"/>
      </w:pPr>
      <w:r>
        <w:rPr>
          <w:i/>
          <w:color w:val="777777"/>
          <w:sz w:val="18"/>
        </w:rPr>
        <w:t>3.4 训练流程</w:t>
      </w:r>
    </w:p>
    <w:p>
      <w:r>
        <w:rPr>
          <w:b/>
          <w:color w:val="000000"/>
          <w:sz w:val="24"/>
        </w:rPr>
        <w:t>Обучение проводится с использованием переноса обучения (transfer learning). Замороженные слои предобученной сети не обновляются в первые эпохи, затем допускается частичная разморозка (fine-tuning). Функция потерь — Cross Entropy Loss; оптимизатор — Adam (learning rate = 1e-3, с возможностью понижения по расписанию). Аугментация данных: случайный поворот, отражение по горизонтали, случайное масштабирование, применение MixUp и CutMix (исследовательский аспект).</w:t>
      </w:r>
    </w:p>
    <w:p>
      <w:pPr>
        <w:spacing w:before="40" w:after="120"/>
      </w:pPr>
      <w:r>
        <w:rPr>
          <w:i/>
          <w:color w:val="777777"/>
          <w:sz w:val="18"/>
        </w:rPr>
        <w:t>使用迁移学习进行训练。预训练网络的冻结层在前几轮不参与更新，随后允许部分解冻（fine-tuning）。损失函数为交叉熵损失；优化器为 Adam（学习率 1e-3，支持调度衰减）。数据增强：随机旋转、水平翻转、随机缩放，以及 MixUp 和 CutMix（研究性内容）。</w:t>
      </w:r>
    </w:p>
    <w:p>
      <w:pPr>
        <w:pStyle w:val="Heading1"/>
        <w:jc w:val="left"/>
      </w:pPr>
      <w:r>
        <w:t>4. План экспериментов</w:t>
      </w:r>
    </w:p>
    <w:p>
      <w:pPr>
        <w:spacing w:before="40" w:after="120"/>
      </w:pPr>
      <w:r>
        <w:rPr>
          <w:i/>
          <w:color w:val="777777"/>
          <w:sz w:val="18"/>
        </w:rPr>
        <w:t>4. 实验计划</w:t>
      </w:r>
    </w:p>
    <w:p>
      <w:r>
        <w:rPr>
          <w:b/>
          <w:color w:val="000000"/>
          <w:sz w:val="24"/>
        </w:rPr>
        <w:t>Эксперимент 1: Базовая модель (ResNet-18)</w:t>
      </w:r>
    </w:p>
    <w:p>
      <w:pPr>
        <w:spacing w:before="40" w:after="120"/>
      </w:pPr>
      <w:r>
        <w:rPr>
          <w:i/>
          <w:color w:val="777777"/>
          <w:sz w:val="18"/>
        </w:rPr>
        <w:t>实验一：基准模型（ResNet-18）</w:t>
      </w:r>
    </w:p>
    <w:p/>
    <w:p>
      <w:r>
        <w:rPr>
          <w:b/>
          <w:color w:val="000000"/>
          <w:sz w:val="24"/>
        </w:rPr>
        <w:t>Эксперимент 2: Сравнение архитектур</w:t>
      </w:r>
    </w:p>
    <w:p>
      <w:pPr>
        <w:spacing w:before="40" w:after="120"/>
      </w:pPr>
      <w:r>
        <w:rPr>
          <w:i/>
          <w:color w:val="777777"/>
          <w:sz w:val="18"/>
        </w:rPr>
        <w:t>实验二：架构对比</w:t>
      </w:r>
    </w:p>
    <w:p/>
    <w:p>
      <w:r>
        <w:rPr>
          <w:b/>
          <w:color w:val="000000"/>
          <w:sz w:val="24"/>
        </w:rPr>
        <w:t>Эксперимент 3: Влияние аугментации данных</w:t>
      </w:r>
    </w:p>
    <w:p>
      <w:pPr>
        <w:spacing w:before="40" w:after="120"/>
      </w:pPr>
      <w:r>
        <w:rPr>
          <w:i/>
          <w:color w:val="777777"/>
          <w:sz w:val="18"/>
        </w:rPr>
        <w:t>实验三：数据增强的影响</w:t>
      </w:r>
    </w:p>
    <w:p/>
    <w:p>
      <w:r>
        <w:rPr>
          <w:b/>
          <w:color w:val="000000"/>
          <w:sz w:val="24"/>
        </w:rPr>
        <w:t>Эксперимент 4 (исследовательский): Зональный анализ</w:t>
      </w:r>
    </w:p>
    <w:p>
      <w:pPr>
        <w:spacing w:before="40" w:after="120"/>
      </w:pPr>
      <w:r>
        <w:rPr>
          <w:i/>
          <w:color w:val="777777"/>
          <w:sz w:val="18"/>
        </w:rPr>
        <w:t>实验四（研究性）：区域分析</w:t>
      </w:r>
    </w:p>
    <w:p/>
    <w:p>
      <w:pPr>
        <w:pStyle w:val="Heading1"/>
        <w:jc w:val="left"/>
      </w:pPr>
      <w:r>
        <w:t>5. Ожидаемые результаты</w:t>
      </w:r>
    </w:p>
    <w:p>
      <w:pPr>
        <w:spacing w:before="40" w:after="120"/>
      </w:pPr>
      <w:r>
        <w:rPr>
          <w:i/>
          <w:color w:val="777777"/>
          <w:sz w:val="18"/>
        </w:rPr>
        <w:t>5. 预期结果</w:t>
      </w:r>
    </w:p>
    <w:p>
      <w:r>
        <w:rPr>
          <w:b w:val="0"/>
          <w:color w:val="000000"/>
          <w:sz w:val="24"/>
        </w:rPr>
        <w:t>Ожидается, что модель на основе ResNet-18 (предобученная) достигнет значения Accuracy не ниже 90 % и AUC не ниже 0.95 на тестовой выборке ChestXRay2017, что согласуется с результатами Kermany et al. (2018) и Stephen et al. (2019). Применение Grad-CAM позволит визуально подтвердить, что модель фокусируется на анатомически обоснованных областях поражения. Использование MixUp и CutMix, как ожидается, повысит устойчивость модели и улучшит метрики на 1–3 %.</w:t>
      </w:r>
    </w:p>
    <w:p>
      <w:pPr>
        <w:spacing w:before="40" w:after="120"/>
      </w:pPr>
      <w:r>
        <w:rPr>
          <w:i/>
          <w:color w:val="777777"/>
          <w:sz w:val="18"/>
        </w:rPr>
        <w:t>预期在 ChestXRay2017 测试集上，基于预训练 ResNet-18 的模型将达到不低于 90% 的准确率和不低于 0.95 的 AUC，与 Kermany 等（2018）和 Stephen 等（2019）的结果一致。使用 Grad-CAM 将从视觉上证实模型关注于解剖学上合理的病变区域。使用 MixUp 和 CutMix 预计将提升模型鲁棒性，并使指标提高 1–3%。</w:t>
      </w:r>
    </w:p>
    <w:p>
      <w:pPr>
        <w:pStyle w:val="Heading1"/>
        <w:jc w:val="left"/>
      </w:pPr>
      <w:r>
        <w:t>6. Структура курсовой работы</w:t>
      </w:r>
    </w:p>
    <w:p>
      <w:pPr>
        <w:spacing w:before="40" w:after="120"/>
      </w:pPr>
      <w:r>
        <w:rPr>
          <w:i/>
          <w:color w:val="777777"/>
          <w:sz w:val="18"/>
        </w:rPr>
        <w:t>6. 课程论文结构</w:t>
      </w:r>
    </w:p>
    <w:p>
      <w:pPr>
        <w:pStyle w:val="ListNumber"/>
      </w:pPr>
      <w:r>
        <w:rPr>
          <w:b/>
        </w:rPr>
        <w:t xml:space="preserve">Введение — </w:t>
      </w:r>
      <w:r>
        <w:t>Обоснование темы, актуальность, цель и задачи.</w:t>
      </w:r>
    </w:p>
    <w:p>
      <w:pPr>
        <w:spacing w:before="40" w:after="120"/>
      </w:pPr>
      <w:r>
        <w:rPr>
          <w:i/>
          <w:color w:val="777777"/>
          <w:sz w:val="18"/>
        </w:rPr>
        <w:t>引言——选题依据、研究意义、目标与任务。</w:t>
      </w:r>
    </w:p>
    <w:p>
      <w:pPr>
        <w:pStyle w:val="ListNumber"/>
      </w:pPr>
      <w:r>
        <w:rPr>
          <w:b/>
        </w:rPr>
        <w:t xml:space="preserve">Обзор литературы — </w:t>
      </w:r>
      <w:r>
        <w:t>CheXNet, ChestXRay2017, Grad-CAM, современные обзоры.</w:t>
      </w:r>
    </w:p>
    <w:p>
      <w:pPr>
        <w:spacing w:before="40" w:after="120"/>
      </w:pPr>
      <w:r>
        <w:rPr>
          <w:i/>
          <w:color w:val="777777"/>
          <w:sz w:val="18"/>
        </w:rPr>
        <w:t>文献综述——CheXNet、ChestXRay2017、Grad-CAM、最新综述。</w:t>
      </w:r>
    </w:p>
    <w:p>
      <w:pPr>
        <w:pStyle w:val="ListNumber"/>
      </w:pPr>
      <w:r>
        <w:rPr>
          <w:b/>
        </w:rPr>
        <w:t xml:space="preserve">Материалы и методы — </w:t>
      </w:r>
      <w:r>
        <w:t>Описание данных, архитектуры, методов обучения и визуализации.</w:t>
      </w:r>
    </w:p>
    <w:p>
      <w:pPr>
        <w:spacing w:before="40" w:after="120"/>
      </w:pPr>
      <w:r>
        <w:rPr>
          <w:i/>
          <w:color w:val="777777"/>
          <w:sz w:val="18"/>
        </w:rPr>
        <w:t>材料与方法——数据、架构、训练方法与可视化方法说明。</w:t>
      </w:r>
    </w:p>
    <w:p>
      <w:pPr>
        <w:pStyle w:val="ListNumber"/>
      </w:pPr>
      <w:r>
        <w:rPr>
          <w:b/>
        </w:rPr>
        <w:t xml:space="preserve">Эксперименты и результаты — </w:t>
      </w:r>
      <w:r>
        <w:t>Таблицы метрик, графики, примеры Grad-CAM.</w:t>
      </w:r>
    </w:p>
    <w:p>
      <w:pPr>
        <w:spacing w:before="40" w:after="120"/>
      </w:pPr>
      <w:r>
        <w:rPr>
          <w:i/>
          <w:color w:val="777777"/>
          <w:sz w:val="18"/>
        </w:rPr>
        <w:t>实验与结果——指标表格、图表、Grad-CAM 示例。</w:t>
      </w:r>
    </w:p>
    <w:p>
      <w:pPr>
        <w:pStyle w:val="ListNumber"/>
      </w:pPr>
      <w:r>
        <w:rPr>
          <w:b/>
        </w:rPr>
        <w:t xml:space="preserve">Обсуждение — </w:t>
      </w:r>
      <w:r>
        <w:t>Интерпретация результатов, сравнение с литературой.</w:t>
      </w:r>
    </w:p>
    <w:p>
      <w:pPr>
        <w:spacing w:before="40" w:after="120"/>
      </w:pPr>
      <w:r>
        <w:rPr>
          <w:i/>
          <w:color w:val="777777"/>
          <w:sz w:val="18"/>
        </w:rPr>
        <w:t>讨论——结果解释、与文献对比。</w:t>
      </w:r>
    </w:p>
    <w:p>
      <w:pPr>
        <w:pStyle w:val="ListNumber"/>
      </w:pPr>
      <w:r>
        <w:rPr>
          <w:b/>
        </w:rPr>
        <w:t xml:space="preserve">Заключение — </w:t>
      </w:r>
      <w:r>
        <w:t>Основные выводы, перспективы.</w:t>
      </w:r>
    </w:p>
    <w:p>
      <w:pPr>
        <w:spacing w:before="40" w:after="120"/>
      </w:pPr>
      <w:r>
        <w:rPr>
          <w:i/>
          <w:color w:val="777777"/>
          <w:sz w:val="18"/>
        </w:rPr>
        <w:t>结论——主要结论，未来展望。</w:t>
      </w:r>
    </w:p>
    <w:p>
      <w:pPr>
        <w:pStyle w:val="ListNumber"/>
      </w:pPr>
      <w:r>
        <w:rPr>
          <w:b/>
        </w:rPr>
        <w:t xml:space="preserve">Список литературы — </w:t>
      </w:r>
      <w:r>
        <w:t>Оформление по ГОСТ Р 7.0.5–2008.</w:t>
      </w:r>
    </w:p>
    <w:p>
      <w:pPr>
        <w:spacing w:before="40" w:after="120"/>
      </w:pPr>
      <w:r>
        <w:rPr>
          <w:i/>
          <w:color w:val="777777"/>
          <w:sz w:val="18"/>
        </w:rPr>
        <w:t>参考文献——按 ГОСТ Р 7.0.5–2008 格式排版。</w:t>
      </w:r>
    </w:p>
    <w:p>
      <w:pPr>
        <w:pStyle w:val="Heading1"/>
        <w:jc w:val="left"/>
      </w:pPr>
      <w:r>
        <w:t>7. Ключевые источники</w:t>
      </w:r>
    </w:p>
    <w:p>
      <w:pPr>
        <w:spacing w:before="40" w:after="120"/>
      </w:pPr>
      <w:r>
        <w:rPr>
          <w:i/>
          <w:color w:val="777777"/>
          <w:sz w:val="18"/>
        </w:rPr>
        <w:t>7. 主要参考文献</w:t>
      </w:r>
    </w:p>
    <w:p>
      <w:r>
        <w:rPr>
          <w:b/>
        </w:rPr>
        <w:t xml:space="preserve">[L1] </w:t>
      </w:r>
      <w:r>
        <w:t>Rajpurkar P. et al. CheXNet: Radiologist-Level Pneumonia Detection on Chest X-Rays with Deep Learning. arXiv:1711.05225, 2017.</w:t>
      </w:r>
    </w:p>
    <w:p>
      <w:pPr>
        <w:spacing w:before="40" w:after="120"/>
      </w:pPr>
      <w:r>
        <w:rPr>
          <w:i/>
          <w:color w:val="777777"/>
          <w:sz w:val="18"/>
        </w:rPr>
        <w:t>CheXNet：胸片肺炎检测的深度学习模型，达到放射科医生水平。</w:t>
      </w:r>
    </w:p>
    <w:p>
      <w:r>
        <w:rPr>
          <w:b/>
        </w:rPr>
        <w:t xml:space="preserve">[L2] </w:t>
      </w:r>
      <w:r>
        <w:t>Kermany D.S. et al. Identifying Medical Diagnoses and Treatable Diseases by Image-Based Deep Learning. Cell, 172(5):1122–1131, 2018.</w:t>
      </w:r>
    </w:p>
    <w:p>
      <w:pPr>
        <w:spacing w:before="40" w:after="120"/>
      </w:pPr>
      <w:r>
        <w:rPr>
          <w:i/>
          <w:color w:val="777777"/>
          <w:sz w:val="18"/>
        </w:rPr>
        <w:t>基于深度学习的医学诊断，发布 ChestXRay2017 数据集。</w:t>
      </w:r>
    </w:p>
    <w:p>
      <w:r>
        <w:rPr>
          <w:b/>
        </w:rPr>
        <w:t xml:space="preserve">[L3] </w:t>
      </w:r>
      <w:r>
        <w:t>Stephen O. et al. An Efficient Deep Learning Approach to Pneumonia Classification in Healthcare. Journal of Healthcare Engineering, 2019.</w:t>
      </w:r>
    </w:p>
    <w:p>
      <w:pPr>
        <w:spacing w:before="40" w:after="120"/>
      </w:pPr>
      <w:r>
        <w:rPr>
          <w:i/>
          <w:color w:val="777777"/>
          <w:sz w:val="18"/>
        </w:rPr>
        <w:t>肺炎分类的高效深度学习方法，对比多种 CNN 架构。</w:t>
      </w:r>
    </w:p>
    <w:p>
      <w:r>
        <w:rPr>
          <w:b/>
        </w:rPr>
        <w:t xml:space="preserve">[L4] </w:t>
      </w:r>
      <w:r>
        <w:t>Selvaraju R.R. et al. Grad-CAM: Visual Explanations from Deep Networks via Gradient-based Localization. ICCV, 2017.</w:t>
      </w:r>
    </w:p>
    <w:p>
      <w:pPr>
        <w:spacing w:before="40" w:after="120"/>
      </w:pPr>
      <w:r>
        <w:rPr>
          <w:i/>
          <w:color w:val="777777"/>
          <w:sz w:val="18"/>
        </w:rPr>
        <w:t>Grad-CAM 原论文，CNN 可视化解释方法。</w:t>
      </w:r>
    </w:p>
    <w:p>
      <w:r>
        <w:rPr>
          <w:b/>
        </w:rPr>
        <w:t xml:space="preserve">[L12] </w:t>
      </w:r>
      <w:r>
        <w:t>Litjens G. et al. A Survey on Deep Learning in Medical Image Analysis. Medical Image Analysis, 42:60–88, 2017.</w:t>
      </w:r>
    </w:p>
    <w:p>
      <w:pPr>
        <w:spacing w:before="40" w:after="120"/>
      </w:pPr>
      <w:r>
        <w:rPr>
          <w:i/>
          <w:color w:val="777777"/>
          <w:sz w:val="18"/>
        </w:rPr>
        <w:t>医学影像深度学习综述，Litjens 等。</w:t>
      </w:r>
    </w:p>
    <w:p>
      <w:r>
        <w:rPr>
          <w:b/>
        </w:rPr>
        <w:t xml:space="preserve">[L13] </w:t>
      </w:r>
      <w:r>
        <w:t>Hasan M.R. et al. Recent advancement of deep learning techniques for pneumonia prediction from chest X-ray image. Medical Reports, 7:100106, 2024.</w:t>
      </w:r>
    </w:p>
    <w:p>
      <w:pPr>
        <w:spacing w:before="40" w:after="120"/>
      </w:pPr>
      <w:r>
        <w:rPr>
          <w:i/>
          <w:color w:val="777777"/>
          <w:sz w:val="18"/>
        </w:rPr>
        <w:t>肺炎 X 光深度学习最新综述（2024）。</w:t>
      </w:r>
    </w:p>
    <w:p>
      <w:pPr>
        <w:pStyle w:val="Heading1"/>
        <w:jc w:val="left"/>
      </w:pPr>
      <w:r>
        <w:t>8. Прогресс работы (онлайн)</w:t>
      </w:r>
    </w:p>
    <w:p>
      <w:pPr>
        <w:spacing w:before="40" w:after="120"/>
      </w:pPr>
      <w:r>
        <w:rPr>
          <w:i/>
          <w:color w:val="777777"/>
          <w:sz w:val="18"/>
        </w:rPr>
        <w:t>8. 工作进度（在线）</w:t>
      </w:r>
    </w:p>
    <w:p>
      <w:r>
        <w:rPr>
          <w:b w:val="0"/>
          <w:color w:val="000000"/>
          <w:sz w:val="24"/>
        </w:rPr>
        <w:t>Ход экспериментов, результаты и черновик курсовой работы обновляются в реальном времени в следующих ресурсах:</w:t>
      </w:r>
    </w:p>
    <w:p>
      <w:pPr>
        <w:spacing w:before="40" w:after="120"/>
      </w:pPr>
      <w:r>
        <w:rPr>
          <w:i/>
          <w:color w:val="777777"/>
          <w:sz w:val="18"/>
        </w:rPr>
        <w:t>实验进展、结果和课程论文草稿实时更新于以下资源：</w:t>
      </w:r>
    </w:p>
    <w:p>
      <w:r>
        <w:rPr>
          <w:b/>
        </w:rPr>
        <w:t>Репозиторий GitHub (код и результаты экспериментов):</w:t>
      </w:r>
    </w:p>
    <w:p>
      <w:pPr>
        <w:spacing w:before="40" w:after="120"/>
      </w:pPr>
      <w:r>
        <w:rPr>
          <w:i/>
          <w:color w:val="777777"/>
          <w:sz w:val="18"/>
        </w:rPr>
        <w:t>GitHub 仓库（代码与实验结果）：</w:t>
      </w:r>
    </w:p>
    <w:p>
      <w:r>
        <w:rPr>
          <w:i/>
        </w:rPr>
        <w:t>https://github.com/yushu-fan/Interpretable-Chest-X-ray-Pneumonia-Diagnosis-via-Zone-Aware-Attention-Analysis</w:t>
      </w:r>
    </w:p>
    <w:p>
      <w:pPr>
        <w:spacing w:before="40" w:after="120"/>
      </w:pPr>
      <w:r>
        <w:rPr>
          <w:i/>
          <w:color w:val="777777"/>
          <w:sz w:val="18"/>
        </w:rPr>
        <w:t>（请点击链接访问）</w:t>
      </w:r>
    </w:p>
    <w:p>
      <w:r>
        <w:rPr>
          <w:b/>
        </w:rPr>
        <w:t>Google Docs (план и журнал экспериментов — доступ для комментариев):</w:t>
      </w:r>
    </w:p>
    <w:p>
      <w:pPr>
        <w:spacing w:before="40" w:after="120"/>
      </w:pPr>
      <w:r>
        <w:rPr>
          <w:i/>
          <w:color w:val="777777"/>
          <w:sz w:val="18"/>
        </w:rPr>
        <w:t>Google Docs（计划与实验日志——可评论）：</w:t>
      </w:r>
    </w:p>
    <w:p>
      <w:r>
        <w:rPr>
          <w:i/>
        </w:rPr>
        <w:t>[ССЫЛКА БУДЕТ ДОБАВЛЕНА ПОСЛЕ ЗАГРУЗКИ В GOOGLE DOCS]</w:t>
      </w:r>
    </w:p>
    <w:p>
      <w:pPr>
        <w:spacing w:before="40" w:after="120"/>
      </w:pPr>
      <w:r>
        <w:rPr>
          <w:i/>
          <w:color w:val="777777"/>
          <w:sz w:val="18"/>
        </w:rPr>
        <w:t>【上传至 Google Docs 后添加链接】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