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8865E" w14:textId="1058D5D8" w:rsidR="00D11AA2" w:rsidRPr="00A07271" w:rsidRDefault="00066326" w:rsidP="00102A38">
      <w:pPr>
        <w:spacing w:line="276" w:lineRule="auto"/>
        <w:rPr>
          <w:rFonts w:ascii="Times New Roman" w:hAnsi="Times New Roman" w:cs="Times New Roman"/>
          <w:color w:val="000000"/>
        </w:rPr>
      </w:pPr>
      <w:r w:rsidRPr="00A07271">
        <w:rPr>
          <w:rFonts w:ascii="Times New Roman" w:hAnsi="Times New Roman" w:cs="Times New Roman"/>
          <w:color w:val="000000"/>
        </w:rPr>
        <w:t>Identification of a Quantitative Biomarker Derived F</w:t>
      </w:r>
      <w:r w:rsidR="00E61C35">
        <w:rPr>
          <w:rFonts w:ascii="Times New Roman" w:hAnsi="Times New Roman" w:cs="Times New Roman"/>
          <w:color w:val="000000"/>
        </w:rPr>
        <w:t>ro</w:t>
      </w:r>
      <w:r w:rsidRPr="00A07271">
        <w:rPr>
          <w:rFonts w:ascii="Times New Roman" w:hAnsi="Times New Roman" w:cs="Times New Roman"/>
          <w:color w:val="000000"/>
        </w:rPr>
        <w:t>m Urea Levels, Creatinine Levels, and BMI for End Stage Renal Disease Based on Common Clinical Features</w:t>
      </w:r>
    </w:p>
    <w:p w14:paraId="614079FA" w14:textId="4BF57CB4" w:rsidR="00D11AA2" w:rsidRPr="00A07271" w:rsidRDefault="00B86501" w:rsidP="00102A38">
      <w:pPr>
        <w:spacing w:line="276" w:lineRule="auto"/>
        <w:rPr>
          <w:rFonts w:ascii="Times New Roman" w:hAnsi="Times New Roman" w:cs="Times New Roman"/>
          <w:lang w:val="en-US"/>
        </w:rPr>
      </w:pPr>
      <w:r w:rsidRPr="00A07271">
        <w:rPr>
          <w:rFonts w:ascii="Times New Roman" w:hAnsi="Times New Roman" w:cs="Times New Roman"/>
          <w:lang w:val="en-US"/>
        </w:rPr>
        <w:t>Alabed Y</w:t>
      </w:r>
    </w:p>
    <w:p w14:paraId="48E459F6" w14:textId="350D23E0" w:rsidR="00FC5CC0" w:rsidRPr="00A07271" w:rsidRDefault="00FC5CC0" w:rsidP="00102A38">
      <w:pPr>
        <w:spacing w:line="276" w:lineRule="auto"/>
        <w:rPr>
          <w:rFonts w:ascii="Times New Roman" w:hAnsi="Times New Roman" w:cs="Times New Roman"/>
          <w:b/>
          <w:bCs/>
          <w:lang w:val="en-US"/>
        </w:rPr>
      </w:pPr>
      <w:r w:rsidRPr="00A07271">
        <w:rPr>
          <w:rFonts w:ascii="Times New Roman" w:hAnsi="Times New Roman" w:cs="Times New Roman"/>
          <w:b/>
          <w:bCs/>
          <w:lang w:val="en-US"/>
        </w:rPr>
        <w:t>Abstract</w:t>
      </w:r>
    </w:p>
    <w:p w14:paraId="5ED688B6" w14:textId="32DD241E" w:rsidR="0084384E" w:rsidRPr="00A07271" w:rsidRDefault="002D5716" w:rsidP="00102A38">
      <w:pPr>
        <w:pStyle w:val="p1"/>
        <w:spacing w:line="276" w:lineRule="auto"/>
      </w:pPr>
      <w:r w:rsidRPr="00A07271">
        <w:t>End-stage renal disease (ESRD) is typically diagnosed using estimated glomerular filtration rate (eGFR), a late-stage indicator that offers limited capacity for early detection. This study investigated whether alternative clinical features and metabolomic data could reveal earlier biochemical signatures of renal deterioration. Principal Component Analysis (PCA) and Random Forest (RF) models were applied to both clinical and metabolomic datasets from Wang et al. (2020). Analysis of the full clinical dataset demonstrated perfect separation between ESRD and control groups driven almost entirely by eGFR, confirming its diagnostic dominance but highlighting the need for complementary biomarkers. When eGFR was removed</w:t>
      </w:r>
      <w:r w:rsidR="00AE074C" w:rsidRPr="00A07271">
        <w:t>,</w:t>
      </w:r>
      <w:r w:rsidRPr="00A07271">
        <w:t xml:space="preserve"> PCA revealed that the first principal component (PC1) captured a continuous gradient from healthy to diseased states primarily influenced by urea, creatinine and BMI. </w:t>
      </w:r>
      <w:r w:rsidR="001365A4" w:rsidRPr="00A07271">
        <w:t>Dividing controls into PC1 quartiles showed steady increases in these variables, suggesting early biochemical changes before kidney function measurably declines.</w:t>
      </w:r>
      <w:r w:rsidR="001365A4" w:rsidRPr="00A07271">
        <w:t xml:space="preserve"> </w:t>
      </w:r>
      <w:r w:rsidRPr="00A07271">
        <w:t>Metabolomic PCA and RF analyses showed broader variability and less informative separation</w:t>
      </w:r>
      <w:r w:rsidR="00F30196" w:rsidRPr="00A07271">
        <w:t>,</w:t>
      </w:r>
      <w:r w:rsidRPr="00A07271">
        <w:t xml:space="preserve"> supporting the conclusion that clinical variables offer a more stable basis for early biomarker development. Collectively</w:t>
      </w:r>
      <w:r w:rsidR="00D5270C" w:rsidRPr="00A07271">
        <w:t>,</w:t>
      </w:r>
      <w:r w:rsidRPr="00A07271">
        <w:t xml:space="preserve"> these results propose PC1 as a potential quantitative biomarker representing gradual progression toward ESRD. Further prospective studies are required to validate whether PC1 provides earlier or more sensitive detection than eGFR and to determine its utility as a practical screening tool for identifying individuals at risk before irreversible renal damage occurs.</w:t>
      </w:r>
    </w:p>
    <w:p w14:paraId="6C4DED82" w14:textId="77777777" w:rsidR="004A0550" w:rsidRPr="00A07271" w:rsidRDefault="004A0550" w:rsidP="00102A38">
      <w:pPr>
        <w:spacing w:line="276" w:lineRule="auto"/>
        <w:rPr>
          <w:rFonts w:ascii="Times New Roman" w:hAnsi="Times New Roman" w:cs="Times New Roman"/>
          <w:b/>
          <w:bCs/>
          <w:lang w:val="en-US"/>
        </w:rPr>
        <w:sectPr w:rsidR="004A0550" w:rsidRPr="00A07271">
          <w:pgSz w:w="12240" w:h="15840"/>
          <w:pgMar w:top="1440" w:right="1440" w:bottom="1440" w:left="1440" w:header="708" w:footer="708" w:gutter="0"/>
          <w:cols w:space="708"/>
          <w:docGrid w:linePitch="360"/>
        </w:sectPr>
      </w:pPr>
    </w:p>
    <w:p w14:paraId="41792E2C" w14:textId="3B313579" w:rsidR="0084384E" w:rsidRPr="00A07271" w:rsidRDefault="00B81D97" w:rsidP="00102A38">
      <w:pPr>
        <w:pStyle w:val="ListParagraph"/>
        <w:numPr>
          <w:ilvl w:val="0"/>
          <w:numId w:val="3"/>
        </w:numPr>
        <w:spacing w:line="276" w:lineRule="auto"/>
        <w:rPr>
          <w:rFonts w:ascii="Times New Roman" w:hAnsi="Times New Roman" w:cs="Times New Roman"/>
          <w:b/>
          <w:bCs/>
          <w:lang w:val="en-US"/>
        </w:rPr>
      </w:pPr>
      <w:r w:rsidRPr="00A07271">
        <w:rPr>
          <w:rFonts w:ascii="Times New Roman" w:hAnsi="Times New Roman" w:cs="Times New Roman"/>
          <w:b/>
          <w:bCs/>
          <w:lang w:val="en-US"/>
        </w:rPr>
        <w:t>Introduction</w:t>
      </w:r>
    </w:p>
    <w:p w14:paraId="58791692" w14:textId="43E22371" w:rsidR="003A31DE" w:rsidRPr="00A07271" w:rsidRDefault="003A31DE" w:rsidP="00102A38">
      <w:pPr>
        <w:spacing w:after="0" w:line="276" w:lineRule="auto"/>
        <w:rPr>
          <w:rFonts w:ascii="Times New Roman" w:eastAsia="Times New Roman" w:hAnsi="Times New Roman" w:cs="Times New Roman"/>
          <w:color w:val="000000"/>
          <w:kern w:val="0"/>
          <w14:ligatures w14:val="none"/>
        </w:rPr>
      </w:pPr>
      <w:r w:rsidRPr="00A07271">
        <w:rPr>
          <w:rFonts w:ascii="Times New Roman" w:eastAsia="Times New Roman" w:hAnsi="Times New Roman" w:cs="Times New Roman"/>
          <w:color w:val="000000"/>
          <w:kern w:val="0"/>
          <w14:ligatures w14:val="none"/>
        </w:rPr>
        <w:t xml:space="preserve">End stage renal disease (ESRD) represents one of the most severe public health challenges worldwide, leading to high rates of morbidity, mortality, and financial burden on healthcare systems. Each year more than 135,000 Americans are diagnosed with kidney failure (or ESRD) - an irreversible condition which is fatal without a kidney transplant or life sustaining dialysis treatment </w:t>
      </w:r>
      <w:r w:rsidR="00D5270C" w:rsidRPr="00A07271">
        <w:rPr>
          <w:rFonts w:ascii="Times New Roman" w:eastAsia="Times New Roman" w:hAnsi="Times New Roman" w:cs="Times New Roman"/>
          <w:color w:val="000000"/>
          <w:kern w:val="0"/>
          <w14:ligatures w14:val="none"/>
        </w:rPr>
        <w:t>(</w:t>
      </w:r>
      <w:r w:rsidRPr="00A07271">
        <w:rPr>
          <w:rFonts w:ascii="Times New Roman" w:eastAsia="Times New Roman" w:hAnsi="Times New Roman" w:cs="Times New Roman"/>
          <w:color w:val="000000"/>
          <w:kern w:val="0"/>
          <w14:ligatures w14:val="none"/>
        </w:rPr>
        <w:t>1</w:t>
      </w:r>
      <w:r w:rsidR="00D5270C" w:rsidRPr="00A07271">
        <w:rPr>
          <w:rFonts w:ascii="Times New Roman" w:eastAsia="Times New Roman" w:hAnsi="Times New Roman" w:cs="Times New Roman"/>
          <w:color w:val="000000"/>
          <w:kern w:val="0"/>
          <w14:ligatures w14:val="none"/>
        </w:rPr>
        <w:t>)</w:t>
      </w:r>
      <w:r w:rsidRPr="00A07271">
        <w:rPr>
          <w:rFonts w:ascii="Times New Roman" w:eastAsia="Times New Roman" w:hAnsi="Times New Roman" w:cs="Times New Roman"/>
          <w:color w:val="000000"/>
          <w:kern w:val="0"/>
          <w14:ligatures w14:val="none"/>
        </w:rPr>
        <w:t xml:space="preserve">. Patients with ESRD often require dialysis or kidney transplant to survive, both of which are resource-intensive and carry their own risks. Both are also increasingly expensive with additional costs for dialysis and kidney transplant costing $87,538 and $124,271 respectively </w:t>
      </w:r>
      <w:r w:rsidR="0097272C" w:rsidRPr="00A07271">
        <w:rPr>
          <w:rFonts w:ascii="Times New Roman" w:eastAsia="Times New Roman" w:hAnsi="Times New Roman" w:cs="Times New Roman"/>
          <w:color w:val="000000"/>
          <w:kern w:val="0"/>
          <w14:ligatures w14:val="none"/>
        </w:rPr>
        <w:t>(</w:t>
      </w:r>
      <w:r w:rsidRPr="00A07271">
        <w:rPr>
          <w:rFonts w:ascii="Times New Roman" w:eastAsia="Times New Roman" w:hAnsi="Times New Roman" w:cs="Times New Roman"/>
          <w:color w:val="000000"/>
          <w:kern w:val="0"/>
          <w14:ligatures w14:val="none"/>
        </w:rPr>
        <w:t>5</w:t>
      </w:r>
      <w:r w:rsidR="0097272C" w:rsidRPr="00A07271">
        <w:rPr>
          <w:rFonts w:ascii="Times New Roman" w:eastAsia="Times New Roman" w:hAnsi="Times New Roman" w:cs="Times New Roman"/>
          <w:color w:val="000000"/>
          <w:kern w:val="0"/>
          <w14:ligatures w14:val="none"/>
        </w:rPr>
        <w:t>)</w:t>
      </w:r>
      <w:r w:rsidRPr="00A07271">
        <w:rPr>
          <w:rFonts w:ascii="Times New Roman" w:eastAsia="Times New Roman" w:hAnsi="Times New Roman" w:cs="Times New Roman"/>
          <w:color w:val="000000"/>
          <w:kern w:val="0"/>
          <w14:ligatures w14:val="none"/>
        </w:rPr>
        <w:t xml:space="preserve">. There are many factors contributing to the global rise of this disease, namely diabetes and high blood pressure, and an aging population </w:t>
      </w:r>
      <w:r w:rsidR="0097272C" w:rsidRPr="00A07271">
        <w:rPr>
          <w:rFonts w:ascii="Times New Roman" w:eastAsia="Times New Roman" w:hAnsi="Times New Roman" w:cs="Times New Roman"/>
          <w:color w:val="000000"/>
          <w:kern w:val="0"/>
          <w14:ligatures w14:val="none"/>
        </w:rPr>
        <w:t>(</w:t>
      </w:r>
      <w:r w:rsidRPr="00A07271">
        <w:rPr>
          <w:rFonts w:ascii="Times New Roman" w:eastAsia="Times New Roman" w:hAnsi="Times New Roman" w:cs="Times New Roman"/>
          <w:color w:val="000000"/>
          <w:kern w:val="0"/>
          <w14:ligatures w14:val="none"/>
        </w:rPr>
        <w:t>2</w:t>
      </w:r>
      <w:r w:rsidR="0097272C" w:rsidRPr="00A07271">
        <w:rPr>
          <w:rFonts w:ascii="Times New Roman" w:eastAsia="Times New Roman" w:hAnsi="Times New Roman" w:cs="Times New Roman"/>
          <w:color w:val="000000"/>
          <w:kern w:val="0"/>
          <w14:ligatures w14:val="none"/>
        </w:rPr>
        <w:t>)</w:t>
      </w:r>
      <w:r w:rsidRPr="00A07271">
        <w:rPr>
          <w:rFonts w:ascii="Times New Roman" w:eastAsia="Times New Roman" w:hAnsi="Times New Roman" w:cs="Times New Roman"/>
          <w:color w:val="000000"/>
          <w:kern w:val="0"/>
          <w14:ligatures w14:val="none"/>
        </w:rPr>
        <w:t>. These trends show no sign of slowing down, underscoring the importance of earlier detection strategies that intervene before patients reach the later stages of chronic kidney disease and develop end stage renal disease.</w:t>
      </w:r>
    </w:p>
    <w:p w14:paraId="3863B50F" w14:textId="77777777" w:rsidR="003A31DE" w:rsidRPr="00A07271" w:rsidRDefault="003A31DE" w:rsidP="00102A38">
      <w:pPr>
        <w:spacing w:after="0" w:line="276" w:lineRule="auto"/>
        <w:rPr>
          <w:rFonts w:ascii="Times New Roman" w:eastAsia="Times New Roman" w:hAnsi="Times New Roman" w:cs="Times New Roman"/>
          <w:color w:val="000000"/>
          <w:kern w:val="0"/>
          <w14:ligatures w14:val="none"/>
        </w:rPr>
      </w:pPr>
    </w:p>
    <w:p w14:paraId="6425C801" w14:textId="23F3FEC6" w:rsidR="003A31DE" w:rsidRPr="00A07271" w:rsidRDefault="003A31DE" w:rsidP="00102A38">
      <w:pPr>
        <w:spacing w:after="0" w:line="276" w:lineRule="auto"/>
        <w:rPr>
          <w:rFonts w:ascii="Times New Roman" w:eastAsia="Times New Roman" w:hAnsi="Times New Roman" w:cs="Times New Roman"/>
          <w:color w:val="000000"/>
          <w:kern w:val="0"/>
          <w14:ligatures w14:val="none"/>
        </w:rPr>
      </w:pPr>
      <w:r w:rsidRPr="00A07271">
        <w:rPr>
          <w:rFonts w:ascii="Times New Roman" w:eastAsia="Times New Roman" w:hAnsi="Times New Roman" w:cs="Times New Roman"/>
          <w:color w:val="000000"/>
          <w:kern w:val="0"/>
          <w14:ligatures w14:val="none"/>
        </w:rPr>
        <w:t xml:space="preserve">Despite advances in nephrology, current diagnostic approaches often detect ESRD only in its advanced stages, limiting opportunities for early intervention and </w:t>
      </w:r>
      <w:r w:rsidRPr="00A07271">
        <w:rPr>
          <w:rFonts w:ascii="Times New Roman" w:eastAsia="Times New Roman" w:hAnsi="Times New Roman" w:cs="Times New Roman"/>
          <w:color w:val="000000"/>
          <w:kern w:val="0"/>
          <w14:ligatures w14:val="none"/>
        </w:rPr>
        <w:t xml:space="preserve">prevention for a higher treatment success rate. Emerging research on the subject suggests that disruptions in the gut microbiota and host metabolome contribute to kidney dysfunction, potentially acting as biomarkers for disease detection. Common measurements clinicians rely on are serum creatinine, blood urea nitrogen, and eGFR. These biomarkers are quite useful, especially eGFR, however they have one main drawback being they only reveal substantial results once significant damage has already occurred, so patients are unable to receive treatment until it’s too late. In recent years, research has highlighted the importance of the gut microbiome and host metabolome in the development and progression of renal failure. It causes elevated production of bacteria-derived uremic toxins including indoxyl sulphate, p-cresyl sulphate, idole-3 acetic acid, TMAO, and phenylacetylglutamine </w:t>
      </w:r>
      <w:r w:rsidR="00513204" w:rsidRPr="00A07271">
        <w:rPr>
          <w:rFonts w:ascii="Times New Roman" w:eastAsia="Times New Roman" w:hAnsi="Times New Roman" w:cs="Times New Roman"/>
          <w:color w:val="000000"/>
          <w:kern w:val="0"/>
          <w14:ligatures w14:val="none"/>
        </w:rPr>
        <w:t>(</w:t>
      </w:r>
      <w:r w:rsidRPr="00A07271">
        <w:rPr>
          <w:rFonts w:ascii="Times New Roman" w:eastAsia="Times New Roman" w:hAnsi="Times New Roman" w:cs="Times New Roman"/>
          <w:color w:val="000000"/>
          <w:kern w:val="0"/>
          <w14:ligatures w14:val="none"/>
        </w:rPr>
        <w:t>3</w:t>
      </w:r>
      <w:r w:rsidR="00513204" w:rsidRPr="00A07271">
        <w:rPr>
          <w:rFonts w:ascii="Times New Roman" w:eastAsia="Times New Roman" w:hAnsi="Times New Roman" w:cs="Times New Roman"/>
          <w:color w:val="000000"/>
          <w:kern w:val="0"/>
          <w14:ligatures w14:val="none"/>
        </w:rPr>
        <w:t>)</w:t>
      </w:r>
      <w:r w:rsidRPr="00A07271">
        <w:rPr>
          <w:rFonts w:ascii="Times New Roman" w:eastAsia="Times New Roman" w:hAnsi="Times New Roman" w:cs="Times New Roman"/>
          <w:color w:val="000000"/>
          <w:kern w:val="0"/>
          <w14:ligatures w14:val="none"/>
        </w:rPr>
        <w:t xml:space="preserve">. Blood uremic toxins are closely associated with the dysfunction of the intestinal epithelial barrier and can lead to the systematic translocation of endotoxins </w:t>
      </w:r>
      <w:r w:rsidR="00513204" w:rsidRPr="00A07271">
        <w:rPr>
          <w:rFonts w:ascii="Times New Roman" w:eastAsia="Times New Roman" w:hAnsi="Times New Roman" w:cs="Times New Roman"/>
          <w:color w:val="000000"/>
          <w:kern w:val="0"/>
          <w14:ligatures w14:val="none"/>
        </w:rPr>
        <w:t>(</w:t>
      </w:r>
      <w:r w:rsidRPr="00A07271">
        <w:rPr>
          <w:rFonts w:ascii="Times New Roman" w:eastAsia="Times New Roman" w:hAnsi="Times New Roman" w:cs="Times New Roman"/>
          <w:color w:val="000000"/>
          <w:kern w:val="0"/>
          <w14:ligatures w14:val="none"/>
        </w:rPr>
        <w:t>3</w:t>
      </w:r>
      <w:r w:rsidR="00513204" w:rsidRPr="00A07271">
        <w:rPr>
          <w:rFonts w:ascii="Times New Roman" w:eastAsia="Times New Roman" w:hAnsi="Times New Roman" w:cs="Times New Roman"/>
          <w:color w:val="000000"/>
          <w:kern w:val="0"/>
          <w14:ligatures w14:val="none"/>
        </w:rPr>
        <w:t>)</w:t>
      </w:r>
      <w:r w:rsidRPr="00A07271">
        <w:rPr>
          <w:rFonts w:ascii="Times New Roman" w:eastAsia="Times New Roman" w:hAnsi="Times New Roman" w:cs="Times New Roman"/>
          <w:color w:val="000000"/>
          <w:kern w:val="0"/>
          <w14:ligatures w14:val="none"/>
        </w:rPr>
        <w:t xml:space="preserve">. A great example of this can be seen in Wang et al. (2020), a study that demonstrated that patients with ESRD showed signs of extreme alterations of gut microbiome compositions and metabolites compared to </w:t>
      </w:r>
      <w:r w:rsidRPr="00A07271">
        <w:rPr>
          <w:rFonts w:ascii="Times New Roman" w:eastAsia="Times New Roman" w:hAnsi="Times New Roman" w:cs="Times New Roman"/>
          <w:color w:val="000000"/>
          <w:kern w:val="0"/>
          <w14:ligatures w14:val="none"/>
        </w:rPr>
        <w:lastRenderedPageBreak/>
        <w:t>healthy controls. These findings suggest that metabolic products derived from the microbiota may directly influence kidney health, opening a range of possibilities for non-invasive biomarkers.</w:t>
      </w:r>
      <w:r w:rsidR="00A936B7" w:rsidRPr="00A07271">
        <w:rPr>
          <w:rFonts w:ascii="Times New Roman" w:eastAsia="Times New Roman" w:hAnsi="Times New Roman" w:cs="Times New Roman"/>
          <w:color w:val="000000"/>
          <w:kern w:val="0"/>
          <w14:ligatures w14:val="none"/>
        </w:rPr>
        <w:t xml:space="preserve"> However, even though these biological findings provide a strong basis for earlier detection</w:t>
      </w:r>
      <w:r w:rsidR="00293700" w:rsidRPr="00A07271">
        <w:rPr>
          <w:rFonts w:ascii="Times New Roman" w:eastAsia="Times New Roman" w:hAnsi="Times New Roman" w:cs="Times New Roman"/>
          <w:color w:val="000000"/>
          <w:kern w:val="0"/>
          <w14:ligatures w14:val="none"/>
        </w:rPr>
        <w:t xml:space="preserve">, translating them into clinically actionable tools remains a major challenge. This gap creates a need for methods that can hadle complex, high-dimensional data and reveal patterns traditional diagnostics miss. This is </w:t>
      </w:r>
      <w:r w:rsidR="00145F2C" w:rsidRPr="00A07271">
        <w:rPr>
          <w:rFonts w:ascii="Times New Roman" w:eastAsia="Times New Roman" w:hAnsi="Times New Roman" w:cs="Times New Roman"/>
          <w:color w:val="000000"/>
          <w:kern w:val="0"/>
          <w14:ligatures w14:val="none"/>
        </w:rPr>
        <w:t>where machine learning becomes a powerful solution.</w:t>
      </w:r>
    </w:p>
    <w:p w14:paraId="1876BA1D" w14:textId="77777777" w:rsidR="003A31DE" w:rsidRPr="00A07271" w:rsidRDefault="003A31DE" w:rsidP="00102A38">
      <w:pPr>
        <w:spacing w:after="0" w:line="276" w:lineRule="auto"/>
        <w:rPr>
          <w:rFonts w:ascii="Times New Roman" w:eastAsia="Times New Roman" w:hAnsi="Times New Roman" w:cs="Times New Roman"/>
          <w:color w:val="000000"/>
          <w:kern w:val="0"/>
          <w14:ligatures w14:val="none"/>
        </w:rPr>
      </w:pPr>
    </w:p>
    <w:p w14:paraId="1DCEA5A8" w14:textId="02E6C146" w:rsidR="003A31DE" w:rsidRPr="00A07271" w:rsidRDefault="003A31DE" w:rsidP="00102A38">
      <w:pPr>
        <w:spacing w:after="0" w:line="276" w:lineRule="auto"/>
        <w:rPr>
          <w:rFonts w:ascii="Times New Roman" w:eastAsia="Times New Roman" w:hAnsi="Times New Roman" w:cs="Times New Roman"/>
          <w:color w:val="000000"/>
          <w:kern w:val="0"/>
          <w14:ligatures w14:val="none"/>
        </w:rPr>
      </w:pPr>
      <w:r w:rsidRPr="00A07271">
        <w:rPr>
          <w:rFonts w:ascii="Times New Roman" w:eastAsia="Times New Roman" w:hAnsi="Times New Roman" w:cs="Times New Roman"/>
          <w:color w:val="000000"/>
          <w:kern w:val="0"/>
          <w14:ligatures w14:val="none"/>
        </w:rPr>
        <w:t xml:space="preserve">Machine learning (ML) is a new and exciting approach to address this challenge. Unlike traditional methods, ML can uncover complex, nonlinear relationships that are very difficult to spot in datasets containing many features. The central premise of ML is that you optimize a model's performance on a dataset of tasks that adequately resemble the real-world problems it will be used for - through a process called model training - the model can make accurate predictions on the new data it sees in its ultimate use case </w:t>
      </w:r>
      <w:r w:rsidR="00513204" w:rsidRPr="00A07271">
        <w:rPr>
          <w:rFonts w:ascii="Times New Roman" w:eastAsia="Times New Roman" w:hAnsi="Times New Roman" w:cs="Times New Roman"/>
          <w:color w:val="000000"/>
          <w:kern w:val="0"/>
          <w14:ligatures w14:val="none"/>
        </w:rPr>
        <w:t>(</w:t>
      </w:r>
      <w:r w:rsidRPr="00A07271">
        <w:rPr>
          <w:rFonts w:ascii="Times New Roman" w:eastAsia="Times New Roman" w:hAnsi="Times New Roman" w:cs="Times New Roman"/>
          <w:color w:val="000000"/>
          <w:kern w:val="0"/>
          <w14:ligatures w14:val="none"/>
        </w:rPr>
        <w:t>4</w:t>
      </w:r>
      <w:r w:rsidR="00513204" w:rsidRPr="00A07271">
        <w:rPr>
          <w:rFonts w:ascii="Times New Roman" w:eastAsia="Times New Roman" w:hAnsi="Times New Roman" w:cs="Times New Roman"/>
          <w:color w:val="000000"/>
          <w:kern w:val="0"/>
          <w14:ligatures w14:val="none"/>
        </w:rPr>
        <w:t>)</w:t>
      </w:r>
      <w:r w:rsidRPr="00A07271">
        <w:rPr>
          <w:rFonts w:ascii="Times New Roman" w:eastAsia="Times New Roman" w:hAnsi="Times New Roman" w:cs="Times New Roman"/>
          <w:color w:val="000000"/>
          <w:kern w:val="0"/>
          <w14:ligatures w14:val="none"/>
        </w:rPr>
        <w:t>. This makes it extremely suitable for biological data where there are many variables interacting with one another that are difficult to understand and analyze. In the past, previous uses of ML models in medicine have shown promising outcomes but most of these studies have relied on single categories of data, without incorporating metabolomic or microbiome information. The aim of this study is to firstly, determine whether an ML model can predict ESRD using only common clinical features of kidney health. Second, to test whether an ML model can predict ESRD metabolites detected in serum and feces. Third, to identify a biomarker other than eGFR that indicates progression towards ESRD. Throughout the study we used publicly available data from Wang et al. (2020), which provides both clinical and metabolomic data for both ESRD patients and healthy controls, allowing us to establish a clear difference between the two to build an ML model.</w:t>
      </w:r>
    </w:p>
    <w:p w14:paraId="1BB5DD93" w14:textId="77777777" w:rsidR="003A31DE" w:rsidRPr="00A07271" w:rsidRDefault="003A31DE" w:rsidP="00102A38">
      <w:pPr>
        <w:spacing w:after="0" w:line="276" w:lineRule="auto"/>
        <w:rPr>
          <w:rFonts w:ascii="Times New Roman" w:eastAsia="Times New Roman" w:hAnsi="Times New Roman" w:cs="Times New Roman"/>
          <w:color w:val="000000"/>
          <w:kern w:val="0"/>
          <w14:ligatures w14:val="none"/>
        </w:rPr>
      </w:pPr>
    </w:p>
    <w:p w14:paraId="2B020514" w14:textId="77777777" w:rsidR="003A31DE" w:rsidRPr="00A07271" w:rsidRDefault="003A31DE" w:rsidP="00102A38">
      <w:pPr>
        <w:spacing w:after="0" w:line="276" w:lineRule="auto"/>
        <w:rPr>
          <w:rFonts w:ascii="Times New Roman" w:eastAsia="Times New Roman" w:hAnsi="Times New Roman" w:cs="Times New Roman"/>
          <w:color w:val="000000"/>
          <w:kern w:val="0"/>
          <w14:ligatures w14:val="none"/>
        </w:rPr>
      </w:pPr>
      <w:r w:rsidRPr="00A07271">
        <w:rPr>
          <w:rFonts w:ascii="Times New Roman" w:eastAsia="Times New Roman" w:hAnsi="Times New Roman" w:cs="Times New Roman"/>
          <w:color w:val="000000"/>
          <w:kern w:val="0"/>
          <w14:ligatures w14:val="none"/>
        </w:rPr>
        <w:t xml:space="preserve">There are many future benefits of this research in clinical medicine. If ML models can integrate complex biological </w:t>
      </w:r>
      <w:r w:rsidRPr="00A07271">
        <w:rPr>
          <w:rFonts w:ascii="Times New Roman" w:eastAsia="Times New Roman" w:hAnsi="Times New Roman" w:cs="Times New Roman"/>
          <w:color w:val="000000"/>
          <w:kern w:val="0"/>
          <w14:ligatures w14:val="none"/>
        </w:rPr>
        <w:t>information and improve prediction of ESRD, they can form the basis and act as a blueprint of early detections used in primary care. These models might help identify at-risk patients’ years before ESRD develops, allowing preventative strategies to be implemented sooner. They could also enable personalized medicine by tailoring interventions to an individual’s specific metabolic and microbial profile. Furthermore, integration into electronic health records could help facilitate population-wide screening programs.</w:t>
      </w:r>
    </w:p>
    <w:p w14:paraId="07899E58" w14:textId="77777777" w:rsidR="003A31DE" w:rsidRPr="00A07271" w:rsidRDefault="003A31DE" w:rsidP="00102A38">
      <w:pPr>
        <w:spacing w:after="0" w:line="276" w:lineRule="auto"/>
        <w:rPr>
          <w:rFonts w:ascii="Times New Roman" w:eastAsia="Times New Roman" w:hAnsi="Times New Roman" w:cs="Times New Roman"/>
          <w:color w:val="000000"/>
          <w:kern w:val="0"/>
          <w14:ligatures w14:val="none"/>
        </w:rPr>
      </w:pPr>
      <w:r w:rsidRPr="00A07271">
        <w:rPr>
          <w:rFonts w:ascii="Times New Roman" w:eastAsia="Times New Roman" w:hAnsi="Times New Roman" w:cs="Times New Roman"/>
          <w:color w:val="000000"/>
          <w:kern w:val="0"/>
          <w14:ligatures w14:val="none"/>
        </w:rPr>
        <w:t>In summary, ESRD remains a major global health concern and new approaches are needed to improve early detection. This study seeks to evaluate whether such an approach can improve predictive accuracy and, if so, lay the groundwork for future applications in diagnostics, personalized care, and healthcare planning.</w:t>
      </w:r>
    </w:p>
    <w:p w14:paraId="5D30DA74" w14:textId="77777777" w:rsidR="00765C71" w:rsidRPr="00A07271" w:rsidRDefault="00765C71" w:rsidP="00102A38">
      <w:pPr>
        <w:spacing w:after="0" w:line="276" w:lineRule="auto"/>
        <w:rPr>
          <w:rFonts w:ascii="Times New Roman" w:eastAsia="Times New Roman" w:hAnsi="Times New Roman" w:cs="Times New Roman"/>
          <w:color w:val="000000"/>
          <w:kern w:val="0"/>
          <w14:ligatures w14:val="none"/>
        </w:rPr>
      </w:pPr>
    </w:p>
    <w:p w14:paraId="4BAC9043" w14:textId="2922D09F" w:rsidR="00920CF1" w:rsidRPr="00A07271" w:rsidRDefault="00920CF1" w:rsidP="00102A38">
      <w:pPr>
        <w:pStyle w:val="ListParagraph"/>
        <w:numPr>
          <w:ilvl w:val="0"/>
          <w:numId w:val="3"/>
        </w:numPr>
        <w:spacing w:after="0" w:line="276" w:lineRule="auto"/>
        <w:rPr>
          <w:rFonts w:ascii="Times New Roman" w:eastAsia="Times New Roman" w:hAnsi="Times New Roman" w:cs="Times New Roman"/>
          <w:b/>
          <w:bCs/>
          <w:color w:val="000000"/>
          <w:kern w:val="0"/>
          <w14:ligatures w14:val="none"/>
        </w:rPr>
      </w:pPr>
      <w:r w:rsidRPr="00A07271">
        <w:rPr>
          <w:rFonts w:ascii="Times New Roman" w:eastAsia="Times New Roman" w:hAnsi="Times New Roman" w:cs="Times New Roman"/>
          <w:b/>
          <w:bCs/>
          <w:color w:val="000000"/>
          <w:kern w:val="0"/>
          <w14:ligatures w14:val="none"/>
        </w:rPr>
        <w:t>Methods</w:t>
      </w:r>
    </w:p>
    <w:p w14:paraId="158EF6B6" w14:textId="77777777" w:rsidR="00920CF1" w:rsidRPr="00A07271" w:rsidRDefault="00920CF1" w:rsidP="00102A38">
      <w:pPr>
        <w:spacing w:after="0" w:line="276" w:lineRule="auto"/>
        <w:rPr>
          <w:rFonts w:ascii="Times New Roman" w:eastAsia="Times New Roman" w:hAnsi="Times New Roman" w:cs="Times New Roman"/>
          <w:b/>
          <w:bCs/>
          <w:color w:val="000000"/>
          <w:kern w:val="0"/>
          <w14:ligatures w14:val="none"/>
        </w:rPr>
      </w:pPr>
    </w:p>
    <w:p w14:paraId="3F26921E" w14:textId="77777777" w:rsidR="00BA7A04" w:rsidRPr="00BA7A04" w:rsidRDefault="00BA7A04" w:rsidP="00102A38">
      <w:pPr>
        <w:spacing w:after="0" w:line="276" w:lineRule="auto"/>
        <w:rPr>
          <w:rFonts w:ascii="Times New Roman" w:eastAsia="Times New Roman" w:hAnsi="Times New Roman" w:cs="Times New Roman"/>
          <w:color w:val="000000"/>
          <w:kern w:val="0"/>
          <w14:ligatures w14:val="none"/>
        </w:rPr>
      </w:pPr>
      <w:r w:rsidRPr="00BA7A04">
        <w:rPr>
          <w:rFonts w:ascii="Times New Roman" w:eastAsia="Times New Roman" w:hAnsi="Times New Roman" w:cs="Times New Roman"/>
          <w:color w:val="000000"/>
          <w:kern w:val="0"/>
          <w14:ligatures w14:val="none"/>
        </w:rPr>
        <w:t xml:space="preserve">The dataset used in this study was obtained from Wang et al. (2020) deposited in the MetaboLights repository. This dataset included both human and rodent samples; for the purposes of this analysis, only the human cohort was considered. The human dataset contains clinical information, serum and fecal metabolomics data, and gut microbiome sequencing profiles from patients with ESRD and healthy control subjects. The data includes demographic variables such as age and sex, as well as other clinical variables such as creatinine levels and eGFR. Before analysing the data, it was subjected to data cleaning and preprocessing to ensure it was suitable to be used in Principal Component Analysis (PCA) and for Random Forest (RF) Classification. Clinical features previously mentioned were standardized to ensure consistent units across subjects. Any patients with missing data were excluded to maintain </w:t>
      </w:r>
      <w:r w:rsidRPr="00BA7A04">
        <w:rPr>
          <w:rFonts w:ascii="Times New Roman" w:eastAsia="Times New Roman" w:hAnsi="Times New Roman" w:cs="Times New Roman"/>
          <w:color w:val="000000"/>
          <w:kern w:val="0"/>
          <w14:ligatures w14:val="none"/>
        </w:rPr>
        <w:lastRenderedPageBreak/>
        <w:t>the integrity of the dataset. Metabolomic data was scaled for PCA.</w:t>
      </w:r>
    </w:p>
    <w:p w14:paraId="45C0583F" w14:textId="77777777" w:rsidR="00BA7A04" w:rsidRPr="00BA7A04" w:rsidRDefault="00BA7A04" w:rsidP="00102A38">
      <w:pPr>
        <w:spacing w:after="0" w:line="276" w:lineRule="auto"/>
        <w:rPr>
          <w:rFonts w:ascii="Times New Roman" w:eastAsia="Times New Roman" w:hAnsi="Times New Roman" w:cs="Times New Roman"/>
          <w:color w:val="000000"/>
          <w:kern w:val="0"/>
          <w14:ligatures w14:val="none"/>
        </w:rPr>
      </w:pPr>
    </w:p>
    <w:p w14:paraId="7F06506F" w14:textId="7B9D97B4" w:rsidR="00BA7A04" w:rsidRPr="00BA7A04" w:rsidRDefault="00145F2C" w:rsidP="00102A38">
      <w:pPr>
        <w:spacing w:after="0" w:line="276" w:lineRule="auto"/>
        <w:rPr>
          <w:rFonts w:ascii="Times New Roman" w:eastAsia="Times New Roman" w:hAnsi="Times New Roman" w:cs="Times New Roman"/>
          <w:color w:val="000000"/>
          <w:kern w:val="0"/>
          <w14:ligatures w14:val="none"/>
        </w:rPr>
      </w:pPr>
      <w:r w:rsidRPr="00A07271">
        <w:rPr>
          <w:rFonts w:ascii="Times New Roman" w:eastAsia="Times New Roman" w:hAnsi="Times New Roman" w:cs="Times New Roman"/>
          <w:color w:val="000000"/>
          <w:kern w:val="0"/>
          <w14:ligatures w14:val="none"/>
        </w:rPr>
        <w:t>Due</w:t>
      </w:r>
      <w:r w:rsidR="00BA7A04" w:rsidRPr="00BA7A04">
        <w:rPr>
          <w:rFonts w:ascii="Times New Roman" w:eastAsia="Times New Roman" w:hAnsi="Times New Roman" w:cs="Times New Roman"/>
          <w:color w:val="000000"/>
          <w:kern w:val="0"/>
          <w14:ligatures w14:val="none"/>
        </w:rPr>
        <w:t xml:space="preserve"> of the high dimensionality of metabolomics and microbiome data, PCA was applied to reduce feature space and highlight key patterns. PCA was used both as an exploratory tool, to visualize clustering between ESRD patients and controls. The usage of PCA allowed us to determine which factor was the main differentiation between patients with ESRD and healthy controls.</w:t>
      </w:r>
    </w:p>
    <w:p w14:paraId="3048B394" w14:textId="77777777" w:rsidR="00BA7A04" w:rsidRPr="00BA7A04" w:rsidRDefault="00BA7A04" w:rsidP="00102A38">
      <w:pPr>
        <w:spacing w:after="0" w:line="276" w:lineRule="auto"/>
        <w:rPr>
          <w:rFonts w:ascii="Times New Roman" w:eastAsia="Times New Roman" w:hAnsi="Times New Roman" w:cs="Times New Roman"/>
          <w:color w:val="000000"/>
          <w:kern w:val="0"/>
          <w14:ligatures w14:val="none"/>
        </w:rPr>
      </w:pPr>
    </w:p>
    <w:p w14:paraId="701DF4FA" w14:textId="0C0B4DA3" w:rsidR="00BA7A04" w:rsidRPr="00BA7A04" w:rsidRDefault="00BA7A04" w:rsidP="00102A38">
      <w:pPr>
        <w:spacing w:after="0" w:line="276" w:lineRule="auto"/>
        <w:rPr>
          <w:rFonts w:ascii="Times New Roman" w:eastAsia="Times New Roman" w:hAnsi="Times New Roman" w:cs="Times New Roman"/>
          <w:color w:val="000000"/>
          <w:kern w:val="0"/>
          <w14:ligatures w14:val="none"/>
        </w:rPr>
      </w:pPr>
      <w:r w:rsidRPr="00BA7A04">
        <w:rPr>
          <w:rFonts w:ascii="Times New Roman" w:eastAsia="Times New Roman" w:hAnsi="Times New Roman" w:cs="Times New Roman"/>
          <w:color w:val="000000"/>
          <w:kern w:val="0"/>
          <w14:ligatures w14:val="none"/>
        </w:rPr>
        <w:t>RF models were evaluated for accuracy, specificity, and sensitivity across three datasets: clinical data, clinical data with eGFR removed, and metabolomic data. Their performance was compared using the ROC AUC, which measures how well each model distinguishes ESRD patients from controls across varying classification thresholds. The 3 models were compared to determine which model was most accurate.</w:t>
      </w:r>
    </w:p>
    <w:p w14:paraId="126D0AD3" w14:textId="6E4AEFE2" w:rsidR="00C26FF0" w:rsidRPr="00A07271" w:rsidRDefault="00BA7A04" w:rsidP="00102A38">
      <w:pPr>
        <w:spacing w:after="0" w:line="276" w:lineRule="auto"/>
        <w:rPr>
          <w:rFonts w:ascii="Times New Roman" w:eastAsia="Times New Roman" w:hAnsi="Times New Roman" w:cs="Times New Roman"/>
          <w:color w:val="000000"/>
          <w:kern w:val="0"/>
          <w14:ligatures w14:val="none"/>
        </w:rPr>
      </w:pPr>
      <w:r w:rsidRPr="00BA7A04">
        <w:rPr>
          <w:rFonts w:ascii="Times New Roman" w:eastAsia="Times New Roman" w:hAnsi="Times New Roman" w:cs="Times New Roman"/>
          <w:color w:val="000000"/>
          <w:kern w:val="0"/>
          <w14:ligatures w14:val="none"/>
        </w:rPr>
        <w:t>The coding language used for the project was Python</w:t>
      </w:r>
      <w:r w:rsidR="00E81ED0" w:rsidRPr="00A07271">
        <w:rPr>
          <w:rFonts w:ascii="Times New Roman" w:eastAsia="Times New Roman" w:hAnsi="Times New Roman" w:cs="Times New Roman"/>
          <w:color w:val="000000"/>
          <w:kern w:val="0"/>
          <w14:ligatures w14:val="none"/>
        </w:rPr>
        <w:t xml:space="preserve"> 3.13.5</w:t>
      </w:r>
      <w:r w:rsidRPr="00BA7A04">
        <w:rPr>
          <w:rFonts w:ascii="Times New Roman" w:eastAsia="Times New Roman" w:hAnsi="Times New Roman" w:cs="Times New Roman"/>
          <w:color w:val="000000"/>
          <w:kern w:val="0"/>
          <w14:ligatures w14:val="none"/>
        </w:rPr>
        <w:t>, Random Forest was done using the SciKit Learn library. The pandas library was used for data cleaning and PCA, and the data was visualized into a graph using python's built-in functions</w:t>
      </w:r>
    </w:p>
    <w:p w14:paraId="2CB4EB00" w14:textId="77777777" w:rsidR="00E81ED0" w:rsidRPr="00A07271" w:rsidRDefault="00E81ED0" w:rsidP="00102A38">
      <w:pPr>
        <w:spacing w:after="0" w:line="276" w:lineRule="auto"/>
        <w:rPr>
          <w:rFonts w:ascii="Times New Roman" w:eastAsia="Times New Roman" w:hAnsi="Times New Roman" w:cs="Times New Roman"/>
          <w:color w:val="000000"/>
          <w:kern w:val="0"/>
          <w14:ligatures w14:val="none"/>
        </w:rPr>
      </w:pPr>
    </w:p>
    <w:p w14:paraId="7D397D71" w14:textId="57ECE97C" w:rsidR="00C26FF0" w:rsidRPr="00A07271" w:rsidRDefault="00C26FF0" w:rsidP="00102A38">
      <w:pPr>
        <w:pStyle w:val="ListParagraph"/>
        <w:numPr>
          <w:ilvl w:val="0"/>
          <w:numId w:val="3"/>
        </w:numPr>
        <w:spacing w:after="0" w:line="276" w:lineRule="auto"/>
        <w:rPr>
          <w:rFonts w:ascii="Times New Roman" w:eastAsia="Times New Roman" w:hAnsi="Times New Roman" w:cs="Times New Roman"/>
          <w:b/>
          <w:bCs/>
          <w:color w:val="000000"/>
          <w:kern w:val="0"/>
          <w14:ligatures w14:val="none"/>
        </w:rPr>
      </w:pPr>
      <w:r w:rsidRPr="00A07271">
        <w:rPr>
          <w:rFonts w:ascii="Times New Roman" w:eastAsia="Times New Roman" w:hAnsi="Times New Roman" w:cs="Times New Roman"/>
          <w:b/>
          <w:bCs/>
          <w:color w:val="000000"/>
          <w:kern w:val="0"/>
          <w14:ligatures w14:val="none"/>
        </w:rPr>
        <w:t>Results</w:t>
      </w:r>
    </w:p>
    <w:p w14:paraId="6A62A133" w14:textId="77777777" w:rsidR="00C26FF0" w:rsidRPr="00A07271" w:rsidRDefault="00C26FF0" w:rsidP="00102A38">
      <w:pPr>
        <w:spacing w:after="0" w:line="276" w:lineRule="auto"/>
        <w:rPr>
          <w:rFonts w:ascii="Times New Roman" w:eastAsia="Times New Roman" w:hAnsi="Times New Roman" w:cs="Times New Roman"/>
          <w:b/>
          <w:bCs/>
          <w:color w:val="000000"/>
          <w:kern w:val="0"/>
          <w14:ligatures w14:val="none"/>
        </w:rPr>
      </w:pPr>
    </w:p>
    <w:p w14:paraId="68BDC741" w14:textId="77777777" w:rsidR="00F502F7" w:rsidRPr="00A07271" w:rsidRDefault="00F502F7" w:rsidP="00102A38">
      <w:pPr>
        <w:spacing w:after="0" w:line="276" w:lineRule="auto"/>
        <w:rPr>
          <w:rFonts w:ascii="Times New Roman" w:eastAsia="Times New Roman" w:hAnsi="Times New Roman" w:cs="Times New Roman"/>
          <w:color w:val="000000"/>
          <w:kern w:val="0"/>
          <w14:ligatures w14:val="none"/>
        </w:rPr>
      </w:pPr>
      <w:r w:rsidRPr="00F502F7">
        <w:rPr>
          <w:rFonts w:ascii="Times New Roman" w:eastAsia="Times New Roman" w:hAnsi="Times New Roman" w:cs="Times New Roman"/>
          <w:color w:val="000000"/>
          <w:kern w:val="0"/>
          <w14:ligatures w14:val="none"/>
        </w:rPr>
        <w:t>This study applied PCA and RF models to both the clinical and metabolomic datasets obtained from the Wang et al. (2020) study in order to identify potential early biomarkers distinguishing ESRD patients from controls. </w:t>
      </w:r>
    </w:p>
    <w:p w14:paraId="415D1782" w14:textId="77777777" w:rsidR="00765801" w:rsidRPr="00F502F7" w:rsidRDefault="00765801" w:rsidP="00102A38">
      <w:pPr>
        <w:spacing w:after="0" w:line="276" w:lineRule="auto"/>
        <w:rPr>
          <w:rFonts w:ascii="Times New Roman" w:eastAsia="Times New Roman" w:hAnsi="Times New Roman" w:cs="Times New Roman"/>
          <w:color w:val="000000"/>
          <w:kern w:val="0"/>
          <w14:ligatures w14:val="none"/>
        </w:rPr>
      </w:pPr>
    </w:p>
    <w:p w14:paraId="0EF1A4B1" w14:textId="70009210" w:rsidR="009D08A7" w:rsidRPr="00A07271" w:rsidRDefault="00DF3F48" w:rsidP="00102A38">
      <w:pPr>
        <w:spacing w:after="0" w:line="276" w:lineRule="auto"/>
        <w:jc w:val="center"/>
        <w:rPr>
          <w:rFonts w:ascii="Times New Roman" w:eastAsia="Times New Roman" w:hAnsi="Times New Roman" w:cs="Times New Roman"/>
          <w:b/>
          <w:bCs/>
          <w:color w:val="000000"/>
          <w:kern w:val="0"/>
          <w14:ligatures w14:val="none"/>
        </w:rPr>
      </w:pPr>
      <w:r w:rsidRPr="00A07271">
        <w:rPr>
          <w:rFonts w:ascii="Times New Roman" w:hAnsi="Times New Roman" w:cs="Times New Roman"/>
          <w:noProof/>
          <w:color w:val="000000"/>
        </w:rPr>
        <w:drawing>
          <wp:inline distT="0" distB="0" distL="0" distR="0" wp14:anchorId="5BC9AABE" wp14:editId="2D0B64AC">
            <wp:extent cx="2190750" cy="2103120"/>
            <wp:effectExtent l="0" t="0" r="6350" b="5080"/>
            <wp:docPr id="13526206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190750" cy="2103120"/>
                    </a:xfrm>
                    <a:prstGeom prst="rect">
                      <a:avLst/>
                    </a:prstGeom>
                    <a:noFill/>
                    <a:ln>
                      <a:noFill/>
                    </a:ln>
                  </pic:spPr>
                </pic:pic>
              </a:graphicData>
            </a:graphic>
          </wp:inline>
        </w:drawing>
      </w:r>
    </w:p>
    <w:p w14:paraId="1718ECA4" w14:textId="7EAB2038" w:rsidR="007E0957" w:rsidRPr="00A07271" w:rsidRDefault="00DF3F48" w:rsidP="00102A38">
      <w:pPr>
        <w:spacing w:after="0" w:line="276" w:lineRule="auto"/>
        <w:rPr>
          <w:rFonts w:ascii="Times New Roman" w:eastAsia="Times New Roman" w:hAnsi="Times New Roman" w:cs="Times New Roman"/>
          <w:color w:val="000000"/>
          <w:kern w:val="0"/>
          <w14:ligatures w14:val="none"/>
        </w:rPr>
      </w:pPr>
      <w:r w:rsidRPr="00A07271">
        <w:rPr>
          <w:rFonts w:ascii="Times New Roman" w:eastAsia="Times New Roman" w:hAnsi="Times New Roman" w:cs="Times New Roman"/>
          <w:b/>
          <w:bCs/>
          <w:color w:val="000000"/>
          <w:kern w:val="0"/>
          <w14:ligatures w14:val="none"/>
        </w:rPr>
        <w:t>Figure 1</w:t>
      </w:r>
      <w:r w:rsidR="002A1B17" w:rsidRPr="00A07271">
        <w:rPr>
          <w:rFonts w:ascii="Times New Roman" w:eastAsia="Times New Roman" w:hAnsi="Times New Roman" w:cs="Times New Roman"/>
          <w:b/>
          <w:bCs/>
          <w:color w:val="000000"/>
          <w:kern w:val="0"/>
          <w14:ligatures w14:val="none"/>
        </w:rPr>
        <w:t>a</w:t>
      </w:r>
      <w:r w:rsidRPr="00A07271">
        <w:rPr>
          <w:rFonts w:ascii="Times New Roman" w:eastAsia="Times New Roman" w:hAnsi="Times New Roman" w:cs="Times New Roman"/>
          <w:b/>
          <w:bCs/>
          <w:color w:val="000000"/>
          <w:kern w:val="0"/>
          <w14:ligatures w14:val="none"/>
        </w:rPr>
        <w:t xml:space="preserve">. </w:t>
      </w:r>
      <w:r w:rsidR="00595BE2" w:rsidRPr="00A07271">
        <w:rPr>
          <w:rFonts w:ascii="Times New Roman" w:eastAsia="Times New Roman" w:hAnsi="Times New Roman" w:cs="Times New Roman"/>
          <w:b/>
          <w:bCs/>
          <w:color w:val="000000"/>
          <w:kern w:val="0"/>
          <w14:ligatures w14:val="none"/>
        </w:rPr>
        <w:t xml:space="preserve"> </w:t>
      </w:r>
      <w:r w:rsidR="00595BE2" w:rsidRPr="00A07271">
        <w:rPr>
          <w:rFonts w:ascii="Times New Roman" w:eastAsia="Times New Roman" w:hAnsi="Times New Roman" w:cs="Times New Roman"/>
          <w:color w:val="000000"/>
          <w:kern w:val="0"/>
          <w14:ligatures w14:val="none"/>
        </w:rPr>
        <w:t xml:space="preserve">3D PCA score plot illustrating </w:t>
      </w:r>
      <w:r w:rsidR="0063619C" w:rsidRPr="00A07271">
        <w:rPr>
          <w:rFonts w:ascii="Times New Roman" w:eastAsia="Times New Roman" w:hAnsi="Times New Roman" w:cs="Times New Roman"/>
          <w:color w:val="000000"/>
          <w:kern w:val="0"/>
          <w14:ligatures w14:val="none"/>
        </w:rPr>
        <w:t>separation between ESRD and control samples</w:t>
      </w:r>
      <w:r w:rsidR="00B9192A" w:rsidRPr="00A07271">
        <w:rPr>
          <w:rFonts w:ascii="Times New Roman" w:eastAsia="Times New Roman" w:hAnsi="Times New Roman" w:cs="Times New Roman"/>
          <w:color w:val="000000"/>
          <w:kern w:val="0"/>
          <w14:ligatures w14:val="none"/>
        </w:rPr>
        <w:t>.</w:t>
      </w:r>
    </w:p>
    <w:p w14:paraId="26E9AFBE" w14:textId="77777777" w:rsidR="0063619C" w:rsidRPr="00A07271" w:rsidRDefault="0063619C" w:rsidP="00102A38">
      <w:pPr>
        <w:spacing w:after="0" w:line="276" w:lineRule="auto"/>
        <w:rPr>
          <w:rFonts w:ascii="Times New Roman" w:eastAsia="Times New Roman" w:hAnsi="Times New Roman" w:cs="Times New Roman"/>
          <w:color w:val="000000"/>
          <w:kern w:val="0"/>
          <w14:ligatures w14:val="none"/>
        </w:rPr>
      </w:pPr>
    </w:p>
    <w:p w14:paraId="3DD0FA90" w14:textId="042462FF" w:rsidR="0063619C" w:rsidRPr="00A07271" w:rsidRDefault="007578F7" w:rsidP="00102A38">
      <w:pPr>
        <w:spacing w:after="0" w:line="276" w:lineRule="auto"/>
        <w:jc w:val="center"/>
        <w:rPr>
          <w:rFonts w:ascii="Times New Roman" w:eastAsia="Times New Roman" w:hAnsi="Times New Roman" w:cs="Times New Roman"/>
          <w:color w:val="000000"/>
          <w:kern w:val="0"/>
          <w14:ligatures w14:val="none"/>
        </w:rPr>
      </w:pPr>
      <w:r w:rsidRPr="00A07271">
        <w:rPr>
          <w:rFonts w:ascii="Times New Roman" w:hAnsi="Times New Roman" w:cs="Times New Roman"/>
          <w:noProof/>
          <w:color w:val="000000"/>
        </w:rPr>
        <w:drawing>
          <wp:inline distT="0" distB="0" distL="0" distR="0" wp14:anchorId="115DC1C9" wp14:editId="3D70EB16">
            <wp:extent cx="1978090" cy="1449109"/>
            <wp:effectExtent l="0" t="0" r="3175" b="0"/>
            <wp:docPr id="7093323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001740" cy="1466434"/>
                    </a:xfrm>
                    <a:prstGeom prst="rect">
                      <a:avLst/>
                    </a:prstGeom>
                    <a:noFill/>
                    <a:ln>
                      <a:noFill/>
                    </a:ln>
                  </pic:spPr>
                </pic:pic>
              </a:graphicData>
            </a:graphic>
          </wp:inline>
        </w:drawing>
      </w:r>
    </w:p>
    <w:p w14:paraId="30444A3B" w14:textId="69EB305C" w:rsidR="007578F7" w:rsidRPr="00A07271" w:rsidRDefault="007578F7" w:rsidP="00102A38">
      <w:pPr>
        <w:spacing w:after="0" w:line="276" w:lineRule="auto"/>
        <w:rPr>
          <w:rFonts w:ascii="Times New Roman" w:eastAsia="Times New Roman" w:hAnsi="Times New Roman" w:cs="Times New Roman"/>
          <w:color w:val="000000"/>
          <w:kern w:val="0"/>
          <w14:ligatures w14:val="none"/>
        </w:rPr>
      </w:pPr>
      <w:r w:rsidRPr="00A07271">
        <w:rPr>
          <w:rFonts w:ascii="Times New Roman" w:eastAsia="Times New Roman" w:hAnsi="Times New Roman" w:cs="Times New Roman"/>
          <w:b/>
          <w:bCs/>
          <w:color w:val="000000"/>
          <w:kern w:val="0"/>
          <w14:ligatures w14:val="none"/>
        </w:rPr>
        <w:lastRenderedPageBreak/>
        <w:t>Figure 1b</w:t>
      </w:r>
      <w:r w:rsidR="007B4232" w:rsidRPr="00A07271">
        <w:rPr>
          <w:rFonts w:ascii="Times New Roman" w:eastAsia="Times New Roman" w:hAnsi="Times New Roman" w:cs="Times New Roman"/>
          <w:b/>
          <w:bCs/>
          <w:color w:val="000000"/>
          <w:kern w:val="0"/>
          <w14:ligatures w14:val="none"/>
        </w:rPr>
        <w:t xml:space="preserve">. </w:t>
      </w:r>
      <w:r w:rsidR="007B4232" w:rsidRPr="00A07271">
        <w:rPr>
          <w:rFonts w:ascii="Times New Roman" w:eastAsia="Times New Roman" w:hAnsi="Times New Roman" w:cs="Times New Roman"/>
          <w:color w:val="000000"/>
          <w:kern w:val="0"/>
          <w14:ligatures w14:val="none"/>
        </w:rPr>
        <w:t xml:space="preserve">PCA biplot illustrating sample separation and variable loading </w:t>
      </w:r>
      <w:r w:rsidR="00230552" w:rsidRPr="00A07271">
        <w:rPr>
          <w:rFonts w:ascii="Times New Roman" w:eastAsia="Times New Roman" w:hAnsi="Times New Roman" w:cs="Times New Roman"/>
          <w:color w:val="000000"/>
          <w:kern w:val="0"/>
          <w14:ligatures w14:val="none"/>
        </w:rPr>
        <w:t>for PC1 and PC2</w:t>
      </w:r>
      <w:r w:rsidR="00B9192A" w:rsidRPr="00A07271">
        <w:rPr>
          <w:rFonts w:ascii="Times New Roman" w:eastAsia="Times New Roman" w:hAnsi="Times New Roman" w:cs="Times New Roman"/>
          <w:color w:val="000000"/>
          <w:kern w:val="0"/>
          <w14:ligatures w14:val="none"/>
        </w:rPr>
        <w:t>.</w:t>
      </w:r>
    </w:p>
    <w:p w14:paraId="52CB37E9" w14:textId="77777777" w:rsidR="00230552" w:rsidRPr="00A07271" w:rsidRDefault="00230552" w:rsidP="00102A38">
      <w:pPr>
        <w:spacing w:after="0" w:line="276" w:lineRule="auto"/>
        <w:rPr>
          <w:rFonts w:ascii="Times New Roman" w:eastAsia="Times New Roman" w:hAnsi="Times New Roman" w:cs="Times New Roman"/>
          <w:color w:val="000000"/>
          <w:kern w:val="0"/>
          <w14:ligatures w14:val="none"/>
        </w:rPr>
      </w:pPr>
    </w:p>
    <w:p w14:paraId="2353855A" w14:textId="32F502F4" w:rsidR="00230552" w:rsidRPr="00A07271" w:rsidRDefault="007D30A6" w:rsidP="00102A38">
      <w:pPr>
        <w:spacing w:after="0" w:line="276" w:lineRule="auto"/>
        <w:jc w:val="center"/>
        <w:rPr>
          <w:rFonts w:ascii="Times New Roman" w:eastAsia="Times New Roman" w:hAnsi="Times New Roman" w:cs="Times New Roman"/>
          <w:color w:val="000000"/>
          <w:kern w:val="0"/>
          <w14:ligatures w14:val="none"/>
        </w:rPr>
      </w:pPr>
      <w:r w:rsidRPr="00A07271">
        <w:rPr>
          <w:rFonts w:ascii="Times New Roman" w:hAnsi="Times New Roman" w:cs="Times New Roman"/>
          <w:noProof/>
          <w:color w:val="000000"/>
        </w:rPr>
        <w:drawing>
          <wp:inline distT="0" distB="0" distL="0" distR="0" wp14:anchorId="112FCE94" wp14:editId="621C137F">
            <wp:extent cx="2085975" cy="1490524"/>
            <wp:effectExtent l="0" t="0" r="0" b="0"/>
            <wp:docPr id="4778322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64954" cy="1546958"/>
                    </a:xfrm>
                    <a:prstGeom prst="rect">
                      <a:avLst/>
                    </a:prstGeom>
                    <a:noFill/>
                    <a:ln>
                      <a:noFill/>
                    </a:ln>
                  </pic:spPr>
                </pic:pic>
              </a:graphicData>
            </a:graphic>
          </wp:inline>
        </w:drawing>
      </w:r>
    </w:p>
    <w:p w14:paraId="6B9B7399" w14:textId="51920589" w:rsidR="007D30A6" w:rsidRPr="00A07271" w:rsidRDefault="007D30A6" w:rsidP="00102A38">
      <w:pPr>
        <w:spacing w:after="0" w:line="276" w:lineRule="auto"/>
        <w:rPr>
          <w:rFonts w:ascii="Times New Roman" w:eastAsia="Times New Roman" w:hAnsi="Times New Roman" w:cs="Times New Roman"/>
          <w:color w:val="000000"/>
          <w:kern w:val="0"/>
          <w14:ligatures w14:val="none"/>
        </w:rPr>
      </w:pPr>
      <w:r w:rsidRPr="00A07271">
        <w:rPr>
          <w:rFonts w:ascii="Times New Roman" w:eastAsia="Times New Roman" w:hAnsi="Times New Roman" w:cs="Times New Roman"/>
          <w:b/>
          <w:bCs/>
          <w:color w:val="000000"/>
          <w:kern w:val="0"/>
          <w14:ligatures w14:val="none"/>
        </w:rPr>
        <w:t xml:space="preserve">Figure 1c. </w:t>
      </w:r>
      <w:r w:rsidR="004C1693" w:rsidRPr="00A07271">
        <w:rPr>
          <w:rFonts w:ascii="Times New Roman" w:eastAsia="Times New Roman" w:hAnsi="Times New Roman" w:cs="Times New Roman"/>
          <w:color w:val="000000"/>
          <w:kern w:val="0"/>
          <w14:ligatures w14:val="none"/>
        </w:rPr>
        <w:t>PCA loading plot illustrating the contributions of clinical variables to PC1 and PC2</w:t>
      </w:r>
      <w:r w:rsidR="00B9192A" w:rsidRPr="00A07271">
        <w:rPr>
          <w:rFonts w:ascii="Times New Roman" w:eastAsia="Times New Roman" w:hAnsi="Times New Roman" w:cs="Times New Roman"/>
          <w:color w:val="000000"/>
          <w:kern w:val="0"/>
          <w14:ligatures w14:val="none"/>
        </w:rPr>
        <w:t>.</w:t>
      </w:r>
    </w:p>
    <w:p w14:paraId="1CD001B3" w14:textId="2F479077" w:rsidR="004C1693" w:rsidRPr="00A07271" w:rsidRDefault="00467F09" w:rsidP="00102A38">
      <w:pPr>
        <w:spacing w:after="0" w:line="276" w:lineRule="auto"/>
        <w:jc w:val="center"/>
        <w:rPr>
          <w:rFonts w:ascii="Times New Roman" w:eastAsia="Times New Roman" w:hAnsi="Times New Roman" w:cs="Times New Roman"/>
          <w:color w:val="000000"/>
          <w:kern w:val="0"/>
          <w14:ligatures w14:val="none"/>
        </w:rPr>
      </w:pPr>
      <w:r w:rsidRPr="00A07271">
        <w:rPr>
          <w:rFonts w:ascii="Times New Roman" w:hAnsi="Times New Roman" w:cs="Times New Roman"/>
          <w:noProof/>
          <w:color w:val="000000"/>
        </w:rPr>
        <w:drawing>
          <wp:inline distT="0" distB="0" distL="0" distR="0" wp14:anchorId="5CCDC34A" wp14:editId="55190F68">
            <wp:extent cx="2576761" cy="1483567"/>
            <wp:effectExtent l="0" t="0" r="1905" b="2540"/>
            <wp:docPr id="1222239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35879" cy="1575179"/>
                    </a:xfrm>
                    <a:prstGeom prst="rect">
                      <a:avLst/>
                    </a:prstGeom>
                    <a:noFill/>
                    <a:ln>
                      <a:noFill/>
                    </a:ln>
                  </pic:spPr>
                </pic:pic>
              </a:graphicData>
            </a:graphic>
          </wp:inline>
        </w:drawing>
      </w:r>
    </w:p>
    <w:p w14:paraId="3390AE7C" w14:textId="6BF6F973" w:rsidR="00026C68" w:rsidRDefault="00467F09" w:rsidP="00102A38">
      <w:pPr>
        <w:spacing w:after="0" w:line="276" w:lineRule="auto"/>
        <w:rPr>
          <w:rFonts w:ascii="Times New Roman" w:eastAsia="Times New Roman" w:hAnsi="Times New Roman" w:cs="Times New Roman"/>
          <w:color w:val="000000"/>
          <w:kern w:val="0"/>
          <w14:ligatures w14:val="none"/>
        </w:rPr>
      </w:pPr>
      <w:r w:rsidRPr="00A07271">
        <w:rPr>
          <w:rFonts w:ascii="Times New Roman" w:eastAsia="Times New Roman" w:hAnsi="Times New Roman" w:cs="Times New Roman"/>
          <w:b/>
          <w:bCs/>
          <w:color w:val="000000"/>
          <w:kern w:val="0"/>
          <w14:ligatures w14:val="none"/>
        </w:rPr>
        <w:t xml:space="preserve">Figure 1d. </w:t>
      </w:r>
      <w:r w:rsidR="00BA159A" w:rsidRPr="00A07271">
        <w:rPr>
          <w:rFonts w:ascii="Times New Roman" w:eastAsia="Times New Roman" w:hAnsi="Times New Roman" w:cs="Times New Roman"/>
          <w:b/>
          <w:bCs/>
          <w:color w:val="000000"/>
          <w:kern w:val="0"/>
          <w14:ligatures w14:val="none"/>
        </w:rPr>
        <w:t xml:space="preserve"> </w:t>
      </w:r>
      <w:r w:rsidR="00BA159A" w:rsidRPr="00A07271">
        <w:rPr>
          <w:rFonts w:ascii="Times New Roman" w:eastAsia="Times New Roman" w:hAnsi="Times New Roman" w:cs="Times New Roman"/>
          <w:color w:val="000000"/>
          <w:kern w:val="0"/>
          <w14:ligatures w14:val="none"/>
        </w:rPr>
        <w:t>Scree plot illustrating the explained variance of all principal components</w:t>
      </w:r>
    </w:p>
    <w:p w14:paraId="1C484858" w14:textId="77777777" w:rsidR="00102A38" w:rsidRDefault="00102A38" w:rsidP="00102A38">
      <w:pPr>
        <w:spacing w:after="0" w:line="276" w:lineRule="auto"/>
        <w:rPr>
          <w:rFonts w:ascii="Times New Roman" w:eastAsia="Times New Roman" w:hAnsi="Times New Roman" w:cs="Times New Roman"/>
          <w:color w:val="000000"/>
          <w:kern w:val="0"/>
          <w14:ligatures w14:val="none"/>
        </w:rPr>
      </w:pPr>
    </w:p>
    <w:p w14:paraId="16229A73" w14:textId="77777777" w:rsidR="00102A38" w:rsidRDefault="00102A38" w:rsidP="00102A38">
      <w:pPr>
        <w:spacing w:after="0" w:line="276" w:lineRule="auto"/>
        <w:rPr>
          <w:rFonts w:ascii="Times New Roman" w:eastAsia="Times New Roman" w:hAnsi="Times New Roman" w:cs="Times New Roman"/>
          <w:color w:val="000000"/>
          <w:kern w:val="0"/>
          <w14:ligatures w14:val="none"/>
        </w:rPr>
      </w:pPr>
    </w:p>
    <w:p w14:paraId="3B24B714" w14:textId="77777777" w:rsidR="00102A38" w:rsidRDefault="00102A38" w:rsidP="00102A38">
      <w:pPr>
        <w:spacing w:after="0" w:line="276" w:lineRule="auto"/>
        <w:rPr>
          <w:rFonts w:ascii="Times New Roman" w:eastAsia="Times New Roman" w:hAnsi="Times New Roman" w:cs="Times New Roman"/>
          <w:color w:val="000000"/>
          <w:kern w:val="0"/>
          <w14:ligatures w14:val="none"/>
        </w:rPr>
      </w:pPr>
    </w:p>
    <w:p w14:paraId="5A59CB1F" w14:textId="77777777" w:rsidR="00102A38" w:rsidRDefault="00102A38" w:rsidP="00102A38">
      <w:pPr>
        <w:spacing w:after="0" w:line="276" w:lineRule="auto"/>
        <w:rPr>
          <w:rFonts w:ascii="Times New Roman" w:eastAsia="Times New Roman" w:hAnsi="Times New Roman" w:cs="Times New Roman"/>
          <w:color w:val="000000"/>
          <w:kern w:val="0"/>
          <w14:ligatures w14:val="none"/>
        </w:rPr>
      </w:pPr>
    </w:p>
    <w:p w14:paraId="3CF816D6" w14:textId="77777777" w:rsidR="00102A38" w:rsidRPr="00A07271" w:rsidRDefault="00102A38" w:rsidP="00102A38">
      <w:pPr>
        <w:spacing w:after="0" w:line="276" w:lineRule="auto"/>
        <w:rPr>
          <w:rFonts w:ascii="Times New Roman" w:eastAsia="Times New Roman" w:hAnsi="Times New Roman" w:cs="Times New Roman"/>
          <w:color w:val="000000"/>
          <w:kern w:val="0"/>
          <w14:ligatures w14:val="none"/>
        </w:rPr>
      </w:pPr>
    </w:p>
    <w:p w14:paraId="3F9A8306" w14:textId="5E97A0D7" w:rsidR="00026C68" w:rsidRPr="00A07271" w:rsidRDefault="0043230F" w:rsidP="00102A38">
      <w:pPr>
        <w:spacing w:after="0" w:line="276" w:lineRule="auto"/>
        <w:jc w:val="center"/>
        <w:rPr>
          <w:rFonts w:ascii="Times New Roman" w:eastAsia="Times New Roman" w:hAnsi="Times New Roman" w:cs="Times New Roman"/>
          <w:color w:val="000000"/>
          <w:kern w:val="0"/>
          <w14:ligatures w14:val="none"/>
        </w:rPr>
      </w:pPr>
      <w:r w:rsidRPr="00A07271">
        <w:rPr>
          <w:rFonts w:ascii="Times New Roman" w:hAnsi="Times New Roman" w:cs="Times New Roman"/>
          <w:noProof/>
          <w:color w:val="000000"/>
        </w:rPr>
        <w:drawing>
          <wp:inline distT="0" distB="0" distL="0" distR="0" wp14:anchorId="502D9D56" wp14:editId="6332C1C6">
            <wp:extent cx="2114550" cy="1636992"/>
            <wp:effectExtent l="0" t="0" r="0" b="1905"/>
            <wp:docPr id="1077553096" name="Picture 12"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553096" name="Picture 12" descr="A graph of a curve&#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62436" cy="1674064"/>
                    </a:xfrm>
                    <a:prstGeom prst="rect">
                      <a:avLst/>
                    </a:prstGeom>
                    <a:noFill/>
                    <a:ln>
                      <a:noFill/>
                    </a:ln>
                  </pic:spPr>
                </pic:pic>
              </a:graphicData>
            </a:graphic>
          </wp:inline>
        </w:drawing>
      </w:r>
    </w:p>
    <w:p w14:paraId="3A8828E4" w14:textId="77777777" w:rsidR="00026A03" w:rsidRPr="00026A03" w:rsidRDefault="00026A03" w:rsidP="00102A38">
      <w:pPr>
        <w:spacing w:after="0" w:line="276" w:lineRule="auto"/>
        <w:rPr>
          <w:rFonts w:ascii="Times New Roman" w:eastAsia="Times New Roman" w:hAnsi="Times New Roman" w:cs="Times New Roman"/>
          <w:color w:val="000000"/>
          <w:kern w:val="0"/>
          <w14:ligatures w14:val="none"/>
        </w:rPr>
      </w:pPr>
      <w:r w:rsidRPr="00026A03">
        <w:rPr>
          <w:rFonts w:ascii="Times New Roman" w:eastAsia="Times New Roman" w:hAnsi="Times New Roman" w:cs="Times New Roman"/>
          <w:color w:val="000000"/>
          <w:kern w:val="0"/>
          <w:shd w:val="clear" w:color="auto" w:fill="FFFFFF"/>
          <w14:ligatures w14:val="none"/>
        </w:rPr>
        <w:t>accuracy =  1.0</w:t>
      </w:r>
    </w:p>
    <w:p w14:paraId="14959609" w14:textId="77777777" w:rsidR="00026A03" w:rsidRPr="00026A03" w:rsidRDefault="00026A03" w:rsidP="00102A38">
      <w:pPr>
        <w:spacing w:after="0" w:line="276" w:lineRule="auto"/>
        <w:rPr>
          <w:rFonts w:ascii="Times New Roman" w:eastAsia="Times New Roman" w:hAnsi="Times New Roman" w:cs="Times New Roman"/>
          <w:color w:val="000000"/>
          <w:kern w:val="0"/>
          <w14:ligatures w14:val="none"/>
        </w:rPr>
      </w:pPr>
      <w:r w:rsidRPr="00026A03">
        <w:rPr>
          <w:rFonts w:ascii="Times New Roman" w:eastAsia="Times New Roman" w:hAnsi="Times New Roman" w:cs="Times New Roman"/>
          <w:color w:val="000000"/>
          <w:kern w:val="0"/>
          <w:shd w:val="clear" w:color="auto" w:fill="FFFFFF"/>
          <w14:ligatures w14:val="none"/>
        </w:rPr>
        <w:t>specificity =  1.0</w:t>
      </w:r>
    </w:p>
    <w:p w14:paraId="49A99DA0" w14:textId="77777777" w:rsidR="00026A03" w:rsidRPr="00026A03" w:rsidRDefault="00026A03" w:rsidP="00102A38">
      <w:pPr>
        <w:spacing w:after="0" w:line="276" w:lineRule="auto"/>
        <w:rPr>
          <w:rFonts w:ascii="Times New Roman" w:eastAsia="Times New Roman" w:hAnsi="Times New Roman" w:cs="Times New Roman"/>
          <w:color w:val="000000"/>
          <w:kern w:val="0"/>
          <w14:ligatures w14:val="none"/>
        </w:rPr>
      </w:pPr>
      <w:r w:rsidRPr="00026A03">
        <w:rPr>
          <w:rFonts w:ascii="Times New Roman" w:eastAsia="Times New Roman" w:hAnsi="Times New Roman" w:cs="Times New Roman"/>
          <w:color w:val="000000"/>
          <w:kern w:val="0"/>
          <w:shd w:val="clear" w:color="auto" w:fill="FFFFFF"/>
          <w14:ligatures w14:val="none"/>
        </w:rPr>
        <w:t>sensitivity =  1.0</w:t>
      </w:r>
    </w:p>
    <w:p w14:paraId="0B10F279" w14:textId="77777777" w:rsidR="00026A03" w:rsidRPr="00026A03" w:rsidRDefault="00026A03" w:rsidP="00102A38">
      <w:pPr>
        <w:spacing w:after="0" w:line="276" w:lineRule="auto"/>
        <w:rPr>
          <w:rFonts w:ascii="Times New Roman" w:eastAsia="Times New Roman" w:hAnsi="Times New Roman" w:cs="Times New Roman"/>
          <w:color w:val="000000"/>
          <w:kern w:val="0"/>
          <w14:ligatures w14:val="none"/>
        </w:rPr>
      </w:pPr>
    </w:p>
    <w:p w14:paraId="2432BC4A" w14:textId="77777777" w:rsidR="00026A03" w:rsidRPr="00026A03" w:rsidRDefault="00026A03" w:rsidP="00102A38">
      <w:pPr>
        <w:spacing w:after="0" w:line="276" w:lineRule="auto"/>
        <w:rPr>
          <w:rFonts w:ascii="Times New Roman" w:eastAsia="Times New Roman" w:hAnsi="Times New Roman" w:cs="Times New Roman"/>
          <w:color w:val="000000"/>
          <w:kern w:val="0"/>
          <w14:ligatures w14:val="none"/>
        </w:rPr>
      </w:pPr>
      <w:r w:rsidRPr="00026A03">
        <w:rPr>
          <w:rFonts w:ascii="Times New Roman" w:eastAsia="Times New Roman" w:hAnsi="Times New Roman" w:cs="Times New Roman"/>
          <w:color w:val="000000"/>
          <w:kern w:val="0"/>
          <w:shd w:val="clear" w:color="auto" w:fill="FFFFFF"/>
          <w14:ligatures w14:val="none"/>
        </w:rPr>
        <w:t>Creatinine    0.444408</w:t>
      </w:r>
    </w:p>
    <w:p w14:paraId="496E1C6D" w14:textId="77777777" w:rsidR="00026A03" w:rsidRPr="00026A03" w:rsidRDefault="00026A03" w:rsidP="00102A38">
      <w:pPr>
        <w:spacing w:after="0" w:line="276" w:lineRule="auto"/>
        <w:rPr>
          <w:rFonts w:ascii="Times New Roman" w:eastAsia="Times New Roman" w:hAnsi="Times New Roman" w:cs="Times New Roman"/>
          <w:color w:val="000000"/>
          <w:kern w:val="0"/>
          <w14:ligatures w14:val="none"/>
        </w:rPr>
      </w:pPr>
      <w:r w:rsidRPr="00026A03">
        <w:rPr>
          <w:rFonts w:ascii="Times New Roman" w:eastAsia="Times New Roman" w:hAnsi="Times New Roman" w:cs="Times New Roman"/>
          <w:color w:val="000000"/>
          <w:kern w:val="0"/>
          <w:shd w:val="clear" w:color="auto" w:fill="FFFFFF"/>
          <w14:ligatures w14:val="none"/>
        </w:rPr>
        <w:t>eGFR          0.348655</w:t>
      </w:r>
    </w:p>
    <w:p w14:paraId="20456E9F" w14:textId="77777777" w:rsidR="00026A03" w:rsidRPr="00026A03" w:rsidRDefault="00026A03" w:rsidP="00102A38">
      <w:pPr>
        <w:spacing w:after="0" w:line="276" w:lineRule="auto"/>
        <w:rPr>
          <w:rFonts w:ascii="Times New Roman" w:eastAsia="Times New Roman" w:hAnsi="Times New Roman" w:cs="Times New Roman"/>
          <w:color w:val="000000"/>
          <w:kern w:val="0"/>
          <w14:ligatures w14:val="none"/>
        </w:rPr>
      </w:pPr>
      <w:r w:rsidRPr="00026A03">
        <w:rPr>
          <w:rFonts w:ascii="Times New Roman" w:eastAsia="Times New Roman" w:hAnsi="Times New Roman" w:cs="Times New Roman"/>
          <w:color w:val="000000"/>
          <w:kern w:val="0"/>
          <w:shd w:val="clear" w:color="auto" w:fill="FFFFFF"/>
          <w14:ligatures w14:val="none"/>
        </w:rPr>
        <w:t>Urea          0.201992</w:t>
      </w:r>
    </w:p>
    <w:p w14:paraId="22B18841" w14:textId="77777777" w:rsidR="00026A03" w:rsidRPr="00026A03" w:rsidRDefault="00026A03" w:rsidP="00102A38">
      <w:pPr>
        <w:spacing w:after="0" w:line="276" w:lineRule="auto"/>
        <w:rPr>
          <w:rFonts w:ascii="Times New Roman" w:eastAsia="Times New Roman" w:hAnsi="Times New Roman" w:cs="Times New Roman"/>
          <w:color w:val="000000"/>
          <w:kern w:val="0"/>
          <w14:ligatures w14:val="none"/>
        </w:rPr>
      </w:pPr>
      <w:r w:rsidRPr="00026A03">
        <w:rPr>
          <w:rFonts w:ascii="Times New Roman" w:eastAsia="Times New Roman" w:hAnsi="Times New Roman" w:cs="Times New Roman"/>
          <w:color w:val="000000"/>
          <w:kern w:val="0"/>
          <w:shd w:val="clear" w:color="auto" w:fill="FFFFFF"/>
          <w14:ligatures w14:val="none"/>
        </w:rPr>
        <w:t>Age           0.003044</w:t>
      </w:r>
    </w:p>
    <w:p w14:paraId="4268760C" w14:textId="5DFC055C" w:rsidR="0043230F" w:rsidRPr="00A07271" w:rsidRDefault="00026A03" w:rsidP="00102A38">
      <w:pPr>
        <w:spacing w:after="0" w:line="276" w:lineRule="auto"/>
        <w:rPr>
          <w:rFonts w:ascii="Times New Roman" w:eastAsia="Times New Roman" w:hAnsi="Times New Roman" w:cs="Times New Roman"/>
          <w:color w:val="000000"/>
          <w:kern w:val="0"/>
          <w14:ligatures w14:val="none"/>
        </w:rPr>
      </w:pPr>
      <w:r w:rsidRPr="00026A03">
        <w:rPr>
          <w:rFonts w:ascii="Times New Roman" w:eastAsia="Times New Roman" w:hAnsi="Times New Roman" w:cs="Times New Roman"/>
          <w:color w:val="000000"/>
          <w:kern w:val="0"/>
          <w:shd w:val="clear" w:color="auto" w:fill="FFFFFF"/>
          <w14:ligatures w14:val="none"/>
        </w:rPr>
        <w:t>BMI           0.001901</w:t>
      </w:r>
    </w:p>
    <w:p w14:paraId="7DEE7B5A" w14:textId="77777777" w:rsidR="00026A03" w:rsidRPr="00A07271" w:rsidRDefault="00026A03" w:rsidP="00102A38">
      <w:pPr>
        <w:spacing w:after="0" w:line="276" w:lineRule="auto"/>
        <w:rPr>
          <w:rFonts w:ascii="Times New Roman" w:eastAsia="Times New Roman" w:hAnsi="Times New Roman" w:cs="Times New Roman"/>
          <w:color w:val="000000"/>
          <w:kern w:val="0"/>
          <w14:ligatures w14:val="none"/>
        </w:rPr>
      </w:pPr>
    </w:p>
    <w:p w14:paraId="4828749A" w14:textId="29B7207D" w:rsidR="00BA159A" w:rsidRPr="00A07271" w:rsidRDefault="000911EE" w:rsidP="00102A38">
      <w:pPr>
        <w:spacing w:after="0" w:line="276" w:lineRule="auto"/>
        <w:rPr>
          <w:rFonts w:ascii="Times New Roman" w:eastAsia="Times New Roman" w:hAnsi="Times New Roman" w:cs="Times New Roman"/>
          <w:color w:val="000000"/>
          <w:kern w:val="0"/>
          <w14:ligatures w14:val="none"/>
        </w:rPr>
      </w:pPr>
      <w:r w:rsidRPr="00A07271">
        <w:rPr>
          <w:rFonts w:ascii="Times New Roman" w:eastAsia="Times New Roman" w:hAnsi="Times New Roman" w:cs="Times New Roman"/>
          <w:b/>
          <w:bCs/>
          <w:color w:val="000000"/>
          <w:kern w:val="0"/>
          <w14:ligatures w14:val="none"/>
        </w:rPr>
        <w:t>Figure 1</w:t>
      </w:r>
      <w:r w:rsidR="00F26D15" w:rsidRPr="00A07271">
        <w:rPr>
          <w:rFonts w:ascii="Times New Roman" w:eastAsia="Times New Roman" w:hAnsi="Times New Roman" w:cs="Times New Roman"/>
          <w:b/>
          <w:bCs/>
          <w:color w:val="000000"/>
          <w:kern w:val="0"/>
          <w14:ligatures w14:val="none"/>
        </w:rPr>
        <w:t>e</w:t>
      </w:r>
      <w:r w:rsidRPr="00A07271">
        <w:rPr>
          <w:rFonts w:ascii="Times New Roman" w:eastAsia="Times New Roman" w:hAnsi="Times New Roman" w:cs="Times New Roman"/>
          <w:b/>
          <w:bCs/>
          <w:color w:val="000000"/>
          <w:kern w:val="0"/>
          <w14:ligatures w14:val="none"/>
        </w:rPr>
        <w:t xml:space="preserve">. </w:t>
      </w:r>
      <w:r w:rsidR="00026A03" w:rsidRPr="00A07271">
        <w:rPr>
          <w:rFonts w:ascii="Times New Roman" w:eastAsia="Times New Roman" w:hAnsi="Times New Roman" w:cs="Times New Roman"/>
          <w:b/>
          <w:bCs/>
          <w:color w:val="000000"/>
          <w:kern w:val="0"/>
          <w14:ligatures w14:val="none"/>
        </w:rPr>
        <w:t xml:space="preserve"> </w:t>
      </w:r>
      <w:r w:rsidR="008B3ABA" w:rsidRPr="00A07271">
        <w:rPr>
          <w:rFonts w:ascii="Times New Roman" w:eastAsia="Times New Roman" w:hAnsi="Times New Roman" w:cs="Times New Roman"/>
          <w:color w:val="000000"/>
          <w:kern w:val="0"/>
          <w14:ligatures w14:val="none"/>
        </w:rPr>
        <w:t>ROC curve and model performance metrics for classification of ESRD versus control samples.</w:t>
      </w:r>
    </w:p>
    <w:p w14:paraId="31341E38" w14:textId="77777777" w:rsidR="00CD5117" w:rsidRPr="00A07271" w:rsidRDefault="00CD5117" w:rsidP="00102A38">
      <w:pPr>
        <w:spacing w:after="0" w:line="276" w:lineRule="auto"/>
        <w:jc w:val="center"/>
        <w:rPr>
          <w:rFonts w:ascii="Times New Roman" w:eastAsia="Times New Roman" w:hAnsi="Times New Roman" w:cs="Times New Roman"/>
          <w:color w:val="000000"/>
          <w:kern w:val="0"/>
          <w14:ligatures w14:val="none"/>
        </w:rPr>
      </w:pPr>
    </w:p>
    <w:p w14:paraId="5391F423" w14:textId="1D16CE36" w:rsidR="00F502F7" w:rsidRPr="00F502F7" w:rsidRDefault="00765801" w:rsidP="00102A38">
      <w:pPr>
        <w:spacing w:after="0" w:line="276" w:lineRule="auto"/>
        <w:rPr>
          <w:rFonts w:ascii="Times New Roman" w:eastAsia="Times New Roman" w:hAnsi="Times New Roman" w:cs="Times New Roman"/>
          <w:color w:val="000000"/>
          <w:kern w:val="0"/>
          <w14:ligatures w14:val="none"/>
        </w:rPr>
      </w:pPr>
      <w:r w:rsidRPr="00A07271">
        <w:rPr>
          <w:rFonts w:ascii="Times New Roman" w:eastAsia="Times New Roman" w:hAnsi="Times New Roman" w:cs="Times New Roman"/>
          <w:b/>
          <w:bCs/>
          <w:color w:val="000000"/>
          <w:kern w:val="0"/>
          <w14:ligatures w14:val="none"/>
        </w:rPr>
        <w:t>3.1</w:t>
      </w:r>
      <w:r w:rsidRPr="00A07271">
        <w:rPr>
          <w:rFonts w:ascii="Times New Roman" w:eastAsia="Times New Roman" w:hAnsi="Times New Roman" w:cs="Times New Roman"/>
          <w:color w:val="000000"/>
          <w:kern w:val="0"/>
          <w14:ligatures w14:val="none"/>
        </w:rPr>
        <w:t xml:space="preserve"> Clinical data</w:t>
      </w:r>
    </w:p>
    <w:p w14:paraId="214FC64C" w14:textId="2E38BD39" w:rsidR="00F502F7" w:rsidRPr="00F502F7" w:rsidRDefault="00F502F7" w:rsidP="00102A38">
      <w:pPr>
        <w:spacing w:after="0" w:line="276" w:lineRule="auto"/>
        <w:rPr>
          <w:rFonts w:ascii="Times New Roman" w:eastAsia="Times New Roman" w:hAnsi="Times New Roman" w:cs="Times New Roman"/>
          <w:color w:val="000000"/>
          <w:kern w:val="0"/>
          <w14:ligatures w14:val="none"/>
        </w:rPr>
      </w:pPr>
      <w:r w:rsidRPr="00F502F7">
        <w:rPr>
          <w:rFonts w:ascii="Times New Roman" w:eastAsia="Times New Roman" w:hAnsi="Times New Roman" w:cs="Times New Roman"/>
          <w:color w:val="000000"/>
          <w:kern w:val="0"/>
          <w14:ligatures w14:val="none"/>
        </w:rPr>
        <w:t>Analysis of the full clinical dataset revealed a perfect separation between ESRD and control patients. The RF model shown in Figure 1</w:t>
      </w:r>
      <w:r w:rsidR="002D6C07" w:rsidRPr="00A07271">
        <w:rPr>
          <w:rFonts w:ascii="Times New Roman" w:eastAsia="Times New Roman" w:hAnsi="Times New Roman" w:cs="Times New Roman"/>
          <w:color w:val="000000"/>
          <w:kern w:val="0"/>
          <w14:ligatures w14:val="none"/>
        </w:rPr>
        <w:t>e</w:t>
      </w:r>
      <w:r w:rsidRPr="00F502F7">
        <w:rPr>
          <w:rFonts w:ascii="Times New Roman" w:eastAsia="Times New Roman" w:hAnsi="Times New Roman" w:cs="Times New Roman"/>
          <w:color w:val="000000"/>
          <w:kern w:val="0"/>
          <w14:ligatures w14:val="none"/>
        </w:rPr>
        <w:t xml:space="preserve"> achieved 100% classification accuracy, with eGFR overwhelmingly dominating the feature importance ranking. Specifically, eGFR accounted </w:t>
      </w:r>
      <w:r w:rsidR="002D6C07" w:rsidRPr="00A07271">
        <w:rPr>
          <w:rFonts w:ascii="Times New Roman" w:eastAsia="Times New Roman" w:hAnsi="Times New Roman" w:cs="Times New Roman"/>
          <w:color w:val="000000"/>
          <w:kern w:val="0"/>
          <w14:ligatures w14:val="none"/>
        </w:rPr>
        <w:t xml:space="preserve">for a large amount </w:t>
      </w:r>
      <w:r w:rsidRPr="00F502F7">
        <w:rPr>
          <w:rFonts w:ascii="Times New Roman" w:eastAsia="Times New Roman" w:hAnsi="Times New Roman" w:cs="Times New Roman"/>
          <w:color w:val="000000"/>
          <w:kern w:val="0"/>
          <w14:ligatures w14:val="none"/>
        </w:rPr>
        <w:t>of total model importance</w:t>
      </w:r>
      <w:r w:rsidR="002D6C07" w:rsidRPr="00A07271">
        <w:rPr>
          <w:rFonts w:ascii="Times New Roman" w:eastAsia="Times New Roman" w:hAnsi="Times New Roman" w:cs="Times New Roman"/>
          <w:color w:val="000000"/>
          <w:kern w:val="0"/>
          <w14:ligatures w14:val="none"/>
        </w:rPr>
        <w:t xml:space="preserve"> (see figure 1e)</w:t>
      </w:r>
      <w:r w:rsidRPr="00F502F7">
        <w:rPr>
          <w:rFonts w:ascii="Times New Roman" w:eastAsia="Times New Roman" w:hAnsi="Times New Roman" w:cs="Times New Roman"/>
          <w:color w:val="000000"/>
          <w:kern w:val="0"/>
          <w14:ligatures w14:val="none"/>
        </w:rPr>
        <w:t xml:space="preserve">, while markers such as </w:t>
      </w:r>
      <w:r w:rsidR="007A4B28" w:rsidRPr="00A07271">
        <w:rPr>
          <w:rFonts w:ascii="Times New Roman" w:eastAsia="Times New Roman" w:hAnsi="Times New Roman" w:cs="Times New Roman"/>
          <w:color w:val="000000"/>
          <w:kern w:val="0"/>
          <w14:ligatures w14:val="none"/>
        </w:rPr>
        <w:t>BMI</w:t>
      </w:r>
      <w:r w:rsidRPr="00F502F7">
        <w:rPr>
          <w:rFonts w:ascii="Times New Roman" w:eastAsia="Times New Roman" w:hAnsi="Times New Roman" w:cs="Times New Roman"/>
          <w:color w:val="000000"/>
          <w:kern w:val="0"/>
          <w14:ligatures w14:val="none"/>
        </w:rPr>
        <w:t xml:space="preserve"> and urea had only marginal influence. This result reflects eGFR’s established clinical reliability as the primary indicator of renal function and disease severity.</w:t>
      </w:r>
    </w:p>
    <w:p w14:paraId="0C771473" w14:textId="77777777" w:rsidR="00F502F7" w:rsidRPr="00F502F7" w:rsidRDefault="00F502F7" w:rsidP="00102A38">
      <w:pPr>
        <w:spacing w:after="0" w:line="276" w:lineRule="auto"/>
        <w:rPr>
          <w:rFonts w:ascii="Times New Roman" w:eastAsia="Times New Roman" w:hAnsi="Times New Roman" w:cs="Times New Roman"/>
          <w:color w:val="000000"/>
          <w:kern w:val="0"/>
          <w14:ligatures w14:val="none"/>
        </w:rPr>
      </w:pPr>
    </w:p>
    <w:p w14:paraId="4F583427" w14:textId="26983EE8" w:rsidR="00F502F7" w:rsidRPr="00F502F7" w:rsidRDefault="00F502F7" w:rsidP="00102A38">
      <w:pPr>
        <w:spacing w:after="0" w:line="276" w:lineRule="auto"/>
        <w:rPr>
          <w:rFonts w:ascii="Times New Roman" w:eastAsia="Times New Roman" w:hAnsi="Times New Roman" w:cs="Times New Roman"/>
          <w:color w:val="000000"/>
          <w:kern w:val="0"/>
          <w14:ligatures w14:val="none"/>
        </w:rPr>
      </w:pPr>
      <w:r w:rsidRPr="00F502F7">
        <w:rPr>
          <w:rFonts w:ascii="Times New Roman" w:eastAsia="Times New Roman" w:hAnsi="Times New Roman" w:cs="Times New Roman"/>
          <w:color w:val="000000"/>
          <w:kern w:val="0"/>
          <w14:ligatures w14:val="none"/>
        </w:rPr>
        <w:t xml:space="preserve">The PCA further supported this outcome. Projection of the clinical data into principal component space revealed a clear division along the first principal component (PC1) </w:t>
      </w:r>
      <w:r w:rsidRPr="00F502F7">
        <w:rPr>
          <w:rFonts w:ascii="Times New Roman" w:eastAsia="Times New Roman" w:hAnsi="Times New Roman" w:cs="Times New Roman"/>
          <w:color w:val="000000"/>
          <w:kern w:val="0"/>
          <w14:ligatures w14:val="none"/>
        </w:rPr>
        <w:lastRenderedPageBreak/>
        <w:t>(see Figure</w:t>
      </w:r>
      <w:r w:rsidR="00F55C62" w:rsidRPr="00A07271">
        <w:rPr>
          <w:rFonts w:ascii="Times New Roman" w:eastAsia="Times New Roman" w:hAnsi="Times New Roman" w:cs="Times New Roman"/>
          <w:color w:val="000000"/>
          <w:kern w:val="0"/>
          <w14:ligatures w14:val="none"/>
        </w:rPr>
        <w:t xml:space="preserve"> 1b</w:t>
      </w:r>
      <w:r w:rsidRPr="00F502F7">
        <w:rPr>
          <w:rFonts w:ascii="Times New Roman" w:eastAsia="Times New Roman" w:hAnsi="Times New Roman" w:cs="Times New Roman"/>
          <w:color w:val="000000"/>
          <w:kern w:val="0"/>
          <w14:ligatures w14:val="none"/>
        </w:rPr>
        <w:t>), which explained approximately 72% of total variance. ESRD samples were tightly clustered at low PC1 values, whereas control samples occupied higher PC1 regions, almost mirroring the decline in renal filtration capabilities in advanced kidney failure. The second and third components captured minimal additional variance, confirming what was believed to be true based off the RF model; the dataset’s variance stemmed almost entirely from eGFR rates.</w:t>
      </w:r>
    </w:p>
    <w:p w14:paraId="05D594BD" w14:textId="77777777" w:rsidR="00F502F7" w:rsidRPr="00F502F7" w:rsidRDefault="00F502F7" w:rsidP="00102A38">
      <w:pPr>
        <w:spacing w:after="0" w:line="276" w:lineRule="auto"/>
        <w:rPr>
          <w:rFonts w:ascii="Times New Roman" w:eastAsia="Times New Roman" w:hAnsi="Times New Roman" w:cs="Times New Roman"/>
          <w:color w:val="000000"/>
          <w:kern w:val="0"/>
          <w14:ligatures w14:val="none"/>
        </w:rPr>
      </w:pPr>
    </w:p>
    <w:p w14:paraId="4B696AF6" w14:textId="6155CF8F" w:rsidR="00190247" w:rsidRDefault="00F502F7" w:rsidP="00102A38">
      <w:pPr>
        <w:spacing w:after="0" w:line="276" w:lineRule="auto"/>
        <w:rPr>
          <w:rFonts w:ascii="Times New Roman" w:eastAsia="Times New Roman" w:hAnsi="Times New Roman" w:cs="Times New Roman"/>
          <w:color w:val="000000"/>
          <w:kern w:val="0"/>
          <w14:ligatures w14:val="none"/>
        </w:rPr>
      </w:pPr>
      <w:r w:rsidRPr="00F502F7">
        <w:rPr>
          <w:rFonts w:ascii="Times New Roman" w:eastAsia="Times New Roman" w:hAnsi="Times New Roman" w:cs="Times New Roman"/>
          <w:color w:val="000000"/>
          <w:kern w:val="0"/>
          <w14:ligatures w14:val="none"/>
        </w:rPr>
        <w:t>Visual inspection of the PCA biplot (see Figure</w:t>
      </w:r>
      <w:r w:rsidR="00CB3B50" w:rsidRPr="00A07271">
        <w:rPr>
          <w:rFonts w:ascii="Times New Roman" w:eastAsia="Times New Roman" w:hAnsi="Times New Roman" w:cs="Times New Roman"/>
          <w:color w:val="000000"/>
          <w:kern w:val="0"/>
          <w14:ligatures w14:val="none"/>
        </w:rPr>
        <w:t xml:space="preserve"> 1b</w:t>
      </w:r>
      <w:r w:rsidRPr="00F502F7">
        <w:rPr>
          <w:rFonts w:ascii="Times New Roman" w:eastAsia="Times New Roman" w:hAnsi="Times New Roman" w:cs="Times New Roman"/>
          <w:color w:val="000000"/>
          <w:kern w:val="0"/>
          <w14:ligatures w14:val="none"/>
        </w:rPr>
        <w:t xml:space="preserve">) showed that the eGFR vector was strongly aligned with the first principal component (PC1), confirming that it was the main factor separating ESRD and control samples. Other biochemical markers had minimal influence on the clustering pattern. The tight grouping of ESRD reflected the similarity of patients with advanced diseases, those who suffered from these diseases experienced similar levels of certain biomarkers, whereas, in control samples, results were more spread out. These results confirm that the analysis worked correctly and that the dataset was consistent, but they also reveal a key limitation, one that would lead to the further scope of my research. The model’s perfect 100% accuracy relied on eGFR, which is already a very well-known and often used primary diagnostic measure </w:t>
      </w:r>
      <w:r w:rsidR="00BA51FC" w:rsidRPr="00A07271">
        <w:rPr>
          <w:rFonts w:ascii="Times New Roman" w:eastAsia="Times New Roman" w:hAnsi="Times New Roman" w:cs="Times New Roman"/>
          <w:color w:val="000000"/>
          <w:kern w:val="0"/>
          <w14:ligatures w14:val="none"/>
        </w:rPr>
        <w:t>(</w:t>
      </w:r>
      <w:r w:rsidRPr="00F502F7">
        <w:rPr>
          <w:rFonts w:ascii="Times New Roman" w:eastAsia="Times New Roman" w:hAnsi="Times New Roman" w:cs="Times New Roman"/>
          <w:color w:val="000000"/>
          <w:kern w:val="0"/>
          <w14:ligatures w14:val="none"/>
        </w:rPr>
        <w:t>6</w:t>
      </w:r>
      <w:r w:rsidR="00BA51FC" w:rsidRPr="00A07271">
        <w:rPr>
          <w:rFonts w:ascii="Times New Roman" w:eastAsia="Times New Roman" w:hAnsi="Times New Roman" w:cs="Times New Roman"/>
          <w:color w:val="000000"/>
          <w:kern w:val="0"/>
          <w14:ligatures w14:val="none"/>
        </w:rPr>
        <w:t>)</w:t>
      </w:r>
      <w:r w:rsidRPr="00F502F7">
        <w:rPr>
          <w:rFonts w:ascii="Times New Roman" w:eastAsia="Times New Roman" w:hAnsi="Times New Roman" w:cs="Times New Roman"/>
          <w:color w:val="000000"/>
          <w:kern w:val="0"/>
          <w14:ligatures w14:val="none"/>
        </w:rPr>
        <w:t>. Therefore, including eGFR proves that the method is valid, but it does not help identify new or early-stage biomarkers for predicting ESRD.</w:t>
      </w:r>
    </w:p>
    <w:p w14:paraId="4891588F" w14:textId="77777777" w:rsidR="00102A38" w:rsidRPr="00A07271" w:rsidRDefault="00102A38" w:rsidP="00102A38">
      <w:pPr>
        <w:spacing w:after="0" w:line="276" w:lineRule="auto"/>
        <w:rPr>
          <w:rFonts w:ascii="Times New Roman" w:eastAsia="Times New Roman" w:hAnsi="Times New Roman" w:cs="Times New Roman"/>
          <w:color w:val="000000"/>
          <w:kern w:val="0"/>
          <w14:ligatures w14:val="none"/>
        </w:rPr>
      </w:pPr>
    </w:p>
    <w:p w14:paraId="7ADBE8DD" w14:textId="1411AA2D" w:rsidR="00190247" w:rsidRPr="00A07271" w:rsidRDefault="004C480F" w:rsidP="00102A38">
      <w:pPr>
        <w:spacing w:after="0" w:line="276" w:lineRule="auto"/>
        <w:jc w:val="center"/>
        <w:rPr>
          <w:rFonts w:ascii="Times New Roman" w:eastAsia="Times New Roman" w:hAnsi="Times New Roman" w:cs="Times New Roman"/>
          <w:color w:val="000000"/>
          <w:kern w:val="0"/>
          <w14:ligatures w14:val="none"/>
        </w:rPr>
      </w:pPr>
      <w:r w:rsidRPr="00A07271">
        <w:rPr>
          <w:rFonts w:ascii="Times New Roman" w:hAnsi="Times New Roman" w:cs="Times New Roman"/>
          <w:noProof/>
          <w:color w:val="000000"/>
        </w:rPr>
        <w:drawing>
          <wp:inline distT="0" distB="0" distL="0" distR="0" wp14:anchorId="6963058D" wp14:editId="0CF541F4">
            <wp:extent cx="2533650" cy="2540092"/>
            <wp:effectExtent l="0" t="0" r="0" b="5080"/>
            <wp:docPr id="183934089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33650" cy="2540092"/>
                    </a:xfrm>
                    <a:prstGeom prst="rect">
                      <a:avLst/>
                    </a:prstGeom>
                    <a:noFill/>
                    <a:ln>
                      <a:noFill/>
                    </a:ln>
                  </pic:spPr>
                </pic:pic>
              </a:graphicData>
            </a:graphic>
          </wp:inline>
        </w:drawing>
      </w:r>
    </w:p>
    <w:p w14:paraId="5FA09E8E" w14:textId="75026836" w:rsidR="004C480F" w:rsidRPr="00A07271" w:rsidRDefault="004C480F" w:rsidP="00102A38">
      <w:pPr>
        <w:spacing w:after="0" w:line="276" w:lineRule="auto"/>
        <w:rPr>
          <w:rFonts w:ascii="Times New Roman" w:eastAsia="Times New Roman" w:hAnsi="Times New Roman" w:cs="Times New Roman"/>
          <w:color w:val="000000"/>
          <w:kern w:val="0"/>
          <w14:ligatures w14:val="none"/>
        </w:rPr>
      </w:pPr>
      <w:r w:rsidRPr="00A07271">
        <w:rPr>
          <w:rFonts w:ascii="Times New Roman" w:eastAsia="Times New Roman" w:hAnsi="Times New Roman" w:cs="Times New Roman"/>
          <w:b/>
          <w:bCs/>
          <w:color w:val="000000"/>
          <w:kern w:val="0"/>
          <w14:ligatures w14:val="none"/>
        </w:rPr>
        <w:t xml:space="preserve">Figure 2a. </w:t>
      </w:r>
      <w:r w:rsidR="00216066" w:rsidRPr="00A07271">
        <w:rPr>
          <w:rFonts w:ascii="Times New Roman" w:eastAsia="Times New Roman" w:hAnsi="Times New Roman" w:cs="Times New Roman"/>
          <w:color w:val="000000"/>
          <w:kern w:val="0"/>
          <w14:ligatures w14:val="none"/>
        </w:rPr>
        <w:t>3D PCA score plot of metabolic data showing separation between ESRD and control samples</w:t>
      </w:r>
      <w:r w:rsidR="00B9192A" w:rsidRPr="00A07271">
        <w:rPr>
          <w:rFonts w:ascii="Times New Roman" w:eastAsia="Times New Roman" w:hAnsi="Times New Roman" w:cs="Times New Roman"/>
          <w:color w:val="000000"/>
          <w:kern w:val="0"/>
          <w14:ligatures w14:val="none"/>
        </w:rPr>
        <w:t>.</w:t>
      </w:r>
    </w:p>
    <w:p w14:paraId="52C84799" w14:textId="77777777" w:rsidR="00216066" w:rsidRPr="00A07271" w:rsidRDefault="00216066" w:rsidP="00102A38">
      <w:pPr>
        <w:spacing w:after="0" w:line="276" w:lineRule="auto"/>
        <w:rPr>
          <w:rFonts w:ascii="Times New Roman" w:eastAsia="Times New Roman" w:hAnsi="Times New Roman" w:cs="Times New Roman"/>
          <w:color w:val="000000"/>
          <w:kern w:val="0"/>
          <w14:ligatures w14:val="none"/>
        </w:rPr>
      </w:pPr>
    </w:p>
    <w:p w14:paraId="1A54164A" w14:textId="2ECFA39F" w:rsidR="00216066" w:rsidRPr="00A07271" w:rsidRDefault="00E6404E" w:rsidP="00102A38">
      <w:pPr>
        <w:spacing w:after="0" w:line="276" w:lineRule="auto"/>
        <w:jc w:val="center"/>
        <w:rPr>
          <w:rFonts w:ascii="Times New Roman" w:eastAsia="Times New Roman" w:hAnsi="Times New Roman" w:cs="Times New Roman"/>
          <w:color w:val="000000"/>
          <w:kern w:val="0"/>
          <w14:ligatures w14:val="none"/>
        </w:rPr>
      </w:pPr>
      <w:r w:rsidRPr="00A07271">
        <w:rPr>
          <w:rFonts w:ascii="Times New Roman" w:hAnsi="Times New Roman" w:cs="Times New Roman"/>
          <w:noProof/>
          <w:color w:val="000000"/>
        </w:rPr>
        <w:drawing>
          <wp:inline distT="0" distB="0" distL="0" distR="0" wp14:anchorId="3AD98ABB" wp14:editId="7170BEDC">
            <wp:extent cx="2747010" cy="1935480"/>
            <wp:effectExtent l="0" t="0" r="0" b="0"/>
            <wp:docPr id="35950540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47010" cy="1935480"/>
                    </a:xfrm>
                    <a:prstGeom prst="rect">
                      <a:avLst/>
                    </a:prstGeom>
                    <a:noFill/>
                    <a:ln>
                      <a:noFill/>
                    </a:ln>
                  </pic:spPr>
                </pic:pic>
              </a:graphicData>
            </a:graphic>
          </wp:inline>
        </w:drawing>
      </w:r>
    </w:p>
    <w:p w14:paraId="1D0DD8B1" w14:textId="46A64DC5" w:rsidR="00E6404E" w:rsidRPr="00A07271" w:rsidRDefault="00E6404E" w:rsidP="00102A38">
      <w:pPr>
        <w:spacing w:after="0" w:line="276" w:lineRule="auto"/>
        <w:rPr>
          <w:rFonts w:ascii="Times New Roman" w:eastAsia="Times New Roman" w:hAnsi="Times New Roman" w:cs="Times New Roman"/>
          <w:color w:val="000000"/>
          <w:kern w:val="0"/>
          <w14:ligatures w14:val="none"/>
        </w:rPr>
      </w:pPr>
      <w:r w:rsidRPr="00A07271">
        <w:rPr>
          <w:rFonts w:ascii="Times New Roman" w:eastAsia="Times New Roman" w:hAnsi="Times New Roman" w:cs="Times New Roman"/>
          <w:b/>
          <w:bCs/>
          <w:color w:val="000000"/>
          <w:kern w:val="0"/>
          <w14:ligatures w14:val="none"/>
        </w:rPr>
        <w:t xml:space="preserve">Figure 2b. </w:t>
      </w:r>
      <w:r w:rsidRPr="00A07271">
        <w:rPr>
          <w:rFonts w:ascii="Times New Roman" w:eastAsia="Times New Roman" w:hAnsi="Times New Roman" w:cs="Times New Roman"/>
          <w:color w:val="000000"/>
          <w:kern w:val="0"/>
          <w14:ligatures w14:val="none"/>
        </w:rPr>
        <w:t xml:space="preserve">PCA biplot showing sample distribution and metabolite loadings across </w:t>
      </w:r>
      <w:r w:rsidR="00B9192A" w:rsidRPr="00A07271">
        <w:rPr>
          <w:rFonts w:ascii="Times New Roman" w:eastAsia="Times New Roman" w:hAnsi="Times New Roman" w:cs="Times New Roman"/>
          <w:color w:val="000000"/>
          <w:kern w:val="0"/>
          <w14:ligatures w14:val="none"/>
        </w:rPr>
        <w:t>PC1 and PC2.</w:t>
      </w:r>
    </w:p>
    <w:p w14:paraId="4AF1B2A3" w14:textId="77777777" w:rsidR="00B9192A" w:rsidRPr="00A07271" w:rsidRDefault="00B9192A" w:rsidP="00102A38">
      <w:pPr>
        <w:spacing w:after="0" w:line="276" w:lineRule="auto"/>
        <w:rPr>
          <w:rFonts w:ascii="Times New Roman" w:eastAsia="Times New Roman" w:hAnsi="Times New Roman" w:cs="Times New Roman"/>
          <w:color w:val="000000"/>
          <w:kern w:val="0"/>
          <w14:ligatures w14:val="none"/>
        </w:rPr>
      </w:pPr>
    </w:p>
    <w:p w14:paraId="1996F220" w14:textId="7964E548" w:rsidR="00B9192A" w:rsidRPr="00A07271" w:rsidRDefault="00D054F7" w:rsidP="00102A38">
      <w:pPr>
        <w:spacing w:after="0" w:line="276" w:lineRule="auto"/>
        <w:jc w:val="center"/>
        <w:rPr>
          <w:rFonts w:ascii="Times New Roman" w:eastAsia="Times New Roman" w:hAnsi="Times New Roman" w:cs="Times New Roman"/>
          <w:color w:val="000000"/>
          <w:kern w:val="0"/>
          <w14:ligatures w14:val="none"/>
        </w:rPr>
      </w:pPr>
      <w:r w:rsidRPr="00A07271">
        <w:rPr>
          <w:rFonts w:ascii="Times New Roman" w:hAnsi="Times New Roman" w:cs="Times New Roman"/>
          <w:noProof/>
          <w:color w:val="000000"/>
        </w:rPr>
        <w:drawing>
          <wp:inline distT="0" distB="0" distL="0" distR="0" wp14:anchorId="5FF1EEB0" wp14:editId="4B22DBD2">
            <wp:extent cx="2181225" cy="1606927"/>
            <wp:effectExtent l="0" t="0" r="3175" b="6350"/>
            <wp:docPr id="5359070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93962" cy="1616310"/>
                    </a:xfrm>
                    <a:prstGeom prst="rect">
                      <a:avLst/>
                    </a:prstGeom>
                    <a:noFill/>
                    <a:ln>
                      <a:noFill/>
                    </a:ln>
                  </pic:spPr>
                </pic:pic>
              </a:graphicData>
            </a:graphic>
          </wp:inline>
        </w:drawing>
      </w:r>
    </w:p>
    <w:p w14:paraId="7E43144C" w14:textId="68ACCA3C" w:rsidR="00D054F7" w:rsidRPr="00A07271" w:rsidRDefault="00D054F7" w:rsidP="00102A38">
      <w:pPr>
        <w:spacing w:after="0" w:line="276" w:lineRule="auto"/>
        <w:rPr>
          <w:rFonts w:ascii="Times New Roman" w:eastAsia="Times New Roman" w:hAnsi="Times New Roman" w:cs="Times New Roman"/>
          <w:color w:val="000000"/>
          <w:kern w:val="0"/>
          <w14:ligatures w14:val="none"/>
        </w:rPr>
      </w:pPr>
      <w:r w:rsidRPr="00A07271">
        <w:rPr>
          <w:rFonts w:ascii="Times New Roman" w:eastAsia="Times New Roman" w:hAnsi="Times New Roman" w:cs="Times New Roman"/>
          <w:b/>
          <w:bCs/>
          <w:color w:val="000000"/>
          <w:kern w:val="0"/>
          <w14:ligatures w14:val="none"/>
        </w:rPr>
        <w:t xml:space="preserve">Figure 2c. </w:t>
      </w:r>
      <w:r w:rsidRPr="00A07271">
        <w:rPr>
          <w:rFonts w:ascii="Times New Roman" w:eastAsia="Times New Roman" w:hAnsi="Times New Roman" w:cs="Times New Roman"/>
          <w:color w:val="000000"/>
          <w:kern w:val="0"/>
          <w14:ligatures w14:val="none"/>
        </w:rPr>
        <w:t>PCA loading plot showing the contributions of individual metabolites.</w:t>
      </w:r>
    </w:p>
    <w:p w14:paraId="13874C1E" w14:textId="77777777" w:rsidR="00D054F7" w:rsidRPr="00A07271" w:rsidRDefault="00D054F7" w:rsidP="00102A38">
      <w:pPr>
        <w:spacing w:after="0" w:line="276" w:lineRule="auto"/>
        <w:jc w:val="center"/>
        <w:rPr>
          <w:rFonts w:ascii="Times New Roman" w:eastAsia="Times New Roman" w:hAnsi="Times New Roman" w:cs="Times New Roman"/>
          <w:color w:val="000000"/>
          <w:kern w:val="0"/>
          <w14:ligatures w14:val="none"/>
        </w:rPr>
      </w:pPr>
    </w:p>
    <w:p w14:paraId="453A43A0" w14:textId="5FE61AFA" w:rsidR="00D054F7" w:rsidRPr="00A07271" w:rsidRDefault="00B10237" w:rsidP="00102A38">
      <w:pPr>
        <w:spacing w:after="0" w:line="276" w:lineRule="auto"/>
        <w:jc w:val="center"/>
        <w:rPr>
          <w:rFonts w:ascii="Times New Roman" w:eastAsia="Times New Roman" w:hAnsi="Times New Roman" w:cs="Times New Roman"/>
          <w:color w:val="000000"/>
          <w:kern w:val="0"/>
          <w14:ligatures w14:val="none"/>
        </w:rPr>
      </w:pPr>
      <w:r w:rsidRPr="00A07271">
        <w:rPr>
          <w:rFonts w:ascii="Times New Roman" w:hAnsi="Times New Roman" w:cs="Times New Roman"/>
          <w:noProof/>
          <w:color w:val="000000"/>
        </w:rPr>
        <w:drawing>
          <wp:inline distT="0" distB="0" distL="0" distR="0" wp14:anchorId="396D502B" wp14:editId="5A27FD07">
            <wp:extent cx="2228850" cy="1341123"/>
            <wp:effectExtent l="0" t="0" r="0" b="5080"/>
            <wp:docPr id="2113143710" name="Picture 16"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143710" name="Picture 16" descr="A graph with blue lines&#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239328" cy="1347428"/>
                    </a:xfrm>
                    <a:prstGeom prst="rect">
                      <a:avLst/>
                    </a:prstGeom>
                    <a:noFill/>
                    <a:ln>
                      <a:noFill/>
                    </a:ln>
                  </pic:spPr>
                </pic:pic>
              </a:graphicData>
            </a:graphic>
          </wp:inline>
        </w:drawing>
      </w:r>
    </w:p>
    <w:p w14:paraId="75258CCE" w14:textId="0EEB9A8E" w:rsidR="00591A19" w:rsidRDefault="00B10237" w:rsidP="00102A38">
      <w:pPr>
        <w:spacing w:after="0" w:line="276" w:lineRule="auto"/>
        <w:rPr>
          <w:rFonts w:ascii="Times New Roman" w:eastAsia="Times New Roman" w:hAnsi="Times New Roman" w:cs="Times New Roman"/>
          <w:color w:val="000000"/>
          <w:kern w:val="0"/>
          <w14:ligatures w14:val="none"/>
        </w:rPr>
      </w:pPr>
      <w:r w:rsidRPr="00A07271">
        <w:rPr>
          <w:rFonts w:ascii="Times New Roman" w:eastAsia="Times New Roman" w:hAnsi="Times New Roman" w:cs="Times New Roman"/>
          <w:b/>
          <w:bCs/>
          <w:color w:val="000000"/>
          <w:kern w:val="0"/>
          <w14:ligatures w14:val="none"/>
        </w:rPr>
        <w:t>Figure 2d.</w:t>
      </w:r>
      <w:r w:rsidRPr="00A07271">
        <w:rPr>
          <w:rFonts w:ascii="Times New Roman" w:eastAsia="Times New Roman" w:hAnsi="Times New Roman" w:cs="Times New Roman"/>
          <w:color w:val="000000"/>
          <w:kern w:val="0"/>
          <w14:ligatures w14:val="none"/>
        </w:rPr>
        <w:t xml:space="preserve"> </w:t>
      </w:r>
      <w:r w:rsidR="00591A19" w:rsidRPr="00A07271">
        <w:rPr>
          <w:rFonts w:ascii="Times New Roman" w:eastAsia="Times New Roman" w:hAnsi="Times New Roman" w:cs="Times New Roman"/>
          <w:color w:val="000000"/>
          <w:kern w:val="0"/>
          <w14:ligatures w14:val="none"/>
        </w:rPr>
        <w:t>Scree plot showing explained variance across all principal components in the metabolomic dataset.</w:t>
      </w:r>
    </w:p>
    <w:p w14:paraId="10AD6119" w14:textId="77777777" w:rsidR="00102A38" w:rsidRPr="00A07271" w:rsidRDefault="00102A38" w:rsidP="00102A38">
      <w:pPr>
        <w:spacing w:after="0" w:line="276" w:lineRule="auto"/>
        <w:rPr>
          <w:rFonts w:ascii="Times New Roman" w:eastAsia="Times New Roman" w:hAnsi="Times New Roman" w:cs="Times New Roman"/>
          <w:color w:val="000000"/>
          <w:kern w:val="0"/>
          <w14:ligatures w14:val="none"/>
        </w:rPr>
      </w:pPr>
    </w:p>
    <w:p w14:paraId="20490A56" w14:textId="3F71CF95" w:rsidR="00591A19" w:rsidRPr="00A07271" w:rsidRDefault="00FD48C6" w:rsidP="00102A38">
      <w:pPr>
        <w:spacing w:after="0" w:line="276" w:lineRule="auto"/>
        <w:jc w:val="center"/>
        <w:rPr>
          <w:rFonts w:ascii="Times New Roman" w:eastAsia="Times New Roman" w:hAnsi="Times New Roman" w:cs="Times New Roman"/>
          <w:color w:val="000000"/>
          <w:kern w:val="0"/>
          <w14:ligatures w14:val="none"/>
        </w:rPr>
      </w:pPr>
      <w:r w:rsidRPr="00A07271">
        <w:rPr>
          <w:rFonts w:ascii="Times New Roman" w:hAnsi="Times New Roman" w:cs="Times New Roman"/>
          <w:noProof/>
          <w:color w:val="000000"/>
        </w:rPr>
        <w:drawing>
          <wp:inline distT="0" distB="0" distL="0" distR="0" wp14:anchorId="215826D9" wp14:editId="2DBD6003">
            <wp:extent cx="2146040" cy="1729333"/>
            <wp:effectExtent l="0" t="0" r="635" b="0"/>
            <wp:docPr id="864944770" name="Picture 17"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944770" name="Picture 17" descr="A graph of a curve&#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32013" cy="1798612"/>
                    </a:xfrm>
                    <a:prstGeom prst="rect">
                      <a:avLst/>
                    </a:prstGeom>
                    <a:noFill/>
                    <a:ln>
                      <a:noFill/>
                    </a:ln>
                  </pic:spPr>
                </pic:pic>
              </a:graphicData>
            </a:graphic>
          </wp:inline>
        </w:drawing>
      </w:r>
    </w:p>
    <w:p w14:paraId="506F576F" w14:textId="77777777" w:rsidR="00FD48C6" w:rsidRPr="00FD48C6" w:rsidRDefault="00FD48C6" w:rsidP="00102A38">
      <w:pPr>
        <w:spacing w:after="0" w:line="276" w:lineRule="auto"/>
        <w:rPr>
          <w:rFonts w:ascii="Times New Roman" w:eastAsia="Times New Roman" w:hAnsi="Times New Roman" w:cs="Times New Roman"/>
          <w:color w:val="000000"/>
          <w:kern w:val="0"/>
          <w14:ligatures w14:val="none"/>
        </w:rPr>
      </w:pPr>
      <w:r w:rsidRPr="00FD48C6">
        <w:rPr>
          <w:rFonts w:ascii="Times New Roman" w:eastAsia="Times New Roman" w:hAnsi="Times New Roman" w:cs="Times New Roman"/>
          <w:color w:val="000000"/>
          <w:kern w:val="0"/>
          <w:shd w:val="clear" w:color="auto" w:fill="FFFFFF"/>
          <w14:ligatures w14:val="none"/>
        </w:rPr>
        <w:t>accuracy =  1.0</w:t>
      </w:r>
    </w:p>
    <w:p w14:paraId="5A7A2A92" w14:textId="77777777" w:rsidR="00FD48C6" w:rsidRPr="00FD48C6" w:rsidRDefault="00FD48C6" w:rsidP="00102A38">
      <w:pPr>
        <w:spacing w:after="0" w:line="276" w:lineRule="auto"/>
        <w:rPr>
          <w:rFonts w:ascii="Times New Roman" w:eastAsia="Times New Roman" w:hAnsi="Times New Roman" w:cs="Times New Roman"/>
          <w:color w:val="000000"/>
          <w:kern w:val="0"/>
          <w14:ligatures w14:val="none"/>
        </w:rPr>
      </w:pPr>
      <w:r w:rsidRPr="00FD48C6">
        <w:rPr>
          <w:rFonts w:ascii="Times New Roman" w:eastAsia="Times New Roman" w:hAnsi="Times New Roman" w:cs="Times New Roman"/>
          <w:color w:val="000000"/>
          <w:kern w:val="0"/>
          <w:shd w:val="clear" w:color="auto" w:fill="FFFFFF"/>
          <w14:ligatures w14:val="none"/>
        </w:rPr>
        <w:t>specificity =  1.0</w:t>
      </w:r>
    </w:p>
    <w:p w14:paraId="1BBFF670" w14:textId="77777777" w:rsidR="00FD48C6" w:rsidRPr="00A07271" w:rsidRDefault="00FD48C6" w:rsidP="00102A38">
      <w:pPr>
        <w:spacing w:after="0" w:line="276" w:lineRule="auto"/>
        <w:rPr>
          <w:rFonts w:ascii="Times New Roman" w:eastAsia="Times New Roman" w:hAnsi="Times New Roman" w:cs="Times New Roman"/>
          <w:color w:val="000000"/>
          <w:kern w:val="0"/>
          <w:shd w:val="clear" w:color="auto" w:fill="FFFFFF"/>
          <w14:ligatures w14:val="none"/>
        </w:rPr>
      </w:pPr>
      <w:r w:rsidRPr="00FD48C6">
        <w:rPr>
          <w:rFonts w:ascii="Times New Roman" w:eastAsia="Times New Roman" w:hAnsi="Times New Roman" w:cs="Times New Roman"/>
          <w:color w:val="000000"/>
          <w:kern w:val="0"/>
          <w:shd w:val="clear" w:color="auto" w:fill="FFFFFF"/>
          <w14:ligatures w14:val="none"/>
        </w:rPr>
        <w:t>sensitivity =  1.0</w:t>
      </w:r>
    </w:p>
    <w:p w14:paraId="2C695D82" w14:textId="77777777" w:rsidR="000E5230" w:rsidRPr="00A07271" w:rsidRDefault="000E5230" w:rsidP="00102A38">
      <w:pPr>
        <w:spacing w:after="0" w:line="276" w:lineRule="auto"/>
        <w:rPr>
          <w:rFonts w:ascii="Times New Roman" w:eastAsia="Times New Roman" w:hAnsi="Times New Roman" w:cs="Times New Roman"/>
          <w:color w:val="000000"/>
          <w:kern w:val="0"/>
          <w:shd w:val="clear" w:color="auto" w:fill="FFFFFF"/>
          <w14:ligatures w14:val="none"/>
        </w:rPr>
      </w:pPr>
    </w:p>
    <w:p w14:paraId="12A069BF" w14:textId="77777777" w:rsidR="000E5230" w:rsidRPr="000E5230" w:rsidRDefault="000E5230" w:rsidP="00102A38">
      <w:pPr>
        <w:spacing w:after="0" w:line="276" w:lineRule="auto"/>
        <w:rPr>
          <w:rFonts w:ascii="Times New Roman" w:eastAsia="Times New Roman" w:hAnsi="Times New Roman" w:cs="Times New Roman"/>
          <w:color w:val="000000"/>
          <w:kern w:val="0"/>
          <w14:ligatures w14:val="none"/>
        </w:rPr>
      </w:pPr>
      <w:r w:rsidRPr="000E5230">
        <w:rPr>
          <w:rFonts w:ascii="Times New Roman" w:eastAsia="Times New Roman" w:hAnsi="Times New Roman" w:cs="Times New Roman"/>
          <w:color w:val="000000"/>
          <w:kern w:val="0"/>
          <w:shd w:val="clear" w:color="auto" w:fill="FFFFFF"/>
          <w14:ligatures w14:val="none"/>
        </w:rPr>
        <w:t>Creatinine                0.281355</w:t>
      </w:r>
    </w:p>
    <w:p w14:paraId="2F0581E7" w14:textId="77777777" w:rsidR="000E5230" w:rsidRPr="000E5230" w:rsidRDefault="000E5230" w:rsidP="00102A38">
      <w:pPr>
        <w:spacing w:after="0" w:line="276" w:lineRule="auto"/>
        <w:rPr>
          <w:rFonts w:ascii="Times New Roman" w:eastAsia="Times New Roman" w:hAnsi="Times New Roman" w:cs="Times New Roman"/>
          <w:color w:val="000000"/>
          <w:kern w:val="0"/>
          <w14:ligatures w14:val="none"/>
        </w:rPr>
      </w:pPr>
      <w:r w:rsidRPr="000E5230">
        <w:rPr>
          <w:rFonts w:ascii="Times New Roman" w:eastAsia="Times New Roman" w:hAnsi="Times New Roman" w:cs="Times New Roman"/>
          <w:color w:val="000000"/>
          <w:kern w:val="0"/>
          <w:shd w:val="clear" w:color="auto" w:fill="FFFFFF"/>
          <w14:ligatures w14:val="none"/>
        </w:rPr>
        <w:t>Tryptophan                0.177866</w:t>
      </w:r>
    </w:p>
    <w:p w14:paraId="015559A2" w14:textId="77777777" w:rsidR="000E5230" w:rsidRPr="000E5230" w:rsidRDefault="000E5230" w:rsidP="00102A38">
      <w:pPr>
        <w:spacing w:after="0" w:line="276" w:lineRule="auto"/>
        <w:rPr>
          <w:rFonts w:ascii="Times New Roman" w:eastAsia="Times New Roman" w:hAnsi="Times New Roman" w:cs="Times New Roman"/>
          <w:color w:val="000000"/>
          <w:kern w:val="0"/>
          <w14:ligatures w14:val="none"/>
        </w:rPr>
      </w:pPr>
      <w:r w:rsidRPr="000E5230">
        <w:rPr>
          <w:rFonts w:ascii="Times New Roman" w:eastAsia="Times New Roman" w:hAnsi="Times New Roman" w:cs="Times New Roman"/>
          <w:color w:val="000000"/>
          <w:kern w:val="0"/>
          <w:shd w:val="clear" w:color="auto" w:fill="FFFFFF"/>
          <w14:ligatures w14:val="none"/>
        </w:rPr>
        <w:t>Phenylacetylglycine       0.149405</w:t>
      </w:r>
    </w:p>
    <w:p w14:paraId="425C3FBE" w14:textId="77777777" w:rsidR="000E5230" w:rsidRPr="000E5230" w:rsidRDefault="000E5230" w:rsidP="00102A38">
      <w:pPr>
        <w:spacing w:after="0" w:line="276" w:lineRule="auto"/>
        <w:rPr>
          <w:rFonts w:ascii="Times New Roman" w:eastAsia="Times New Roman" w:hAnsi="Times New Roman" w:cs="Times New Roman"/>
          <w:color w:val="000000"/>
          <w:kern w:val="0"/>
          <w14:ligatures w14:val="none"/>
        </w:rPr>
      </w:pPr>
      <w:r w:rsidRPr="000E5230">
        <w:rPr>
          <w:rFonts w:ascii="Times New Roman" w:eastAsia="Times New Roman" w:hAnsi="Times New Roman" w:cs="Times New Roman"/>
          <w:color w:val="000000"/>
          <w:kern w:val="0"/>
          <w:shd w:val="clear" w:color="auto" w:fill="FFFFFF"/>
          <w14:ligatures w14:val="none"/>
        </w:rPr>
        <w:t>P-cresyl glucuronide      0.104918</w:t>
      </w:r>
    </w:p>
    <w:p w14:paraId="68063616" w14:textId="77777777" w:rsidR="000E5230" w:rsidRPr="000E5230" w:rsidRDefault="000E5230" w:rsidP="00102A38">
      <w:pPr>
        <w:spacing w:after="0" w:line="276" w:lineRule="auto"/>
        <w:rPr>
          <w:rFonts w:ascii="Times New Roman" w:eastAsia="Times New Roman" w:hAnsi="Times New Roman" w:cs="Times New Roman"/>
          <w:color w:val="000000"/>
          <w:kern w:val="0"/>
          <w14:ligatures w14:val="none"/>
        </w:rPr>
      </w:pPr>
      <w:r w:rsidRPr="000E5230">
        <w:rPr>
          <w:rFonts w:ascii="Times New Roman" w:eastAsia="Times New Roman" w:hAnsi="Times New Roman" w:cs="Times New Roman"/>
          <w:color w:val="000000"/>
          <w:kern w:val="0"/>
          <w:shd w:val="clear" w:color="auto" w:fill="FFFFFF"/>
          <w14:ligatures w14:val="none"/>
        </w:rPr>
        <w:t>Phenyl sulfate            0.104796</w:t>
      </w:r>
    </w:p>
    <w:p w14:paraId="5155DC08" w14:textId="77777777" w:rsidR="000E5230" w:rsidRPr="000E5230" w:rsidRDefault="000E5230" w:rsidP="00102A38">
      <w:pPr>
        <w:spacing w:after="0" w:line="276" w:lineRule="auto"/>
        <w:rPr>
          <w:rFonts w:ascii="Times New Roman" w:eastAsia="Times New Roman" w:hAnsi="Times New Roman" w:cs="Times New Roman"/>
          <w:color w:val="000000"/>
          <w:kern w:val="0"/>
          <w14:ligatures w14:val="none"/>
        </w:rPr>
      </w:pPr>
      <w:r w:rsidRPr="000E5230">
        <w:rPr>
          <w:rFonts w:ascii="Times New Roman" w:eastAsia="Times New Roman" w:hAnsi="Times New Roman" w:cs="Times New Roman"/>
          <w:color w:val="000000"/>
          <w:kern w:val="0"/>
          <w:shd w:val="clear" w:color="auto" w:fill="FFFFFF"/>
          <w14:ligatures w14:val="none"/>
        </w:rPr>
        <w:t>Cinnamoylglycine          0.083617</w:t>
      </w:r>
    </w:p>
    <w:p w14:paraId="65E70A47" w14:textId="77777777" w:rsidR="000E5230" w:rsidRPr="000E5230" w:rsidRDefault="000E5230" w:rsidP="00102A38">
      <w:pPr>
        <w:spacing w:after="0" w:line="276" w:lineRule="auto"/>
        <w:rPr>
          <w:rFonts w:ascii="Times New Roman" w:eastAsia="Times New Roman" w:hAnsi="Times New Roman" w:cs="Times New Roman"/>
          <w:color w:val="000000"/>
          <w:kern w:val="0"/>
          <w14:ligatures w14:val="none"/>
        </w:rPr>
      </w:pPr>
      <w:r w:rsidRPr="000E5230">
        <w:rPr>
          <w:rFonts w:ascii="Times New Roman" w:eastAsia="Times New Roman" w:hAnsi="Times New Roman" w:cs="Times New Roman"/>
          <w:color w:val="000000"/>
          <w:kern w:val="0"/>
          <w:shd w:val="clear" w:color="auto" w:fill="FFFFFF"/>
          <w14:ligatures w14:val="none"/>
        </w:rPr>
        <w:t>3-Methylhistidine         0.034655</w:t>
      </w:r>
    </w:p>
    <w:p w14:paraId="1966BDBB" w14:textId="6B9546E7" w:rsidR="000E5230" w:rsidRPr="00A07271" w:rsidRDefault="000E5230" w:rsidP="00102A38">
      <w:pPr>
        <w:spacing w:after="0" w:line="276" w:lineRule="auto"/>
        <w:rPr>
          <w:rFonts w:ascii="Times New Roman" w:eastAsia="Times New Roman" w:hAnsi="Times New Roman" w:cs="Times New Roman"/>
          <w:color w:val="000000"/>
          <w:kern w:val="0"/>
          <w:shd w:val="clear" w:color="auto" w:fill="FFFFFF"/>
          <w14:ligatures w14:val="none"/>
        </w:rPr>
      </w:pPr>
      <w:r w:rsidRPr="000E5230">
        <w:rPr>
          <w:rFonts w:ascii="Times New Roman" w:eastAsia="Times New Roman" w:hAnsi="Times New Roman" w:cs="Times New Roman"/>
          <w:color w:val="000000"/>
          <w:kern w:val="0"/>
          <w:shd w:val="clear" w:color="auto" w:fill="FFFFFF"/>
          <w14:ligatures w14:val="none"/>
        </w:rPr>
        <w:t>DCA                       0.022261</w:t>
      </w:r>
    </w:p>
    <w:p w14:paraId="6FB48F80" w14:textId="77777777" w:rsidR="000E5230" w:rsidRPr="000E5230" w:rsidRDefault="000E5230" w:rsidP="00102A38">
      <w:pPr>
        <w:spacing w:after="0" w:line="276" w:lineRule="auto"/>
        <w:rPr>
          <w:rFonts w:ascii="Times New Roman" w:eastAsia="Times New Roman" w:hAnsi="Times New Roman" w:cs="Times New Roman"/>
          <w:color w:val="000000"/>
          <w:kern w:val="0"/>
          <w14:ligatures w14:val="none"/>
        </w:rPr>
      </w:pPr>
    </w:p>
    <w:p w14:paraId="3D17C64E" w14:textId="74653D48" w:rsidR="00F502F7" w:rsidRPr="00A07271" w:rsidRDefault="000E5230" w:rsidP="00102A38">
      <w:pPr>
        <w:spacing w:after="0" w:line="276" w:lineRule="auto"/>
        <w:rPr>
          <w:rFonts w:ascii="Times New Roman" w:eastAsia="Times New Roman" w:hAnsi="Times New Roman" w:cs="Times New Roman"/>
          <w:b/>
          <w:bCs/>
          <w:color w:val="000000"/>
          <w:kern w:val="0"/>
          <w14:ligatures w14:val="none"/>
        </w:rPr>
      </w:pPr>
      <w:r w:rsidRPr="00A07271">
        <w:rPr>
          <w:rFonts w:ascii="Times New Roman" w:eastAsia="Times New Roman" w:hAnsi="Times New Roman" w:cs="Times New Roman"/>
          <w:b/>
          <w:bCs/>
          <w:color w:val="000000"/>
          <w:kern w:val="0"/>
          <w14:ligatures w14:val="none"/>
        </w:rPr>
        <w:t xml:space="preserve">Figure 2e. </w:t>
      </w:r>
      <w:r w:rsidR="00B427CB" w:rsidRPr="00A07271">
        <w:rPr>
          <w:rFonts w:ascii="Times New Roman" w:eastAsia="Times New Roman" w:hAnsi="Times New Roman" w:cs="Times New Roman"/>
          <w:color w:val="000000"/>
          <w:kern w:val="0"/>
          <w14:ligatures w14:val="none"/>
        </w:rPr>
        <w:t>ROC curve and performace metrics for the metabolomic classifier distinguishing ESRD and control samples.</w:t>
      </w:r>
    </w:p>
    <w:p w14:paraId="70824272" w14:textId="77777777" w:rsidR="000E5230" w:rsidRPr="00A07271" w:rsidRDefault="000E5230" w:rsidP="00102A38">
      <w:pPr>
        <w:spacing w:after="0" w:line="276" w:lineRule="auto"/>
        <w:rPr>
          <w:rFonts w:ascii="Times New Roman" w:eastAsia="Times New Roman" w:hAnsi="Times New Roman" w:cs="Times New Roman"/>
          <w:color w:val="000000"/>
          <w:kern w:val="0"/>
          <w14:ligatures w14:val="none"/>
        </w:rPr>
      </w:pPr>
    </w:p>
    <w:p w14:paraId="4CBA8489" w14:textId="49291A32" w:rsidR="00765801" w:rsidRPr="00F502F7" w:rsidRDefault="00765801" w:rsidP="00102A38">
      <w:pPr>
        <w:spacing w:after="0" w:line="276" w:lineRule="auto"/>
        <w:rPr>
          <w:rFonts w:ascii="Times New Roman" w:eastAsia="Times New Roman" w:hAnsi="Times New Roman" w:cs="Times New Roman"/>
          <w:color w:val="000000"/>
          <w:kern w:val="0"/>
          <w14:ligatures w14:val="none"/>
        </w:rPr>
      </w:pPr>
      <w:r w:rsidRPr="00A07271">
        <w:rPr>
          <w:rFonts w:ascii="Times New Roman" w:eastAsia="Times New Roman" w:hAnsi="Times New Roman" w:cs="Times New Roman"/>
          <w:b/>
          <w:bCs/>
          <w:color w:val="000000"/>
          <w:kern w:val="0"/>
          <w14:ligatures w14:val="none"/>
        </w:rPr>
        <w:t>3.2</w:t>
      </w:r>
      <w:r w:rsidRPr="00A07271">
        <w:rPr>
          <w:rFonts w:ascii="Times New Roman" w:eastAsia="Times New Roman" w:hAnsi="Times New Roman" w:cs="Times New Roman"/>
          <w:color w:val="000000"/>
          <w:kern w:val="0"/>
          <w14:ligatures w14:val="none"/>
        </w:rPr>
        <w:t xml:space="preserve"> Metabol</w:t>
      </w:r>
      <w:r w:rsidR="003B6482" w:rsidRPr="00A07271">
        <w:rPr>
          <w:rFonts w:ascii="Times New Roman" w:eastAsia="Times New Roman" w:hAnsi="Times New Roman" w:cs="Times New Roman"/>
          <w:color w:val="000000"/>
          <w:kern w:val="0"/>
          <w14:ligatures w14:val="none"/>
        </w:rPr>
        <w:t>om</w:t>
      </w:r>
      <w:r w:rsidRPr="00A07271">
        <w:rPr>
          <w:rFonts w:ascii="Times New Roman" w:eastAsia="Times New Roman" w:hAnsi="Times New Roman" w:cs="Times New Roman"/>
          <w:color w:val="000000"/>
          <w:kern w:val="0"/>
          <w14:ligatures w14:val="none"/>
        </w:rPr>
        <w:t>ic data</w:t>
      </w:r>
    </w:p>
    <w:p w14:paraId="541F6631" w14:textId="01EF0414" w:rsidR="00F502F7" w:rsidRPr="00F502F7" w:rsidRDefault="00F502F7" w:rsidP="00102A38">
      <w:pPr>
        <w:spacing w:after="0" w:line="276" w:lineRule="auto"/>
        <w:rPr>
          <w:rFonts w:ascii="Times New Roman" w:eastAsia="Times New Roman" w:hAnsi="Times New Roman" w:cs="Times New Roman"/>
          <w:color w:val="000000"/>
          <w:kern w:val="0"/>
          <w14:ligatures w14:val="none"/>
        </w:rPr>
      </w:pPr>
      <w:r w:rsidRPr="00F502F7">
        <w:rPr>
          <w:rFonts w:ascii="Times New Roman" w:eastAsia="Times New Roman" w:hAnsi="Times New Roman" w:cs="Times New Roman"/>
          <w:color w:val="000000"/>
          <w:kern w:val="0"/>
          <w14:ligatures w14:val="none"/>
        </w:rPr>
        <w:t>After discovering the key limitation of a model that includes eGFR, the next step was to complete an analysis of the metabolic dataset, and the results revealed a markedly different outcome from the clinical results. When PCA was applied</w:t>
      </w:r>
      <w:r w:rsidR="00B427CB" w:rsidRPr="00A07271">
        <w:rPr>
          <w:rFonts w:ascii="Times New Roman" w:eastAsia="Times New Roman" w:hAnsi="Times New Roman" w:cs="Times New Roman"/>
          <w:color w:val="000000"/>
          <w:kern w:val="0"/>
          <w14:ligatures w14:val="none"/>
        </w:rPr>
        <w:t xml:space="preserve"> (see figure 1a)</w:t>
      </w:r>
      <w:r w:rsidRPr="00F502F7">
        <w:rPr>
          <w:rFonts w:ascii="Times New Roman" w:eastAsia="Times New Roman" w:hAnsi="Times New Roman" w:cs="Times New Roman"/>
          <w:color w:val="000000"/>
          <w:kern w:val="0"/>
          <w14:ligatures w14:val="none"/>
        </w:rPr>
        <w:t xml:space="preserve"> to quantified metabolite levels, there was some clustering </w:t>
      </w:r>
      <w:r w:rsidRPr="00F502F7">
        <w:rPr>
          <w:rFonts w:ascii="Times New Roman" w:eastAsia="Times New Roman" w:hAnsi="Times New Roman" w:cs="Times New Roman"/>
          <w:color w:val="000000"/>
          <w:kern w:val="0"/>
          <w14:ligatures w14:val="none"/>
        </w:rPr>
        <w:t>visible between ESRD and control groups across the first 3 principal components; however it wasn’t as clean as the clustering between the clinical data and didn’t provide as large of a gap. The variance explained by the first 3 PCs was under 40%, indicating that the majority of variance was dispersed across numerous low-importance metabolites. The Random Forest classifier based on serum metabolites performed at 100% accuracy</w:t>
      </w:r>
      <w:r w:rsidR="00235A11" w:rsidRPr="00A07271">
        <w:rPr>
          <w:rFonts w:ascii="Times New Roman" w:eastAsia="Times New Roman" w:hAnsi="Times New Roman" w:cs="Times New Roman"/>
          <w:color w:val="000000"/>
          <w:kern w:val="0"/>
          <w14:ligatures w14:val="none"/>
        </w:rPr>
        <w:t xml:space="preserve"> (see figure 1e)</w:t>
      </w:r>
      <w:r w:rsidRPr="00F502F7">
        <w:rPr>
          <w:rFonts w:ascii="Times New Roman" w:eastAsia="Times New Roman" w:hAnsi="Times New Roman" w:cs="Times New Roman"/>
          <w:color w:val="000000"/>
          <w:kern w:val="0"/>
          <w14:ligatures w14:val="none"/>
        </w:rPr>
        <w:t>, the most likely reason for this being that a large majority of the metabolites in discussion were also as a direct result of ESRD status. This implies that relying solely on metabolomic features may, in fact, provide a considerable degree of discriminatory ability, although the extent and practical relevance of this distinction remain somewhat unclear and the data isn’t as informative.</w:t>
      </w:r>
    </w:p>
    <w:p w14:paraId="53A0470F" w14:textId="77777777" w:rsidR="00F502F7" w:rsidRPr="00F502F7" w:rsidRDefault="00F502F7" w:rsidP="00102A38">
      <w:pPr>
        <w:spacing w:after="0" w:line="276" w:lineRule="auto"/>
        <w:rPr>
          <w:rFonts w:ascii="Times New Roman" w:eastAsia="Times New Roman" w:hAnsi="Times New Roman" w:cs="Times New Roman"/>
          <w:color w:val="000000"/>
          <w:kern w:val="0"/>
          <w14:ligatures w14:val="none"/>
        </w:rPr>
      </w:pPr>
    </w:p>
    <w:p w14:paraId="46D2DB72" w14:textId="24C445A9" w:rsidR="00F502F7" w:rsidRDefault="00F502F7" w:rsidP="00102A38">
      <w:pPr>
        <w:spacing w:after="0" w:line="276" w:lineRule="auto"/>
        <w:rPr>
          <w:rFonts w:ascii="Times New Roman" w:eastAsia="Times New Roman" w:hAnsi="Times New Roman" w:cs="Times New Roman"/>
          <w:color w:val="000000"/>
          <w:kern w:val="0"/>
          <w14:ligatures w14:val="none"/>
        </w:rPr>
      </w:pPr>
      <w:r w:rsidRPr="00F502F7">
        <w:rPr>
          <w:rFonts w:ascii="Times New Roman" w:eastAsia="Times New Roman" w:hAnsi="Times New Roman" w:cs="Times New Roman"/>
          <w:color w:val="000000"/>
          <w:kern w:val="0"/>
          <w14:ligatures w14:val="none"/>
        </w:rPr>
        <w:t xml:space="preserve">Additionally, the PCA biplot </w:t>
      </w:r>
      <w:r w:rsidR="00B10237" w:rsidRPr="00A07271">
        <w:rPr>
          <w:rFonts w:ascii="Times New Roman" w:eastAsia="Times New Roman" w:hAnsi="Times New Roman" w:cs="Times New Roman"/>
          <w:color w:val="000000"/>
          <w:kern w:val="0"/>
          <w14:ligatures w14:val="none"/>
        </w:rPr>
        <w:t xml:space="preserve">(see Figure </w:t>
      </w:r>
      <w:r w:rsidR="00591A19" w:rsidRPr="00A07271">
        <w:rPr>
          <w:rFonts w:ascii="Times New Roman" w:eastAsia="Times New Roman" w:hAnsi="Times New Roman" w:cs="Times New Roman"/>
          <w:color w:val="000000"/>
          <w:kern w:val="0"/>
          <w14:ligatures w14:val="none"/>
        </w:rPr>
        <w:t xml:space="preserve">2b) </w:t>
      </w:r>
      <w:r w:rsidRPr="00F502F7">
        <w:rPr>
          <w:rFonts w:ascii="Times New Roman" w:eastAsia="Times New Roman" w:hAnsi="Times New Roman" w:cs="Times New Roman"/>
          <w:color w:val="000000"/>
          <w:kern w:val="0"/>
          <w14:ligatures w14:val="none"/>
        </w:rPr>
        <w:t>reinforces this observation by showing a reasonably distinct separation between ESRD and control samples based solely on metabolomic variables</w:t>
      </w:r>
      <w:r w:rsidR="003775C0" w:rsidRPr="00A07271">
        <w:rPr>
          <w:rFonts w:ascii="Times New Roman" w:eastAsia="Times New Roman" w:hAnsi="Times New Roman" w:cs="Times New Roman"/>
          <w:color w:val="000000"/>
          <w:kern w:val="0"/>
          <w14:ligatures w14:val="none"/>
        </w:rPr>
        <w:t>.</w:t>
      </w:r>
      <w:r w:rsidRPr="00F502F7">
        <w:rPr>
          <w:rFonts w:ascii="Times New Roman" w:eastAsia="Times New Roman" w:hAnsi="Times New Roman" w:cs="Times New Roman"/>
          <w:color w:val="000000"/>
          <w:kern w:val="0"/>
          <w14:ligatures w14:val="none"/>
        </w:rPr>
        <w:t xml:space="preserve"> </w:t>
      </w:r>
      <w:r w:rsidR="003775C0" w:rsidRPr="00A07271">
        <w:rPr>
          <w:rFonts w:ascii="Times New Roman" w:eastAsia="Times New Roman" w:hAnsi="Times New Roman" w:cs="Times New Roman"/>
          <w:color w:val="000000"/>
          <w:kern w:val="0"/>
          <w14:ligatures w14:val="none"/>
        </w:rPr>
        <w:t>This suggests</w:t>
      </w:r>
      <w:r w:rsidRPr="00F502F7">
        <w:rPr>
          <w:rFonts w:ascii="Times New Roman" w:eastAsia="Times New Roman" w:hAnsi="Times New Roman" w:cs="Times New Roman"/>
          <w:color w:val="000000"/>
          <w:kern w:val="0"/>
          <w14:ligatures w14:val="none"/>
        </w:rPr>
        <w:t xml:space="preserve"> a stronger discriminatory capacity than initially expected</w:t>
      </w:r>
      <w:r w:rsidR="000328ED" w:rsidRPr="00A07271">
        <w:rPr>
          <w:rFonts w:ascii="Times New Roman" w:eastAsia="Times New Roman" w:hAnsi="Times New Roman" w:cs="Times New Roman"/>
          <w:color w:val="000000"/>
          <w:kern w:val="0"/>
          <w14:ligatures w14:val="none"/>
        </w:rPr>
        <w:t>.</w:t>
      </w:r>
      <w:r w:rsidRPr="00F502F7">
        <w:rPr>
          <w:rFonts w:ascii="Times New Roman" w:eastAsia="Times New Roman" w:hAnsi="Times New Roman" w:cs="Times New Roman"/>
          <w:color w:val="000000"/>
          <w:kern w:val="0"/>
          <w14:ligatures w14:val="none"/>
        </w:rPr>
        <w:t xml:space="preserve"> </w:t>
      </w:r>
      <w:r w:rsidR="000328ED" w:rsidRPr="00A07271">
        <w:rPr>
          <w:rFonts w:ascii="Times New Roman" w:eastAsia="Times New Roman" w:hAnsi="Times New Roman" w:cs="Times New Roman"/>
          <w:color w:val="000000"/>
          <w:kern w:val="0"/>
          <w14:ligatures w14:val="none"/>
        </w:rPr>
        <w:t>H</w:t>
      </w:r>
      <w:r w:rsidRPr="00F502F7">
        <w:rPr>
          <w:rFonts w:ascii="Times New Roman" w:eastAsia="Times New Roman" w:hAnsi="Times New Roman" w:cs="Times New Roman"/>
          <w:color w:val="000000"/>
          <w:kern w:val="0"/>
          <w14:ligatures w14:val="none"/>
        </w:rPr>
        <w:t>owever, despite this apparent separation, the result offers limited interpretative val</w:t>
      </w:r>
      <w:r w:rsidR="000328ED" w:rsidRPr="00A07271">
        <w:rPr>
          <w:rFonts w:ascii="Times New Roman" w:eastAsia="Times New Roman" w:hAnsi="Times New Roman" w:cs="Times New Roman"/>
          <w:color w:val="000000"/>
          <w:kern w:val="0"/>
          <w14:ligatures w14:val="none"/>
        </w:rPr>
        <w:t>ue because</w:t>
      </w:r>
      <w:r w:rsidRPr="00F502F7">
        <w:rPr>
          <w:rFonts w:ascii="Times New Roman" w:eastAsia="Times New Roman" w:hAnsi="Times New Roman" w:cs="Times New Roman"/>
          <w:color w:val="000000"/>
          <w:kern w:val="0"/>
          <w14:ligatures w14:val="none"/>
        </w:rPr>
        <w:t xml:space="preserve"> it does not </w:t>
      </w:r>
      <w:r w:rsidR="000328ED" w:rsidRPr="00A07271">
        <w:rPr>
          <w:rFonts w:ascii="Times New Roman" w:eastAsia="Times New Roman" w:hAnsi="Times New Roman" w:cs="Times New Roman"/>
          <w:color w:val="000000"/>
          <w:kern w:val="0"/>
          <w14:ligatures w14:val="none"/>
        </w:rPr>
        <w:t>provide</w:t>
      </w:r>
      <w:r w:rsidRPr="00F502F7">
        <w:rPr>
          <w:rFonts w:ascii="Times New Roman" w:eastAsia="Times New Roman" w:hAnsi="Times New Roman" w:cs="Times New Roman"/>
          <w:color w:val="000000"/>
          <w:kern w:val="0"/>
          <w14:ligatures w14:val="none"/>
        </w:rPr>
        <w:t xml:space="preserve"> meaningful biological insight or enhance the overall contribution of the metabolomic analysis to the paper.</w:t>
      </w:r>
    </w:p>
    <w:p w14:paraId="7B8CED94" w14:textId="77777777" w:rsidR="00102A38" w:rsidRPr="00A07271" w:rsidRDefault="00102A38" w:rsidP="00102A38">
      <w:pPr>
        <w:spacing w:after="0" w:line="276" w:lineRule="auto"/>
        <w:rPr>
          <w:rFonts w:ascii="Times New Roman" w:eastAsia="Times New Roman" w:hAnsi="Times New Roman" w:cs="Times New Roman"/>
          <w:color w:val="000000"/>
          <w:kern w:val="0"/>
          <w14:ligatures w14:val="none"/>
        </w:rPr>
      </w:pPr>
    </w:p>
    <w:p w14:paraId="4DA82863" w14:textId="77777777" w:rsidR="007A4B28" w:rsidRPr="00A07271" w:rsidRDefault="007A4B28" w:rsidP="00102A38">
      <w:pPr>
        <w:spacing w:after="0" w:line="276" w:lineRule="auto"/>
        <w:rPr>
          <w:rFonts w:ascii="Times New Roman" w:eastAsia="Times New Roman" w:hAnsi="Times New Roman" w:cs="Times New Roman"/>
          <w:color w:val="000000"/>
          <w:kern w:val="0"/>
          <w14:ligatures w14:val="none"/>
        </w:rPr>
      </w:pPr>
    </w:p>
    <w:p w14:paraId="05B297CC" w14:textId="57E9ADB0" w:rsidR="007A4B28" w:rsidRPr="00A07271" w:rsidRDefault="00D97BCA" w:rsidP="00102A38">
      <w:pPr>
        <w:spacing w:after="0" w:line="276" w:lineRule="auto"/>
        <w:jc w:val="center"/>
        <w:rPr>
          <w:rFonts w:ascii="Times New Roman" w:eastAsia="Times New Roman" w:hAnsi="Times New Roman" w:cs="Times New Roman"/>
          <w:color w:val="000000"/>
          <w:kern w:val="0"/>
          <w14:ligatures w14:val="none"/>
        </w:rPr>
      </w:pPr>
      <w:r w:rsidRPr="00A07271">
        <w:rPr>
          <w:rFonts w:ascii="Times New Roman" w:hAnsi="Times New Roman" w:cs="Times New Roman"/>
          <w:noProof/>
          <w:color w:val="000000"/>
        </w:rPr>
        <w:drawing>
          <wp:inline distT="0" distB="0" distL="0" distR="0" wp14:anchorId="30A9A7D0" wp14:editId="409E57B1">
            <wp:extent cx="2276475" cy="2180701"/>
            <wp:effectExtent l="0" t="0" r="0" b="3810"/>
            <wp:docPr id="162141803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319265" cy="2221691"/>
                    </a:xfrm>
                    <a:prstGeom prst="rect">
                      <a:avLst/>
                    </a:prstGeom>
                    <a:noFill/>
                    <a:ln>
                      <a:noFill/>
                    </a:ln>
                  </pic:spPr>
                </pic:pic>
              </a:graphicData>
            </a:graphic>
          </wp:inline>
        </w:drawing>
      </w:r>
    </w:p>
    <w:p w14:paraId="7A820143" w14:textId="7B0F5837" w:rsidR="00D97BCA" w:rsidRPr="00A07271" w:rsidRDefault="00D97BCA" w:rsidP="00102A38">
      <w:pPr>
        <w:spacing w:after="0" w:line="276" w:lineRule="auto"/>
        <w:rPr>
          <w:rFonts w:ascii="Times New Roman" w:eastAsia="Times New Roman" w:hAnsi="Times New Roman" w:cs="Times New Roman"/>
          <w:color w:val="000000"/>
          <w:kern w:val="0"/>
          <w14:ligatures w14:val="none"/>
        </w:rPr>
      </w:pPr>
      <w:r w:rsidRPr="00A07271">
        <w:rPr>
          <w:rFonts w:ascii="Times New Roman" w:eastAsia="Times New Roman" w:hAnsi="Times New Roman" w:cs="Times New Roman"/>
          <w:b/>
          <w:bCs/>
          <w:color w:val="000000"/>
          <w:kern w:val="0"/>
          <w14:ligatures w14:val="none"/>
        </w:rPr>
        <w:t xml:space="preserve">Figure 3a. </w:t>
      </w:r>
      <w:r w:rsidR="00EA3C2C" w:rsidRPr="00A07271">
        <w:rPr>
          <w:rFonts w:ascii="Times New Roman" w:eastAsia="Times New Roman" w:hAnsi="Times New Roman" w:cs="Times New Roman"/>
          <w:color w:val="000000"/>
          <w:kern w:val="0"/>
          <w14:ligatures w14:val="none"/>
        </w:rPr>
        <w:t>3D PCA score plot of clinical features (excluding eGFR) showing clustering of ESRD and control samples</w:t>
      </w:r>
    </w:p>
    <w:p w14:paraId="341D5995" w14:textId="77777777" w:rsidR="00EA3C2C" w:rsidRPr="00A07271" w:rsidRDefault="00EA3C2C" w:rsidP="00102A38">
      <w:pPr>
        <w:spacing w:after="0" w:line="276" w:lineRule="auto"/>
        <w:rPr>
          <w:rFonts w:ascii="Times New Roman" w:eastAsia="Times New Roman" w:hAnsi="Times New Roman" w:cs="Times New Roman"/>
          <w:color w:val="000000"/>
          <w:kern w:val="0"/>
          <w14:ligatures w14:val="none"/>
        </w:rPr>
      </w:pPr>
    </w:p>
    <w:p w14:paraId="2C86D458" w14:textId="35C92553" w:rsidR="00EA3C2C" w:rsidRPr="00A07271" w:rsidRDefault="00052E40" w:rsidP="00102A38">
      <w:pPr>
        <w:spacing w:after="0" w:line="276" w:lineRule="auto"/>
        <w:jc w:val="center"/>
        <w:rPr>
          <w:rFonts w:ascii="Times New Roman" w:eastAsia="Times New Roman" w:hAnsi="Times New Roman" w:cs="Times New Roman"/>
          <w:color w:val="000000"/>
          <w:kern w:val="0"/>
          <w14:ligatures w14:val="none"/>
        </w:rPr>
      </w:pPr>
      <w:r w:rsidRPr="00A07271">
        <w:rPr>
          <w:rFonts w:ascii="Times New Roman" w:eastAsia="Times New Roman" w:hAnsi="Times New Roman" w:cs="Times New Roman"/>
          <w:color w:val="000000"/>
          <w:kern w:val="0"/>
          <w14:ligatures w14:val="none"/>
        </w:rPr>
        <w:drawing>
          <wp:inline distT="0" distB="0" distL="0" distR="0" wp14:anchorId="00A9B500" wp14:editId="736690CB">
            <wp:extent cx="2409825" cy="1756955"/>
            <wp:effectExtent l="0" t="0" r="3175" b="0"/>
            <wp:docPr id="1349853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853624" name=""/>
                    <pic:cNvPicPr/>
                  </pic:nvPicPr>
                  <pic:blipFill>
                    <a:blip r:embed="rId16"/>
                    <a:stretch>
                      <a:fillRect/>
                    </a:stretch>
                  </pic:blipFill>
                  <pic:spPr>
                    <a:xfrm>
                      <a:off x="0" y="0"/>
                      <a:ext cx="2433580" cy="1774274"/>
                    </a:xfrm>
                    <a:prstGeom prst="rect">
                      <a:avLst/>
                    </a:prstGeom>
                  </pic:spPr>
                </pic:pic>
              </a:graphicData>
            </a:graphic>
          </wp:inline>
        </w:drawing>
      </w:r>
    </w:p>
    <w:p w14:paraId="6C9752AC" w14:textId="4F9DD964" w:rsidR="00052E40" w:rsidRPr="00A07271" w:rsidRDefault="00052E40" w:rsidP="00102A38">
      <w:pPr>
        <w:spacing w:after="0" w:line="276" w:lineRule="auto"/>
        <w:rPr>
          <w:rFonts w:ascii="Times New Roman" w:eastAsia="Times New Roman" w:hAnsi="Times New Roman" w:cs="Times New Roman"/>
          <w:color w:val="000000"/>
          <w:kern w:val="0"/>
          <w14:ligatures w14:val="none"/>
        </w:rPr>
      </w:pPr>
      <w:r w:rsidRPr="00A07271">
        <w:rPr>
          <w:rFonts w:ascii="Times New Roman" w:eastAsia="Times New Roman" w:hAnsi="Times New Roman" w:cs="Times New Roman"/>
          <w:b/>
          <w:bCs/>
          <w:color w:val="000000"/>
          <w:kern w:val="0"/>
          <w14:ligatures w14:val="none"/>
        </w:rPr>
        <w:t xml:space="preserve">Figure 3b. </w:t>
      </w:r>
      <w:r w:rsidR="007F4DB3" w:rsidRPr="00A07271">
        <w:rPr>
          <w:rFonts w:ascii="Times New Roman" w:eastAsia="Times New Roman" w:hAnsi="Times New Roman" w:cs="Times New Roman"/>
          <w:color w:val="000000"/>
          <w:kern w:val="0"/>
          <w14:ligatures w14:val="none"/>
        </w:rPr>
        <w:t>PCA biplot (PC1-PC2) of eGFR-excluded clinical dataset with quartile boundaries and loading vectors.</w:t>
      </w:r>
    </w:p>
    <w:p w14:paraId="079A1EF6" w14:textId="77777777" w:rsidR="007F4DB3" w:rsidRPr="00A07271" w:rsidRDefault="007F4DB3" w:rsidP="00102A38">
      <w:pPr>
        <w:spacing w:after="0" w:line="276" w:lineRule="auto"/>
        <w:rPr>
          <w:rFonts w:ascii="Times New Roman" w:eastAsia="Times New Roman" w:hAnsi="Times New Roman" w:cs="Times New Roman"/>
          <w:color w:val="000000"/>
          <w:kern w:val="0"/>
          <w14:ligatures w14:val="none"/>
        </w:rPr>
      </w:pPr>
    </w:p>
    <w:p w14:paraId="7A17C9BE" w14:textId="6474C001" w:rsidR="007F4DB3" w:rsidRPr="00A07271" w:rsidRDefault="00424B79" w:rsidP="00102A38">
      <w:pPr>
        <w:spacing w:after="0" w:line="276" w:lineRule="auto"/>
        <w:jc w:val="center"/>
        <w:rPr>
          <w:rFonts w:ascii="Times New Roman" w:eastAsia="Times New Roman" w:hAnsi="Times New Roman" w:cs="Times New Roman"/>
          <w:color w:val="000000"/>
          <w:kern w:val="0"/>
          <w14:ligatures w14:val="none"/>
        </w:rPr>
      </w:pPr>
      <w:r w:rsidRPr="00A07271">
        <w:rPr>
          <w:rFonts w:ascii="Times New Roman" w:hAnsi="Times New Roman" w:cs="Times New Roman"/>
          <w:noProof/>
          <w:color w:val="000000"/>
        </w:rPr>
        <w:drawing>
          <wp:inline distT="0" distB="0" distL="0" distR="0" wp14:anchorId="2BF83879" wp14:editId="17DAD15B">
            <wp:extent cx="2390775" cy="1785068"/>
            <wp:effectExtent l="0" t="0" r="0" b="5715"/>
            <wp:docPr id="156290917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405116" cy="1795775"/>
                    </a:xfrm>
                    <a:prstGeom prst="rect">
                      <a:avLst/>
                    </a:prstGeom>
                    <a:noFill/>
                    <a:ln>
                      <a:noFill/>
                    </a:ln>
                  </pic:spPr>
                </pic:pic>
              </a:graphicData>
            </a:graphic>
          </wp:inline>
        </w:drawing>
      </w:r>
    </w:p>
    <w:p w14:paraId="2E598315" w14:textId="2C9B9D30" w:rsidR="00424B79" w:rsidRPr="00A07271" w:rsidRDefault="00424B79" w:rsidP="00102A38">
      <w:pPr>
        <w:spacing w:after="0" w:line="276" w:lineRule="auto"/>
        <w:rPr>
          <w:rFonts w:ascii="Times New Roman" w:eastAsia="Times New Roman" w:hAnsi="Times New Roman" w:cs="Times New Roman"/>
          <w:color w:val="000000"/>
          <w:kern w:val="0"/>
          <w14:ligatures w14:val="none"/>
        </w:rPr>
      </w:pPr>
      <w:r w:rsidRPr="00A07271">
        <w:rPr>
          <w:rFonts w:ascii="Times New Roman" w:eastAsia="Times New Roman" w:hAnsi="Times New Roman" w:cs="Times New Roman"/>
          <w:b/>
          <w:bCs/>
          <w:color w:val="000000"/>
          <w:kern w:val="0"/>
          <w14:ligatures w14:val="none"/>
        </w:rPr>
        <w:t xml:space="preserve">Figure 3c. </w:t>
      </w:r>
      <w:r w:rsidR="00436423" w:rsidRPr="00A07271">
        <w:rPr>
          <w:rFonts w:ascii="Times New Roman" w:eastAsia="Times New Roman" w:hAnsi="Times New Roman" w:cs="Times New Roman"/>
          <w:color w:val="000000"/>
          <w:kern w:val="0"/>
          <w14:ligatures w14:val="none"/>
        </w:rPr>
        <w:t>PCA loading plot illustrating the contribution of BMI, creatinine, and urea to PC1 and PC2 in the eGFR-excluded dataset</w:t>
      </w:r>
    </w:p>
    <w:p w14:paraId="1D53ACDF" w14:textId="77777777" w:rsidR="00436423" w:rsidRPr="00A07271" w:rsidRDefault="00436423" w:rsidP="00102A38">
      <w:pPr>
        <w:spacing w:after="0" w:line="276" w:lineRule="auto"/>
        <w:jc w:val="center"/>
        <w:rPr>
          <w:rFonts w:ascii="Times New Roman" w:eastAsia="Times New Roman" w:hAnsi="Times New Roman" w:cs="Times New Roman"/>
          <w:color w:val="000000"/>
          <w:kern w:val="0"/>
          <w14:ligatures w14:val="none"/>
        </w:rPr>
      </w:pPr>
    </w:p>
    <w:p w14:paraId="770A9C29" w14:textId="0F5512C5" w:rsidR="00436423" w:rsidRPr="00A07271" w:rsidRDefault="00A325F4" w:rsidP="00102A38">
      <w:pPr>
        <w:spacing w:after="0" w:line="276" w:lineRule="auto"/>
        <w:jc w:val="center"/>
        <w:rPr>
          <w:rFonts w:ascii="Times New Roman" w:eastAsia="Times New Roman" w:hAnsi="Times New Roman" w:cs="Times New Roman"/>
          <w:color w:val="000000"/>
          <w:kern w:val="0"/>
          <w14:ligatures w14:val="none"/>
        </w:rPr>
      </w:pPr>
      <w:r w:rsidRPr="00A07271">
        <w:rPr>
          <w:rFonts w:ascii="Times New Roman" w:hAnsi="Times New Roman" w:cs="Times New Roman"/>
          <w:noProof/>
          <w:color w:val="000000"/>
        </w:rPr>
        <w:drawing>
          <wp:inline distT="0" distB="0" distL="0" distR="0" wp14:anchorId="334ED964" wp14:editId="3BD10460">
            <wp:extent cx="2747010" cy="1608455"/>
            <wp:effectExtent l="0" t="0" r="0" b="4445"/>
            <wp:docPr id="24997438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47010" cy="1608455"/>
                    </a:xfrm>
                    <a:prstGeom prst="rect">
                      <a:avLst/>
                    </a:prstGeom>
                    <a:noFill/>
                    <a:ln>
                      <a:noFill/>
                    </a:ln>
                  </pic:spPr>
                </pic:pic>
              </a:graphicData>
            </a:graphic>
          </wp:inline>
        </w:drawing>
      </w:r>
    </w:p>
    <w:p w14:paraId="6B3E4E09" w14:textId="7DA02A42" w:rsidR="00A325F4" w:rsidRPr="00A07271" w:rsidRDefault="00A325F4" w:rsidP="00102A38">
      <w:pPr>
        <w:spacing w:after="0" w:line="276" w:lineRule="auto"/>
        <w:rPr>
          <w:rFonts w:ascii="Times New Roman" w:eastAsia="Times New Roman" w:hAnsi="Times New Roman" w:cs="Times New Roman"/>
          <w:color w:val="000000"/>
          <w:kern w:val="0"/>
          <w14:ligatures w14:val="none"/>
        </w:rPr>
      </w:pPr>
      <w:r w:rsidRPr="00A07271">
        <w:rPr>
          <w:rFonts w:ascii="Times New Roman" w:eastAsia="Times New Roman" w:hAnsi="Times New Roman" w:cs="Times New Roman"/>
          <w:b/>
          <w:bCs/>
          <w:color w:val="000000"/>
          <w:kern w:val="0"/>
          <w14:ligatures w14:val="none"/>
        </w:rPr>
        <w:t xml:space="preserve">Figure </w:t>
      </w:r>
      <w:r w:rsidR="00B1255D" w:rsidRPr="00A07271">
        <w:rPr>
          <w:rFonts w:ascii="Times New Roman" w:eastAsia="Times New Roman" w:hAnsi="Times New Roman" w:cs="Times New Roman"/>
          <w:b/>
          <w:bCs/>
          <w:color w:val="000000"/>
          <w:kern w:val="0"/>
          <w14:ligatures w14:val="none"/>
        </w:rPr>
        <w:t>3</w:t>
      </w:r>
      <w:r w:rsidRPr="00A07271">
        <w:rPr>
          <w:rFonts w:ascii="Times New Roman" w:eastAsia="Times New Roman" w:hAnsi="Times New Roman" w:cs="Times New Roman"/>
          <w:b/>
          <w:bCs/>
          <w:color w:val="000000"/>
          <w:kern w:val="0"/>
          <w14:ligatures w14:val="none"/>
        </w:rPr>
        <w:t xml:space="preserve">d. </w:t>
      </w:r>
      <w:r w:rsidR="008053E2" w:rsidRPr="00A07271">
        <w:rPr>
          <w:rFonts w:ascii="Times New Roman" w:eastAsia="Times New Roman" w:hAnsi="Times New Roman" w:cs="Times New Roman"/>
          <w:color w:val="000000"/>
          <w:kern w:val="0"/>
          <w14:ligatures w14:val="none"/>
        </w:rPr>
        <w:t>Scree plot showing explaied variance for principal comonents of the eGFR-excluded clinical dataset</w:t>
      </w:r>
    </w:p>
    <w:p w14:paraId="6A18C3DD" w14:textId="77777777" w:rsidR="008053E2" w:rsidRPr="00A07271" w:rsidRDefault="008053E2" w:rsidP="00102A38">
      <w:pPr>
        <w:spacing w:after="0" w:line="276" w:lineRule="auto"/>
        <w:rPr>
          <w:rFonts w:ascii="Times New Roman" w:eastAsia="Times New Roman" w:hAnsi="Times New Roman" w:cs="Times New Roman"/>
          <w:color w:val="000000"/>
          <w:kern w:val="0"/>
          <w14:ligatures w14:val="none"/>
        </w:rPr>
      </w:pPr>
    </w:p>
    <w:p w14:paraId="63E5234A" w14:textId="4B32369C" w:rsidR="008053E2" w:rsidRPr="00A07271" w:rsidRDefault="004863AD" w:rsidP="00102A38">
      <w:pPr>
        <w:spacing w:after="0" w:line="276" w:lineRule="auto"/>
        <w:jc w:val="center"/>
        <w:rPr>
          <w:rFonts w:ascii="Times New Roman" w:eastAsia="Times New Roman" w:hAnsi="Times New Roman" w:cs="Times New Roman"/>
          <w:color w:val="000000"/>
          <w:kern w:val="0"/>
          <w14:ligatures w14:val="none"/>
        </w:rPr>
      </w:pPr>
      <w:r w:rsidRPr="00A07271">
        <w:rPr>
          <w:rFonts w:ascii="Times New Roman" w:hAnsi="Times New Roman" w:cs="Times New Roman"/>
          <w:noProof/>
          <w:color w:val="000000"/>
        </w:rPr>
        <w:drawing>
          <wp:inline distT="0" distB="0" distL="0" distR="0" wp14:anchorId="205B236C" wp14:editId="48ADE02E">
            <wp:extent cx="2747010" cy="1966595"/>
            <wp:effectExtent l="0" t="0" r="0" b="1905"/>
            <wp:docPr id="613698889" name="Picture 22"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698889" name="Picture 22" descr="A graph of a curve&#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47010" cy="1966595"/>
                    </a:xfrm>
                    <a:prstGeom prst="rect">
                      <a:avLst/>
                    </a:prstGeom>
                    <a:noFill/>
                    <a:ln>
                      <a:noFill/>
                    </a:ln>
                  </pic:spPr>
                </pic:pic>
              </a:graphicData>
            </a:graphic>
          </wp:inline>
        </w:drawing>
      </w:r>
    </w:p>
    <w:p w14:paraId="06FB96FD" w14:textId="77777777" w:rsidR="004863AD" w:rsidRPr="004863AD" w:rsidRDefault="004863AD" w:rsidP="00102A38">
      <w:pPr>
        <w:spacing w:after="0" w:line="276" w:lineRule="auto"/>
        <w:rPr>
          <w:rFonts w:ascii="Times New Roman" w:eastAsia="Times New Roman" w:hAnsi="Times New Roman" w:cs="Times New Roman"/>
          <w:color w:val="000000"/>
          <w:kern w:val="0"/>
          <w14:ligatures w14:val="none"/>
        </w:rPr>
      </w:pPr>
      <w:r w:rsidRPr="004863AD">
        <w:rPr>
          <w:rFonts w:ascii="Times New Roman" w:eastAsia="Times New Roman" w:hAnsi="Times New Roman" w:cs="Times New Roman"/>
          <w:color w:val="000000"/>
          <w:kern w:val="0"/>
          <w:shd w:val="clear" w:color="auto" w:fill="FFFFFF"/>
          <w14:ligatures w14:val="none"/>
        </w:rPr>
        <w:t>accuracy =  1.0</w:t>
      </w:r>
    </w:p>
    <w:p w14:paraId="7CDC1ED4" w14:textId="77777777" w:rsidR="004863AD" w:rsidRPr="004863AD" w:rsidRDefault="004863AD" w:rsidP="00102A38">
      <w:pPr>
        <w:spacing w:after="0" w:line="276" w:lineRule="auto"/>
        <w:rPr>
          <w:rFonts w:ascii="Times New Roman" w:eastAsia="Times New Roman" w:hAnsi="Times New Roman" w:cs="Times New Roman"/>
          <w:color w:val="000000"/>
          <w:kern w:val="0"/>
          <w14:ligatures w14:val="none"/>
        </w:rPr>
      </w:pPr>
      <w:r w:rsidRPr="004863AD">
        <w:rPr>
          <w:rFonts w:ascii="Times New Roman" w:eastAsia="Times New Roman" w:hAnsi="Times New Roman" w:cs="Times New Roman"/>
          <w:color w:val="000000"/>
          <w:kern w:val="0"/>
          <w:shd w:val="clear" w:color="auto" w:fill="FFFFFF"/>
          <w14:ligatures w14:val="none"/>
        </w:rPr>
        <w:t>specificity =  1.0</w:t>
      </w:r>
    </w:p>
    <w:p w14:paraId="2397B0B1" w14:textId="77777777" w:rsidR="004863AD" w:rsidRPr="00A07271" w:rsidRDefault="004863AD" w:rsidP="00102A38">
      <w:pPr>
        <w:spacing w:after="0" w:line="276" w:lineRule="auto"/>
        <w:rPr>
          <w:rFonts w:ascii="Times New Roman" w:eastAsia="Times New Roman" w:hAnsi="Times New Roman" w:cs="Times New Roman"/>
          <w:color w:val="000000"/>
          <w:kern w:val="0"/>
          <w:shd w:val="clear" w:color="auto" w:fill="FFFFFF"/>
          <w14:ligatures w14:val="none"/>
        </w:rPr>
      </w:pPr>
      <w:r w:rsidRPr="004863AD">
        <w:rPr>
          <w:rFonts w:ascii="Times New Roman" w:eastAsia="Times New Roman" w:hAnsi="Times New Roman" w:cs="Times New Roman"/>
          <w:color w:val="000000"/>
          <w:kern w:val="0"/>
          <w:shd w:val="clear" w:color="auto" w:fill="FFFFFF"/>
          <w14:ligatures w14:val="none"/>
        </w:rPr>
        <w:t>sensitivity =  1.0</w:t>
      </w:r>
    </w:p>
    <w:p w14:paraId="2FA2D0E7" w14:textId="77777777" w:rsidR="004863AD" w:rsidRPr="00A07271" w:rsidRDefault="004863AD" w:rsidP="00102A38">
      <w:pPr>
        <w:spacing w:after="0" w:line="276" w:lineRule="auto"/>
        <w:rPr>
          <w:rFonts w:ascii="Times New Roman" w:eastAsia="Times New Roman" w:hAnsi="Times New Roman" w:cs="Times New Roman"/>
          <w:color w:val="000000"/>
          <w:kern w:val="0"/>
          <w:shd w:val="clear" w:color="auto" w:fill="FFFFFF"/>
          <w14:ligatures w14:val="none"/>
        </w:rPr>
      </w:pPr>
    </w:p>
    <w:p w14:paraId="1E330F9E" w14:textId="77777777" w:rsidR="004863AD" w:rsidRPr="004863AD" w:rsidRDefault="004863AD" w:rsidP="00102A38">
      <w:pPr>
        <w:spacing w:after="0" w:line="276" w:lineRule="auto"/>
        <w:rPr>
          <w:rFonts w:ascii="Times New Roman" w:eastAsia="Times New Roman" w:hAnsi="Times New Roman" w:cs="Times New Roman"/>
          <w:color w:val="000000"/>
          <w:kern w:val="0"/>
          <w14:ligatures w14:val="none"/>
        </w:rPr>
      </w:pPr>
      <w:r w:rsidRPr="004863AD">
        <w:rPr>
          <w:rFonts w:ascii="Times New Roman" w:eastAsia="Times New Roman" w:hAnsi="Times New Roman" w:cs="Times New Roman"/>
          <w:color w:val="000000"/>
          <w:kern w:val="0"/>
          <w:shd w:val="clear" w:color="auto" w:fill="FFFFFF"/>
          <w14:ligatures w14:val="none"/>
        </w:rPr>
        <w:t>Urea          0.518028</w:t>
      </w:r>
    </w:p>
    <w:p w14:paraId="27EADF44" w14:textId="77777777" w:rsidR="004863AD" w:rsidRPr="004863AD" w:rsidRDefault="004863AD" w:rsidP="00102A38">
      <w:pPr>
        <w:spacing w:after="0" w:line="276" w:lineRule="auto"/>
        <w:rPr>
          <w:rFonts w:ascii="Times New Roman" w:eastAsia="Times New Roman" w:hAnsi="Times New Roman" w:cs="Times New Roman"/>
          <w:color w:val="000000"/>
          <w:kern w:val="0"/>
          <w14:ligatures w14:val="none"/>
        </w:rPr>
      </w:pPr>
      <w:r w:rsidRPr="004863AD">
        <w:rPr>
          <w:rFonts w:ascii="Times New Roman" w:eastAsia="Times New Roman" w:hAnsi="Times New Roman" w:cs="Times New Roman"/>
          <w:color w:val="000000"/>
          <w:kern w:val="0"/>
          <w:shd w:val="clear" w:color="auto" w:fill="FFFFFF"/>
          <w14:ligatures w14:val="none"/>
        </w:rPr>
        <w:t>Creatinine    0.460581</w:t>
      </w:r>
    </w:p>
    <w:p w14:paraId="3862FDC2" w14:textId="709C2030" w:rsidR="004863AD" w:rsidRPr="00A07271" w:rsidRDefault="004863AD" w:rsidP="00102A38">
      <w:pPr>
        <w:spacing w:after="0" w:line="276" w:lineRule="auto"/>
        <w:rPr>
          <w:rFonts w:ascii="Times New Roman" w:eastAsia="Times New Roman" w:hAnsi="Times New Roman" w:cs="Times New Roman"/>
          <w:color w:val="000000"/>
          <w:kern w:val="0"/>
          <w14:ligatures w14:val="none"/>
        </w:rPr>
      </w:pPr>
      <w:r w:rsidRPr="004863AD">
        <w:rPr>
          <w:rFonts w:ascii="Times New Roman" w:eastAsia="Times New Roman" w:hAnsi="Times New Roman" w:cs="Times New Roman"/>
          <w:color w:val="000000"/>
          <w:kern w:val="0"/>
          <w:shd w:val="clear" w:color="auto" w:fill="FFFFFF"/>
          <w14:ligatures w14:val="none"/>
        </w:rPr>
        <w:t>BMI           0.021391</w:t>
      </w:r>
    </w:p>
    <w:p w14:paraId="03946C7D" w14:textId="01D40B7D" w:rsidR="004863AD" w:rsidRPr="00A07271" w:rsidRDefault="004863AD" w:rsidP="00102A38">
      <w:pPr>
        <w:spacing w:after="0" w:line="276" w:lineRule="auto"/>
        <w:rPr>
          <w:rFonts w:ascii="Times New Roman" w:eastAsia="Times New Roman" w:hAnsi="Times New Roman" w:cs="Times New Roman"/>
          <w:color w:val="000000"/>
          <w:kern w:val="0"/>
          <w14:ligatures w14:val="none"/>
        </w:rPr>
      </w:pPr>
    </w:p>
    <w:p w14:paraId="22398BD1" w14:textId="0EF4306A" w:rsidR="00F502F7" w:rsidRDefault="004863AD" w:rsidP="00102A38">
      <w:pPr>
        <w:spacing w:after="0" w:line="276" w:lineRule="auto"/>
        <w:rPr>
          <w:rFonts w:ascii="Times New Roman" w:eastAsia="Times New Roman" w:hAnsi="Times New Roman" w:cs="Times New Roman"/>
          <w:color w:val="000000"/>
          <w:kern w:val="0"/>
          <w14:ligatures w14:val="none"/>
        </w:rPr>
      </w:pPr>
      <w:r w:rsidRPr="00A07271">
        <w:rPr>
          <w:rFonts w:ascii="Times New Roman" w:eastAsia="Times New Roman" w:hAnsi="Times New Roman" w:cs="Times New Roman"/>
          <w:b/>
          <w:bCs/>
          <w:color w:val="000000"/>
          <w:kern w:val="0"/>
          <w14:ligatures w14:val="none"/>
        </w:rPr>
        <w:t xml:space="preserve">Figure </w:t>
      </w:r>
      <w:r w:rsidR="00B1255D" w:rsidRPr="00A07271">
        <w:rPr>
          <w:rFonts w:ascii="Times New Roman" w:eastAsia="Times New Roman" w:hAnsi="Times New Roman" w:cs="Times New Roman"/>
          <w:b/>
          <w:bCs/>
          <w:color w:val="000000"/>
          <w:kern w:val="0"/>
          <w14:ligatures w14:val="none"/>
        </w:rPr>
        <w:t>3</w:t>
      </w:r>
      <w:r w:rsidRPr="00A07271">
        <w:rPr>
          <w:rFonts w:ascii="Times New Roman" w:eastAsia="Times New Roman" w:hAnsi="Times New Roman" w:cs="Times New Roman"/>
          <w:b/>
          <w:bCs/>
          <w:color w:val="000000"/>
          <w:kern w:val="0"/>
          <w14:ligatures w14:val="none"/>
        </w:rPr>
        <w:t xml:space="preserve">e. </w:t>
      </w:r>
      <w:r w:rsidR="00B1255D" w:rsidRPr="00A07271">
        <w:rPr>
          <w:rFonts w:ascii="Times New Roman" w:eastAsia="Times New Roman" w:hAnsi="Times New Roman" w:cs="Times New Roman"/>
          <w:color w:val="000000"/>
          <w:kern w:val="0"/>
          <w14:ligatures w14:val="none"/>
        </w:rPr>
        <w:t>ROC curve and performance metrics for the clinical classifier using urea, creatinine and BMI.</w:t>
      </w:r>
    </w:p>
    <w:p w14:paraId="09B6192B" w14:textId="77777777" w:rsidR="00A07271" w:rsidRPr="00A07271" w:rsidRDefault="00A07271" w:rsidP="00102A38">
      <w:pPr>
        <w:spacing w:after="0" w:line="276" w:lineRule="auto"/>
        <w:rPr>
          <w:rFonts w:ascii="Times New Roman" w:eastAsia="Times New Roman" w:hAnsi="Times New Roman" w:cs="Times New Roman"/>
          <w:color w:val="000000"/>
          <w:kern w:val="0"/>
          <w14:ligatures w14:val="none"/>
        </w:rPr>
      </w:pPr>
    </w:p>
    <w:p w14:paraId="3282F764" w14:textId="77777777" w:rsidR="004863AD" w:rsidRPr="00A07271" w:rsidRDefault="004863AD" w:rsidP="00102A38">
      <w:pPr>
        <w:spacing w:after="0" w:line="276" w:lineRule="auto"/>
        <w:rPr>
          <w:rFonts w:ascii="Times New Roman" w:eastAsia="Times New Roman" w:hAnsi="Times New Roman" w:cs="Times New Roman"/>
          <w:b/>
          <w:bCs/>
          <w:color w:val="000000"/>
          <w:kern w:val="0"/>
          <w14:ligatures w14:val="none"/>
        </w:rPr>
      </w:pPr>
    </w:p>
    <w:p w14:paraId="268253D4" w14:textId="2A6CA7A8" w:rsidR="003B6482" w:rsidRPr="00F502F7" w:rsidRDefault="003B6482" w:rsidP="00102A38">
      <w:pPr>
        <w:spacing w:after="0" w:line="276" w:lineRule="auto"/>
        <w:rPr>
          <w:rFonts w:ascii="Times New Roman" w:eastAsia="Times New Roman" w:hAnsi="Times New Roman" w:cs="Times New Roman"/>
          <w:color w:val="000000"/>
          <w:kern w:val="0"/>
          <w14:ligatures w14:val="none"/>
        </w:rPr>
      </w:pPr>
      <w:r w:rsidRPr="00A07271">
        <w:rPr>
          <w:rFonts w:ascii="Times New Roman" w:eastAsia="Times New Roman" w:hAnsi="Times New Roman" w:cs="Times New Roman"/>
          <w:b/>
          <w:bCs/>
          <w:color w:val="000000"/>
          <w:kern w:val="0"/>
          <w14:ligatures w14:val="none"/>
        </w:rPr>
        <w:t xml:space="preserve">3.3 </w:t>
      </w:r>
      <w:r w:rsidRPr="00A07271">
        <w:rPr>
          <w:rFonts w:ascii="Times New Roman" w:eastAsia="Times New Roman" w:hAnsi="Times New Roman" w:cs="Times New Roman"/>
          <w:color w:val="000000"/>
          <w:kern w:val="0"/>
          <w14:ligatures w14:val="none"/>
        </w:rPr>
        <w:t>Clinical data without eGFR</w:t>
      </w:r>
    </w:p>
    <w:p w14:paraId="14B59DE1" w14:textId="2F7E882D" w:rsidR="00F502F7" w:rsidRPr="00F502F7" w:rsidRDefault="00F502F7" w:rsidP="00102A38">
      <w:pPr>
        <w:spacing w:after="0" w:line="276" w:lineRule="auto"/>
        <w:rPr>
          <w:rFonts w:ascii="Times New Roman" w:eastAsia="Times New Roman" w:hAnsi="Times New Roman" w:cs="Times New Roman"/>
          <w:color w:val="000000"/>
          <w:kern w:val="0"/>
          <w14:ligatures w14:val="none"/>
        </w:rPr>
      </w:pPr>
      <w:r w:rsidRPr="00F502F7">
        <w:rPr>
          <w:rFonts w:ascii="Times New Roman" w:eastAsia="Times New Roman" w:hAnsi="Times New Roman" w:cs="Times New Roman"/>
          <w:color w:val="000000"/>
          <w:kern w:val="0"/>
          <w14:ligatures w14:val="none"/>
        </w:rPr>
        <w:t xml:space="preserve">These findings align with prior studies </w:t>
      </w:r>
      <w:r w:rsidR="00BA51FC" w:rsidRPr="00A07271">
        <w:rPr>
          <w:rFonts w:ascii="Times New Roman" w:eastAsia="Times New Roman" w:hAnsi="Times New Roman" w:cs="Times New Roman"/>
          <w:color w:val="000000"/>
          <w:kern w:val="0"/>
          <w14:ligatures w14:val="none"/>
        </w:rPr>
        <w:t>(</w:t>
      </w:r>
      <w:r w:rsidRPr="00F502F7">
        <w:rPr>
          <w:rFonts w:ascii="Times New Roman" w:eastAsia="Times New Roman" w:hAnsi="Times New Roman" w:cs="Times New Roman"/>
          <w:color w:val="000000"/>
          <w:kern w:val="0"/>
          <w14:ligatures w14:val="none"/>
        </w:rPr>
        <w:t>8</w:t>
      </w:r>
      <w:r w:rsidR="00BA51FC" w:rsidRPr="00A07271">
        <w:rPr>
          <w:rFonts w:ascii="Times New Roman" w:eastAsia="Times New Roman" w:hAnsi="Times New Roman" w:cs="Times New Roman"/>
          <w:color w:val="000000"/>
          <w:kern w:val="0"/>
          <w14:ligatures w14:val="none"/>
        </w:rPr>
        <w:t>)</w:t>
      </w:r>
      <w:r w:rsidRPr="00F502F7">
        <w:rPr>
          <w:rFonts w:ascii="Times New Roman" w:eastAsia="Times New Roman" w:hAnsi="Times New Roman" w:cs="Times New Roman"/>
          <w:color w:val="000000"/>
          <w:kern w:val="0"/>
          <w14:ligatures w14:val="none"/>
        </w:rPr>
        <w:t xml:space="preserve"> reporting that global metabolomic signatures in kidney disease often exhibit patient diversity rather than discrete clustering. While the metabolomic data confirm the presence of metabolic dysregulation, the absence of clear statistical segregation highlights the challenge of identifying reliable biomarkers for ESRD. This result therefore motivated further analysis of the clinical dataset excluding eGFR, to assess </w:t>
      </w:r>
      <w:r w:rsidRPr="00F502F7">
        <w:rPr>
          <w:rFonts w:ascii="Times New Roman" w:eastAsia="Times New Roman" w:hAnsi="Times New Roman" w:cs="Times New Roman"/>
          <w:color w:val="000000"/>
          <w:kern w:val="0"/>
          <w14:ligatures w14:val="none"/>
        </w:rPr>
        <w:lastRenderedPageBreak/>
        <w:t>whether subtler patterns might emerge once the highly dominant renal filtration signal was removed.</w:t>
      </w:r>
    </w:p>
    <w:p w14:paraId="1676891F" w14:textId="77777777" w:rsidR="00F502F7" w:rsidRPr="00F502F7" w:rsidRDefault="00F502F7" w:rsidP="00102A38">
      <w:pPr>
        <w:spacing w:after="0" w:line="276" w:lineRule="auto"/>
        <w:rPr>
          <w:rFonts w:ascii="Times New Roman" w:eastAsia="Times New Roman" w:hAnsi="Times New Roman" w:cs="Times New Roman"/>
          <w:color w:val="000000"/>
          <w:kern w:val="0"/>
          <w14:ligatures w14:val="none"/>
        </w:rPr>
      </w:pPr>
    </w:p>
    <w:p w14:paraId="5C772F92" w14:textId="268CD361" w:rsidR="00F502F7" w:rsidRPr="00F502F7" w:rsidRDefault="00F502F7" w:rsidP="00102A38">
      <w:pPr>
        <w:spacing w:after="0" w:line="276" w:lineRule="auto"/>
        <w:rPr>
          <w:rFonts w:ascii="Times New Roman" w:eastAsia="Times New Roman" w:hAnsi="Times New Roman" w:cs="Times New Roman"/>
          <w:color w:val="000000"/>
          <w:kern w:val="0"/>
          <w14:ligatures w14:val="none"/>
        </w:rPr>
      </w:pPr>
      <w:r w:rsidRPr="00F502F7">
        <w:rPr>
          <w:rFonts w:ascii="Times New Roman" w:eastAsia="Times New Roman" w:hAnsi="Times New Roman" w:cs="Times New Roman"/>
          <w:color w:val="000000"/>
          <w:kern w:val="0"/>
          <w14:ligatures w14:val="none"/>
        </w:rPr>
        <w:t xml:space="preserve">The decision to remove eGFR was driven by the central aim of the study: to determine whether commonly collected clinical features, specifically urea, creatinine and BMI, could form together to form a quantitative biomarker capable of distinguishing ESRD patients from healthy controls. </w:t>
      </w:r>
      <w:r w:rsidR="008B44B6" w:rsidRPr="00A07271">
        <w:rPr>
          <w:rFonts w:ascii="Times New Roman" w:eastAsia="Times New Roman" w:hAnsi="Times New Roman" w:cs="Times New Roman"/>
          <w:color w:val="000000"/>
          <w:kern w:val="0"/>
          <w14:ligatures w14:val="none"/>
        </w:rPr>
        <w:t>Since</w:t>
      </w:r>
      <w:r w:rsidRPr="00F502F7">
        <w:rPr>
          <w:rFonts w:ascii="Times New Roman" w:eastAsia="Times New Roman" w:hAnsi="Times New Roman" w:cs="Times New Roman"/>
          <w:color w:val="000000"/>
          <w:kern w:val="0"/>
          <w14:ligatures w14:val="none"/>
        </w:rPr>
        <w:t xml:space="preserve"> eGFR dominated both the variance structure made by PCA analysis and the RF classification accuracy, its presence prevented meaningful evaluation of these secondary features. In other words, as long as an already clinically important primary feature </w:t>
      </w:r>
      <w:r w:rsidR="00BA51FC" w:rsidRPr="00A07271">
        <w:rPr>
          <w:rFonts w:ascii="Times New Roman" w:eastAsia="Times New Roman" w:hAnsi="Times New Roman" w:cs="Times New Roman"/>
          <w:color w:val="000000"/>
          <w:kern w:val="0"/>
          <w14:ligatures w14:val="none"/>
        </w:rPr>
        <w:t>(</w:t>
      </w:r>
      <w:r w:rsidRPr="00F502F7">
        <w:rPr>
          <w:rFonts w:ascii="Times New Roman" w:eastAsia="Times New Roman" w:hAnsi="Times New Roman" w:cs="Times New Roman"/>
          <w:color w:val="000000"/>
          <w:kern w:val="0"/>
          <w14:ligatures w14:val="none"/>
        </w:rPr>
        <w:t>6</w:t>
      </w:r>
      <w:r w:rsidR="00BA51FC" w:rsidRPr="00A07271">
        <w:rPr>
          <w:rFonts w:ascii="Times New Roman" w:eastAsia="Times New Roman" w:hAnsi="Times New Roman" w:cs="Times New Roman"/>
          <w:color w:val="000000"/>
          <w:kern w:val="0"/>
          <w14:ligatures w14:val="none"/>
        </w:rPr>
        <w:t>)</w:t>
      </w:r>
      <w:r w:rsidRPr="00F502F7">
        <w:rPr>
          <w:rFonts w:ascii="Times New Roman" w:eastAsia="Times New Roman" w:hAnsi="Times New Roman" w:cs="Times New Roman"/>
          <w:color w:val="000000"/>
          <w:kern w:val="0"/>
          <w14:ligatures w14:val="none"/>
        </w:rPr>
        <w:t xml:space="preserve"> remained in the model, it was impossible to assess whether other clinical features (urea, creatinine or BMI) contributed any independent discriminatory value. Excluding eGFR was therefore essential to reveal whether these routinely measured parameters contain underlying patterns relevant to ESRD identification, particularly at earlier or less clinically obvious stages of renal decline.</w:t>
      </w:r>
    </w:p>
    <w:p w14:paraId="6368CE8D" w14:textId="77777777" w:rsidR="00F502F7" w:rsidRPr="00F502F7" w:rsidRDefault="00F502F7" w:rsidP="00102A38">
      <w:pPr>
        <w:spacing w:after="0" w:line="276" w:lineRule="auto"/>
        <w:rPr>
          <w:rFonts w:ascii="Times New Roman" w:eastAsia="Times New Roman" w:hAnsi="Times New Roman" w:cs="Times New Roman"/>
          <w:color w:val="000000"/>
          <w:kern w:val="0"/>
          <w14:ligatures w14:val="none"/>
        </w:rPr>
      </w:pPr>
    </w:p>
    <w:p w14:paraId="46C8E13F" w14:textId="23E72A81" w:rsidR="00F502F7" w:rsidRPr="00F502F7" w:rsidRDefault="00F502F7" w:rsidP="00102A38">
      <w:pPr>
        <w:spacing w:after="0" w:line="276" w:lineRule="auto"/>
        <w:rPr>
          <w:rFonts w:ascii="Times New Roman" w:eastAsia="Times New Roman" w:hAnsi="Times New Roman" w:cs="Times New Roman"/>
          <w:color w:val="000000"/>
          <w:kern w:val="0"/>
          <w14:ligatures w14:val="none"/>
        </w:rPr>
      </w:pPr>
      <w:r w:rsidRPr="00F502F7">
        <w:rPr>
          <w:rFonts w:ascii="Times New Roman" w:eastAsia="Times New Roman" w:hAnsi="Times New Roman" w:cs="Times New Roman"/>
          <w:color w:val="000000"/>
          <w:kern w:val="0"/>
          <w14:ligatures w14:val="none"/>
        </w:rPr>
        <w:t xml:space="preserve">When eGFR was excluded from the clinical dataset, the landscape changed dramatically. The PCA biplot </w:t>
      </w:r>
      <w:r w:rsidR="00F554CB" w:rsidRPr="00A07271">
        <w:rPr>
          <w:rFonts w:ascii="Times New Roman" w:eastAsia="Times New Roman" w:hAnsi="Times New Roman" w:cs="Times New Roman"/>
          <w:color w:val="000000"/>
          <w:kern w:val="0"/>
          <w14:ligatures w14:val="none"/>
        </w:rPr>
        <w:t xml:space="preserve">(see figure 3b) </w:t>
      </w:r>
      <w:r w:rsidRPr="00F502F7">
        <w:rPr>
          <w:rFonts w:ascii="Times New Roman" w:eastAsia="Times New Roman" w:hAnsi="Times New Roman" w:cs="Times New Roman"/>
          <w:color w:val="000000"/>
          <w:kern w:val="0"/>
          <w14:ligatures w14:val="none"/>
        </w:rPr>
        <w:t>showed that while ESRD samples remained clusters within a distinct region of principal-component space, control samples became more dispersed, suggesting greater metabolic and biochemical variability within the healthy cohort (Figure</w:t>
      </w:r>
      <w:r w:rsidR="00B1255D" w:rsidRPr="00A07271">
        <w:rPr>
          <w:rFonts w:ascii="Times New Roman" w:eastAsia="Times New Roman" w:hAnsi="Times New Roman" w:cs="Times New Roman"/>
          <w:color w:val="000000"/>
          <w:kern w:val="0"/>
          <w14:ligatures w14:val="none"/>
        </w:rPr>
        <w:t xml:space="preserve"> 3d</w:t>
      </w:r>
      <w:r w:rsidRPr="00F502F7">
        <w:rPr>
          <w:rFonts w:ascii="Times New Roman" w:eastAsia="Times New Roman" w:hAnsi="Times New Roman" w:cs="Times New Roman"/>
          <w:color w:val="000000"/>
          <w:kern w:val="0"/>
          <w14:ligatures w14:val="none"/>
        </w:rPr>
        <w:t>). To further investigate this, the PCA-transformed control samples were isolated and analysed separately, allowing clearer interpretation of feature loadings. The first principal component from this joint transformation of ESRD and control samples, without eGFR, appeared to capture a continuous gradient rather than a binary separation. This finding led to the hypothesis that this</w:t>
      </w:r>
      <w:r w:rsidRPr="00F502F7">
        <w:rPr>
          <w:rFonts w:ascii="Times New Roman" w:eastAsia="Times New Roman" w:hAnsi="Times New Roman" w:cs="Times New Roman"/>
          <w:color w:val="FF0000"/>
          <w:kern w:val="0"/>
          <w14:ligatures w14:val="none"/>
        </w:rPr>
        <w:t xml:space="preserve"> </w:t>
      </w:r>
      <w:r w:rsidRPr="00F502F7">
        <w:rPr>
          <w:rFonts w:ascii="Times New Roman" w:eastAsia="Times New Roman" w:hAnsi="Times New Roman" w:cs="Times New Roman"/>
          <w:color w:val="000000"/>
          <w:kern w:val="0"/>
          <w14:ligatures w14:val="none"/>
        </w:rPr>
        <w:t xml:space="preserve">gradient likely represents a </w:t>
      </w:r>
      <w:r w:rsidRPr="00F502F7">
        <w:rPr>
          <w:rFonts w:ascii="Times New Roman" w:eastAsia="Times New Roman" w:hAnsi="Times New Roman" w:cs="Times New Roman"/>
          <w:color w:val="000000"/>
          <w:kern w:val="0"/>
          <w14:ligatures w14:val="none"/>
        </w:rPr>
        <w:t>progression towards renal dysfunction, perhaps driven by subtle shifts in secondary biomarks instead of the stark division produced by eGFR itself.</w:t>
      </w:r>
    </w:p>
    <w:p w14:paraId="2376088D" w14:textId="77777777" w:rsidR="00F502F7" w:rsidRPr="00F502F7" w:rsidRDefault="00F502F7" w:rsidP="00102A38">
      <w:pPr>
        <w:spacing w:after="0" w:line="276" w:lineRule="auto"/>
        <w:rPr>
          <w:rFonts w:ascii="Times New Roman" w:eastAsia="Times New Roman" w:hAnsi="Times New Roman" w:cs="Times New Roman"/>
          <w:color w:val="000000"/>
          <w:kern w:val="0"/>
          <w14:ligatures w14:val="none"/>
        </w:rPr>
      </w:pPr>
    </w:p>
    <w:p w14:paraId="0232DAD3" w14:textId="086914CF" w:rsidR="00F502F7" w:rsidRPr="00A07271" w:rsidRDefault="00F502F7" w:rsidP="00102A38">
      <w:pPr>
        <w:spacing w:after="0" w:line="276" w:lineRule="auto"/>
        <w:rPr>
          <w:rFonts w:ascii="Times New Roman" w:eastAsia="Times New Roman" w:hAnsi="Times New Roman" w:cs="Times New Roman"/>
          <w:color w:val="000000"/>
          <w:kern w:val="0"/>
          <w14:ligatures w14:val="none"/>
        </w:rPr>
      </w:pPr>
      <w:r w:rsidRPr="00F502F7">
        <w:rPr>
          <w:rFonts w:ascii="Times New Roman" w:eastAsia="Times New Roman" w:hAnsi="Times New Roman" w:cs="Times New Roman"/>
          <w:color w:val="000000"/>
          <w:kern w:val="0"/>
          <w14:ligatures w14:val="none"/>
        </w:rPr>
        <w:t xml:space="preserve">The models </w:t>
      </w:r>
      <w:r w:rsidR="00F554CB" w:rsidRPr="00A07271">
        <w:rPr>
          <w:rFonts w:ascii="Times New Roman" w:eastAsia="Times New Roman" w:hAnsi="Times New Roman" w:cs="Times New Roman"/>
          <w:color w:val="000000"/>
          <w:kern w:val="0"/>
          <w14:ligatures w14:val="none"/>
        </w:rPr>
        <w:t xml:space="preserve">(see Figure 3e) </w:t>
      </w:r>
      <w:r w:rsidRPr="00F502F7">
        <w:rPr>
          <w:rFonts w:ascii="Times New Roman" w:eastAsia="Times New Roman" w:hAnsi="Times New Roman" w:cs="Times New Roman"/>
          <w:color w:val="000000"/>
          <w:kern w:val="0"/>
          <w14:ligatures w14:val="none"/>
        </w:rPr>
        <w:t>indicated that urea, creatinine, and BMI were the main contributors to PC1, together explaining over 70% of the variance. This aligns with known physiological relationships, as both urea and creatinine rise progressively as renal systems start to fail, while BMI can influence serum composition. The RF model reinforced these findings, the model achieved 100% accuracy using only these features, indicating that even without eGFR, there is still a clinically meaningful structure present.</w:t>
      </w:r>
    </w:p>
    <w:p w14:paraId="147A498B" w14:textId="77777777" w:rsidR="00F554CB" w:rsidRPr="00A07271" w:rsidRDefault="00F554CB" w:rsidP="00102A38">
      <w:pPr>
        <w:spacing w:after="0" w:line="276" w:lineRule="auto"/>
        <w:rPr>
          <w:rFonts w:ascii="Times New Roman" w:eastAsia="Times New Roman" w:hAnsi="Times New Roman" w:cs="Times New Roman"/>
          <w:color w:val="000000"/>
          <w:kern w:val="0"/>
          <w14:ligatures w14:val="none"/>
        </w:rPr>
      </w:pPr>
    </w:p>
    <w:p w14:paraId="46BF36AF" w14:textId="52F6D040" w:rsidR="00F554CB" w:rsidRPr="00A07271" w:rsidRDefault="001E07A1" w:rsidP="00102A38">
      <w:pPr>
        <w:spacing w:after="0" w:line="276" w:lineRule="auto"/>
        <w:jc w:val="center"/>
        <w:rPr>
          <w:rFonts w:ascii="Times New Roman" w:eastAsia="Times New Roman" w:hAnsi="Times New Roman" w:cs="Times New Roman"/>
          <w:color w:val="000000"/>
          <w:kern w:val="0"/>
          <w14:ligatures w14:val="none"/>
        </w:rPr>
      </w:pPr>
      <w:r w:rsidRPr="00A07271">
        <w:rPr>
          <w:rFonts w:ascii="Times New Roman" w:hAnsi="Times New Roman" w:cs="Times New Roman"/>
          <w:noProof/>
          <w:color w:val="000000"/>
        </w:rPr>
        <w:drawing>
          <wp:inline distT="0" distB="0" distL="0" distR="0" wp14:anchorId="4F4FFC0D" wp14:editId="25844984">
            <wp:extent cx="2747010" cy="1650365"/>
            <wp:effectExtent l="0" t="0" r="0" b="635"/>
            <wp:docPr id="176153665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47010" cy="1650365"/>
                    </a:xfrm>
                    <a:prstGeom prst="rect">
                      <a:avLst/>
                    </a:prstGeom>
                    <a:noFill/>
                    <a:ln>
                      <a:noFill/>
                    </a:ln>
                  </pic:spPr>
                </pic:pic>
              </a:graphicData>
            </a:graphic>
          </wp:inline>
        </w:drawing>
      </w:r>
    </w:p>
    <w:p w14:paraId="5F936B82" w14:textId="7771A588" w:rsidR="001E07A1" w:rsidRPr="00A07271" w:rsidRDefault="001E07A1" w:rsidP="00102A38">
      <w:pPr>
        <w:spacing w:after="0" w:line="276" w:lineRule="auto"/>
        <w:rPr>
          <w:rFonts w:ascii="Times New Roman" w:eastAsia="Times New Roman" w:hAnsi="Times New Roman" w:cs="Times New Roman"/>
          <w:color w:val="000000"/>
          <w:kern w:val="0"/>
          <w14:ligatures w14:val="none"/>
        </w:rPr>
      </w:pPr>
      <w:r w:rsidRPr="00A07271">
        <w:rPr>
          <w:rFonts w:ascii="Times New Roman" w:eastAsia="Times New Roman" w:hAnsi="Times New Roman" w:cs="Times New Roman"/>
          <w:b/>
          <w:bCs/>
          <w:color w:val="000000"/>
          <w:kern w:val="0"/>
          <w14:ligatures w14:val="none"/>
        </w:rPr>
        <w:t xml:space="preserve">Figure 4a. </w:t>
      </w:r>
      <w:r w:rsidR="00795EB5" w:rsidRPr="00A07271">
        <w:rPr>
          <w:rFonts w:ascii="Times New Roman" w:eastAsia="Times New Roman" w:hAnsi="Times New Roman" w:cs="Times New Roman"/>
          <w:color w:val="000000"/>
          <w:kern w:val="0"/>
          <w14:ligatures w14:val="none"/>
        </w:rPr>
        <w:t>Box-and-whisker plot showing BMI distributions across PC1-based quartiles in the eGFR excluded clinical dataset.</w:t>
      </w:r>
    </w:p>
    <w:p w14:paraId="30AE0AC6" w14:textId="77777777" w:rsidR="00795EB5" w:rsidRPr="00A07271" w:rsidRDefault="00795EB5" w:rsidP="00102A38">
      <w:pPr>
        <w:spacing w:after="0" w:line="276" w:lineRule="auto"/>
        <w:rPr>
          <w:rFonts w:ascii="Times New Roman" w:eastAsia="Times New Roman" w:hAnsi="Times New Roman" w:cs="Times New Roman"/>
          <w:color w:val="000000"/>
          <w:kern w:val="0"/>
          <w14:ligatures w14:val="none"/>
        </w:rPr>
      </w:pPr>
    </w:p>
    <w:p w14:paraId="72D03FDA" w14:textId="72061F59" w:rsidR="00795EB5" w:rsidRPr="00A07271" w:rsidRDefault="00CC174A" w:rsidP="00102A38">
      <w:pPr>
        <w:spacing w:after="0" w:line="276" w:lineRule="auto"/>
        <w:jc w:val="center"/>
        <w:rPr>
          <w:rFonts w:ascii="Times New Roman" w:eastAsia="Times New Roman" w:hAnsi="Times New Roman" w:cs="Times New Roman"/>
          <w:color w:val="000000"/>
          <w:kern w:val="0"/>
          <w14:ligatures w14:val="none"/>
        </w:rPr>
      </w:pPr>
      <w:r w:rsidRPr="00A07271">
        <w:rPr>
          <w:rFonts w:ascii="Times New Roman" w:hAnsi="Times New Roman" w:cs="Times New Roman"/>
          <w:noProof/>
          <w:color w:val="000000"/>
        </w:rPr>
        <w:drawing>
          <wp:inline distT="0" distB="0" distL="0" distR="0" wp14:anchorId="20B68769" wp14:editId="3F62E075">
            <wp:extent cx="2747010" cy="1650365"/>
            <wp:effectExtent l="0" t="0" r="0" b="635"/>
            <wp:docPr id="213558331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47010" cy="1650365"/>
                    </a:xfrm>
                    <a:prstGeom prst="rect">
                      <a:avLst/>
                    </a:prstGeom>
                    <a:noFill/>
                    <a:ln>
                      <a:noFill/>
                    </a:ln>
                  </pic:spPr>
                </pic:pic>
              </a:graphicData>
            </a:graphic>
          </wp:inline>
        </w:drawing>
      </w:r>
    </w:p>
    <w:p w14:paraId="54087FDE" w14:textId="54BFEEA5" w:rsidR="00CC174A" w:rsidRPr="00A07271" w:rsidRDefault="00CC174A" w:rsidP="00102A38">
      <w:pPr>
        <w:spacing w:after="0" w:line="276" w:lineRule="auto"/>
        <w:rPr>
          <w:rFonts w:ascii="Times New Roman" w:eastAsia="Times New Roman" w:hAnsi="Times New Roman" w:cs="Times New Roman"/>
          <w:color w:val="000000"/>
          <w:kern w:val="0"/>
          <w14:ligatures w14:val="none"/>
        </w:rPr>
      </w:pPr>
      <w:r w:rsidRPr="00A07271">
        <w:rPr>
          <w:rFonts w:ascii="Times New Roman" w:eastAsia="Times New Roman" w:hAnsi="Times New Roman" w:cs="Times New Roman"/>
          <w:b/>
          <w:bCs/>
          <w:color w:val="000000"/>
          <w:kern w:val="0"/>
          <w14:ligatures w14:val="none"/>
        </w:rPr>
        <w:t xml:space="preserve">Figure 4b. </w:t>
      </w:r>
      <w:r w:rsidRPr="00A07271">
        <w:rPr>
          <w:rFonts w:ascii="Times New Roman" w:eastAsia="Times New Roman" w:hAnsi="Times New Roman" w:cs="Times New Roman"/>
          <w:color w:val="000000"/>
          <w:kern w:val="0"/>
          <w14:ligatures w14:val="none"/>
        </w:rPr>
        <w:t xml:space="preserve">Box-and-whisker plot showing </w:t>
      </w:r>
      <w:r w:rsidRPr="00A07271">
        <w:rPr>
          <w:rFonts w:ascii="Times New Roman" w:eastAsia="Times New Roman" w:hAnsi="Times New Roman" w:cs="Times New Roman"/>
          <w:color w:val="000000"/>
          <w:kern w:val="0"/>
          <w14:ligatures w14:val="none"/>
        </w:rPr>
        <w:t xml:space="preserve">urea </w:t>
      </w:r>
      <w:r w:rsidRPr="00A07271">
        <w:rPr>
          <w:rFonts w:ascii="Times New Roman" w:eastAsia="Times New Roman" w:hAnsi="Times New Roman" w:cs="Times New Roman"/>
          <w:color w:val="000000"/>
          <w:kern w:val="0"/>
          <w14:ligatures w14:val="none"/>
        </w:rPr>
        <w:t>distributions across PC1-based quartiles in the eGFR excluded clinical dataset.</w:t>
      </w:r>
    </w:p>
    <w:p w14:paraId="5DA31174" w14:textId="77777777" w:rsidR="00CC174A" w:rsidRPr="00A07271" w:rsidRDefault="00CC174A" w:rsidP="00102A38">
      <w:pPr>
        <w:spacing w:after="0" w:line="276" w:lineRule="auto"/>
        <w:rPr>
          <w:rFonts w:ascii="Times New Roman" w:eastAsia="Times New Roman" w:hAnsi="Times New Roman" w:cs="Times New Roman"/>
          <w:color w:val="000000"/>
          <w:kern w:val="0"/>
          <w14:ligatures w14:val="none"/>
        </w:rPr>
      </w:pPr>
    </w:p>
    <w:p w14:paraId="0A850B59" w14:textId="77777777" w:rsidR="00CC174A" w:rsidRPr="00A07271" w:rsidRDefault="00CC174A" w:rsidP="00102A38">
      <w:pPr>
        <w:spacing w:after="0" w:line="276" w:lineRule="auto"/>
        <w:rPr>
          <w:rFonts w:ascii="Times New Roman" w:eastAsia="Times New Roman" w:hAnsi="Times New Roman" w:cs="Times New Roman"/>
          <w:color w:val="000000"/>
          <w:kern w:val="0"/>
          <w14:ligatures w14:val="none"/>
        </w:rPr>
      </w:pPr>
    </w:p>
    <w:p w14:paraId="0401428D" w14:textId="314CE7FC" w:rsidR="00CC174A" w:rsidRPr="00A07271" w:rsidRDefault="00507887" w:rsidP="00102A38">
      <w:pPr>
        <w:spacing w:after="0" w:line="276" w:lineRule="auto"/>
        <w:jc w:val="center"/>
        <w:rPr>
          <w:rFonts w:ascii="Times New Roman" w:eastAsia="Times New Roman" w:hAnsi="Times New Roman" w:cs="Times New Roman"/>
          <w:color w:val="000000"/>
          <w:kern w:val="0"/>
          <w14:ligatures w14:val="none"/>
        </w:rPr>
      </w:pPr>
      <w:r w:rsidRPr="00A07271">
        <w:rPr>
          <w:rFonts w:ascii="Times New Roman" w:hAnsi="Times New Roman" w:cs="Times New Roman"/>
          <w:noProof/>
          <w:color w:val="000000"/>
        </w:rPr>
        <w:drawing>
          <wp:inline distT="0" distB="0" distL="0" distR="0" wp14:anchorId="2A9D6785" wp14:editId="3DB20F3E">
            <wp:extent cx="2747010" cy="1644650"/>
            <wp:effectExtent l="0" t="0" r="0" b="6350"/>
            <wp:docPr id="11301016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747010" cy="1644650"/>
                    </a:xfrm>
                    <a:prstGeom prst="rect">
                      <a:avLst/>
                    </a:prstGeom>
                    <a:noFill/>
                    <a:ln>
                      <a:noFill/>
                    </a:ln>
                  </pic:spPr>
                </pic:pic>
              </a:graphicData>
            </a:graphic>
          </wp:inline>
        </w:drawing>
      </w:r>
    </w:p>
    <w:p w14:paraId="2F3DA79A" w14:textId="06D2AF9F" w:rsidR="00507887" w:rsidRPr="00F502F7" w:rsidRDefault="00507887" w:rsidP="00102A38">
      <w:pPr>
        <w:spacing w:after="0" w:line="276" w:lineRule="auto"/>
        <w:rPr>
          <w:rFonts w:ascii="Times New Roman" w:eastAsia="Times New Roman" w:hAnsi="Times New Roman" w:cs="Times New Roman"/>
          <w:color w:val="000000"/>
          <w:kern w:val="0"/>
          <w14:ligatures w14:val="none"/>
        </w:rPr>
      </w:pPr>
      <w:r w:rsidRPr="00A07271">
        <w:rPr>
          <w:rFonts w:ascii="Times New Roman" w:eastAsia="Times New Roman" w:hAnsi="Times New Roman" w:cs="Times New Roman"/>
          <w:b/>
          <w:bCs/>
          <w:color w:val="000000"/>
          <w:kern w:val="0"/>
          <w14:ligatures w14:val="none"/>
        </w:rPr>
        <w:t xml:space="preserve">Figure 4c. </w:t>
      </w:r>
      <w:r w:rsidRPr="00A07271">
        <w:rPr>
          <w:rFonts w:ascii="Times New Roman" w:eastAsia="Times New Roman" w:hAnsi="Times New Roman" w:cs="Times New Roman"/>
          <w:color w:val="000000"/>
          <w:kern w:val="0"/>
          <w14:ligatures w14:val="none"/>
        </w:rPr>
        <w:t xml:space="preserve">Box-and-whisker plot showing </w:t>
      </w:r>
      <w:r w:rsidRPr="00A07271">
        <w:rPr>
          <w:rFonts w:ascii="Times New Roman" w:eastAsia="Times New Roman" w:hAnsi="Times New Roman" w:cs="Times New Roman"/>
          <w:color w:val="000000"/>
          <w:kern w:val="0"/>
          <w14:ligatures w14:val="none"/>
        </w:rPr>
        <w:t>creatinine</w:t>
      </w:r>
      <w:r w:rsidRPr="00A07271">
        <w:rPr>
          <w:rFonts w:ascii="Times New Roman" w:eastAsia="Times New Roman" w:hAnsi="Times New Roman" w:cs="Times New Roman"/>
          <w:color w:val="000000"/>
          <w:kern w:val="0"/>
          <w14:ligatures w14:val="none"/>
        </w:rPr>
        <w:t xml:space="preserve"> distributions across PC1-based quartiles in the eGFR excluded clinical dataset.</w:t>
      </w:r>
    </w:p>
    <w:p w14:paraId="01EF74AE" w14:textId="32B2106B" w:rsidR="00C26FF0" w:rsidRPr="00A07271" w:rsidRDefault="00F502F7" w:rsidP="00102A38">
      <w:pPr>
        <w:spacing w:after="0" w:line="276" w:lineRule="auto"/>
        <w:rPr>
          <w:rFonts w:ascii="Times New Roman" w:eastAsia="Times New Roman" w:hAnsi="Times New Roman" w:cs="Times New Roman"/>
          <w:color w:val="000000"/>
          <w:kern w:val="0"/>
          <w14:ligatures w14:val="none"/>
        </w:rPr>
      </w:pPr>
      <w:r w:rsidRPr="00A07271">
        <w:rPr>
          <w:rFonts w:ascii="Times New Roman" w:eastAsia="Times New Roman" w:hAnsi="Times New Roman" w:cs="Times New Roman"/>
          <w:color w:val="000000"/>
          <w:kern w:val="0"/>
          <w14:ligatures w14:val="none"/>
        </w:rPr>
        <w:br/>
        <w:t>To validate the PCA interpretation, box-and-whisker plots were generated for the top three features identified in the biplot (Figure</w:t>
      </w:r>
      <w:r w:rsidR="00507887" w:rsidRPr="00A07271">
        <w:rPr>
          <w:rFonts w:ascii="Times New Roman" w:eastAsia="Times New Roman" w:hAnsi="Times New Roman" w:cs="Times New Roman"/>
          <w:color w:val="000000"/>
          <w:kern w:val="0"/>
          <w14:ligatures w14:val="none"/>
        </w:rPr>
        <w:t>s 4a, 4b and 4c</w:t>
      </w:r>
      <w:r w:rsidRPr="00A07271">
        <w:rPr>
          <w:rFonts w:ascii="Times New Roman" w:eastAsia="Times New Roman" w:hAnsi="Times New Roman" w:cs="Times New Roman"/>
          <w:color w:val="000000"/>
          <w:kern w:val="0"/>
          <w14:ligatures w14:val="none"/>
        </w:rPr>
        <w:t>). The control patients in the study were separated into 4 quartiles a total of three times, one for each of the three most significant features once eGFR was removed (urea, creatinine and BMI). The box-and-whisker plots were then created based off of this data. As shown in Figure</w:t>
      </w:r>
      <w:r w:rsidR="00507887" w:rsidRPr="00A07271">
        <w:rPr>
          <w:rFonts w:ascii="Times New Roman" w:eastAsia="Times New Roman" w:hAnsi="Times New Roman" w:cs="Times New Roman"/>
          <w:color w:val="000000"/>
          <w:kern w:val="0"/>
          <w14:ligatures w14:val="none"/>
        </w:rPr>
        <w:t>s</w:t>
      </w:r>
      <w:r w:rsidR="00C429CB" w:rsidRPr="00A07271">
        <w:rPr>
          <w:rFonts w:ascii="Times New Roman" w:eastAsia="Times New Roman" w:hAnsi="Times New Roman" w:cs="Times New Roman"/>
          <w:color w:val="000000"/>
          <w:kern w:val="0"/>
          <w14:ligatures w14:val="none"/>
        </w:rPr>
        <w:t xml:space="preserve"> 4b and 4c</w:t>
      </w:r>
      <w:r w:rsidRPr="00A07271">
        <w:rPr>
          <w:rFonts w:ascii="Times New Roman" w:eastAsia="Times New Roman" w:hAnsi="Times New Roman" w:cs="Times New Roman"/>
          <w:color w:val="000000"/>
          <w:kern w:val="0"/>
          <w14:ligatures w14:val="none"/>
        </w:rPr>
        <w:t>, urea and creatinine displayed clear upward trends across</w:t>
      </w:r>
      <w:r w:rsidRPr="00A07271">
        <w:rPr>
          <w:rFonts w:ascii="Times New Roman" w:eastAsia="Times New Roman" w:hAnsi="Times New Roman" w:cs="Times New Roman"/>
          <w:color w:val="FF0000"/>
          <w:kern w:val="0"/>
          <w14:ligatures w14:val="none"/>
        </w:rPr>
        <w:t xml:space="preserve"> </w:t>
      </w:r>
      <w:r w:rsidRPr="00A07271">
        <w:rPr>
          <w:rFonts w:ascii="Times New Roman" w:eastAsia="Times New Roman" w:hAnsi="Times New Roman" w:cs="Times New Roman"/>
          <w:color w:val="000000"/>
          <w:kern w:val="0"/>
          <w14:ligatures w14:val="none"/>
        </w:rPr>
        <w:t>quartiles of the control group, supporting the idea that these markers form a continuum reflecting early kidney function decline. Together, these results suggest that PC1, without the usage of eGFR, is a potential biomarker that captures the transition from healthy to dysfunctional renal status.</w:t>
      </w:r>
    </w:p>
    <w:p w14:paraId="5F03485C" w14:textId="77777777" w:rsidR="00F502F7" w:rsidRPr="00A07271" w:rsidRDefault="00F502F7" w:rsidP="00102A38">
      <w:pPr>
        <w:spacing w:after="0" w:line="276" w:lineRule="auto"/>
        <w:rPr>
          <w:rFonts w:ascii="Times New Roman" w:eastAsia="Times New Roman" w:hAnsi="Times New Roman" w:cs="Times New Roman"/>
          <w:color w:val="000000"/>
          <w:kern w:val="0"/>
          <w14:ligatures w14:val="none"/>
        </w:rPr>
      </w:pPr>
    </w:p>
    <w:p w14:paraId="28A2B921" w14:textId="65A4AE8D" w:rsidR="00F502F7" w:rsidRPr="00A07271" w:rsidRDefault="00E76AC2" w:rsidP="00102A38">
      <w:pPr>
        <w:pStyle w:val="ListParagraph"/>
        <w:numPr>
          <w:ilvl w:val="0"/>
          <w:numId w:val="3"/>
        </w:numPr>
        <w:spacing w:after="0" w:line="276" w:lineRule="auto"/>
        <w:rPr>
          <w:rFonts w:ascii="Times New Roman" w:eastAsia="Times New Roman" w:hAnsi="Times New Roman" w:cs="Times New Roman"/>
          <w:b/>
          <w:bCs/>
          <w:color w:val="000000"/>
          <w:kern w:val="0"/>
          <w14:ligatures w14:val="none"/>
        </w:rPr>
      </w:pPr>
      <w:r w:rsidRPr="00A07271">
        <w:rPr>
          <w:rFonts w:ascii="Times New Roman" w:eastAsia="Times New Roman" w:hAnsi="Times New Roman" w:cs="Times New Roman"/>
          <w:b/>
          <w:bCs/>
          <w:color w:val="000000"/>
          <w:kern w:val="0"/>
          <w14:ligatures w14:val="none"/>
        </w:rPr>
        <w:t>Analysis and reasoning</w:t>
      </w:r>
    </w:p>
    <w:p w14:paraId="5FF197CE" w14:textId="77777777" w:rsidR="00E76AC2" w:rsidRPr="00A07271" w:rsidRDefault="00E76AC2" w:rsidP="00102A38">
      <w:pPr>
        <w:spacing w:after="0" w:line="276" w:lineRule="auto"/>
        <w:rPr>
          <w:rFonts w:ascii="Times New Roman" w:eastAsia="Times New Roman" w:hAnsi="Times New Roman" w:cs="Times New Roman"/>
          <w:b/>
          <w:bCs/>
          <w:color w:val="000000"/>
          <w:kern w:val="0"/>
          <w14:ligatures w14:val="none"/>
        </w:rPr>
      </w:pPr>
    </w:p>
    <w:p w14:paraId="632F8DFA" w14:textId="776D2C7D" w:rsidR="00E76AC2" w:rsidRPr="00E76AC2" w:rsidRDefault="00E76AC2" w:rsidP="00102A38">
      <w:pPr>
        <w:spacing w:after="0" w:line="276" w:lineRule="auto"/>
        <w:rPr>
          <w:rFonts w:ascii="Times New Roman" w:eastAsia="Times New Roman" w:hAnsi="Times New Roman" w:cs="Times New Roman"/>
          <w:color w:val="000000"/>
          <w:kern w:val="0"/>
          <w14:ligatures w14:val="none"/>
        </w:rPr>
      </w:pPr>
      <w:r w:rsidRPr="00E76AC2">
        <w:rPr>
          <w:rFonts w:ascii="Times New Roman" w:eastAsia="Times New Roman" w:hAnsi="Times New Roman" w:cs="Times New Roman"/>
          <w:color w:val="000000"/>
          <w:kern w:val="0"/>
          <w14:ligatures w14:val="none"/>
        </w:rPr>
        <w:t xml:space="preserve">The first stage of analysis, which included all clinical variables such as the eGFR, produced a model with perfect accuracy. Both the PCA and RF showed that eGFR completely dominated the dataset’s variation and predictive strength. This was expected </w:t>
      </w:r>
      <w:r w:rsidRPr="00E76AC2">
        <w:rPr>
          <w:rFonts w:ascii="Times New Roman" w:eastAsia="Times New Roman" w:hAnsi="Times New Roman" w:cs="Times New Roman"/>
          <w:color w:val="000000"/>
          <w:kern w:val="0"/>
          <w14:ligatures w14:val="none"/>
        </w:rPr>
        <w:lastRenderedPageBreak/>
        <w:t xml:space="preserve">because eGFR is the most reliable and widely used measure of kidney function </w:t>
      </w:r>
      <w:r w:rsidR="00BA51FC" w:rsidRPr="00A07271">
        <w:rPr>
          <w:rFonts w:ascii="Times New Roman" w:eastAsia="Times New Roman" w:hAnsi="Times New Roman" w:cs="Times New Roman"/>
          <w:color w:val="000000"/>
          <w:kern w:val="0"/>
          <w14:ligatures w14:val="none"/>
        </w:rPr>
        <w:t>(</w:t>
      </w:r>
      <w:r w:rsidRPr="00E76AC2">
        <w:rPr>
          <w:rFonts w:ascii="Times New Roman" w:eastAsia="Times New Roman" w:hAnsi="Times New Roman" w:cs="Times New Roman"/>
          <w:color w:val="000000"/>
          <w:kern w:val="0"/>
          <w14:ligatures w14:val="none"/>
        </w:rPr>
        <w:t>7</w:t>
      </w:r>
      <w:r w:rsidR="00BA51FC" w:rsidRPr="00A07271">
        <w:rPr>
          <w:rFonts w:ascii="Times New Roman" w:eastAsia="Times New Roman" w:hAnsi="Times New Roman" w:cs="Times New Roman"/>
          <w:color w:val="000000"/>
          <w:kern w:val="0"/>
          <w14:ligatures w14:val="none"/>
        </w:rPr>
        <w:t>)</w:t>
      </w:r>
      <w:r w:rsidRPr="00E76AC2">
        <w:rPr>
          <w:rFonts w:ascii="Times New Roman" w:eastAsia="Times New Roman" w:hAnsi="Times New Roman" w:cs="Times New Roman"/>
          <w:color w:val="000000"/>
          <w:kern w:val="0"/>
          <w14:ligatures w14:val="none"/>
        </w:rPr>
        <w:t>. However, it also revealed a key limitation. Since eGFR is such a strong indicator, it overshadowed all the other clinical variables such as creatinine, urea, and body mass index (BMI). As a result, the model was not discovering anything new but was simply replicating existing medical knowledge that eGFR alone can separate healthy patients from those with kidney disease.</w:t>
      </w:r>
    </w:p>
    <w:p w14:paraId="3266A9A8" w14:textId="77777777" w:rsidR="00E76AC2" w:rsidRPr="00E76AC2" w:rsidRDefault="00E76AC2" w:rsidP="00102A38">
      <w:pPr>
        <w:spacing w:after="0" w:line="276" w:lineRule="auto"/>
        <w:rPr>
          <w:rFonts w:ascii="Times New Roman" w:eastAsia="Times New Roman" w:hAnsi="Times New Roman" w:cs="Times New Roman"/>
          <w:color w:val="000000"/>
          <w:kern w:val="0"/>
          <w14:ligatures w14:val="none"/>
        </w:rPr>
      </w:pPr>
    </w:p>
    <w:p w14:paraId="278752D9" w14:textId="77777777" w:rsidR="00E76AC2" w:rsidRPr="00E76AC2" w:rsidRDefault="00E76AC2" w:rsidP="00102A38">
      <w:pPr>
        <w:spacing w:after="0" w:line="276" w:lineRule="auto"/>
        <w:rPr>
          <w:rFonts w:ascii="Times New Roman" w:eastAsia="Times New Roman" w:hAnsi="Times New Roman" w:cs="Times New Roman"/>
          <w:color w:val="000000"/>
          <w:kern w:val="0"/>
          <w14:ligatures w14:val="none"/>
        </w:rPr>
      </w:pPr>
      <w:r w:rsidRPr="00E76AC2">
        <w:rPr>
          <w:rFonts w:ascii="Times New Roman" w:eastAsia="Times New Roman" w:hAnsi="Times New Roman" w:cs="Times New Roman"/>
          <w:color w:val="000000"/>
          <w:kern w:val="0"/>
          <w14:ligatures w14:val="none"/>
        </w:rPr>
        <w:t>To explore whether there were hidden patterns that could reveal earlier clinical change it was best to remove eGFR from the dataset. This decision aimed to test if other clinical variables could still show meaningful structure when eGFR was excluded. Doing so forced the PCA to reorganise how it explained the variance, allowing new relationships between smaller variables to surface.</w:t>
      </w:r>
    </w:p>
    <w:p w14:paraId="0D8206E2" w14:textId="77777777" w:rsidR="00E76AC2" w:rsidRPr="00E76AC2" w:rsidRDefault="00E76AC2" w:rsidP="00102A38">
      <w:pPr>
        <w:spacing w:after="0" w:line="276" w:lineRule="auto"/>
        <w:rPr>
          <w:rFonts w:ascii="Times New Roman" w:eastAsia="Times New Roman" w:hAnsi="Times New Roman" w:cs="Times New Roman"/>
          <w:color w:val="000000"/>
          <w:kern w:val="0"/>
          <w14:ligatures w14:val="none"/>
        </w:rPr>
      </w:pPr>
    </w:p>
    <w:p w14:paraId="504EBA7B" w14:textId="2D360A1B" w:rsidR="00E76AC2" w:rsidRPr="00E76AC2" w:rsidRDefault="00E76AC2" w:rsidP="00102A38">
      <w:pPr>
        <w:spacing w:after="0" w:line="276" w:lineRule="auto"/>
        <w:rPr>
          <w:rFonts w:ascii="Times New Roman" w:eastAsia="Times New Roman" w:hAnsi="Times New Roman" w:cs="Times New Roman"/>
          <w:color w:val="000000"/>
          <w:kern w:val="0"/>
          <w14:ligatures w14:val="none"/>
        </w:rPr>
      </w:pPr>
      <w:r w:rsidRPr="00E76AC2">
        <w:rPr>
          <w:rFonts w:ascii="Times New Roman" w:eastAsia="Times New Roman" w:hAnsi="Times New Roman" w:cs="Times New Roman"/>
          <w:color w:val="000000"/>
          <w:kern w:val="0"/>
          <w14:ligatures w14:val="none"/>
        </w:rPr>
        <w:t>After eGFR was removed, the results changed in an interesting way. The first principal component (PC1) continued to explain most of the variance between healthy and diseased patients</w:t>
      </w:r>
      <w:r w:rsidR="00C429CB" w:rsidRPr="00A07271">
        <w:rPr>
          <w:rFonts w:ascii="Times New Roman" w:eastAsia="Times New Roman" w:hAnsi="Times New Roman" w:cs="Times New Roman"/>
          <w:color w:val="000000"/>
          <w:kern w:val="0"/>
          <w14:ligatures w14:val="none"/>
        </w:rPr>
        <w:t xml:space="preserve"> (see figure 3b)</w:t>
      </w:r>
      <w:r w:rsidRPr="00E76AC2">
        <w:rPr>
          <w:rFonts w:ascii="Times New Roman" w:eastAsia="Times New Roman" w:hAnsi="Times New Roman" w:cs="Times New Roman"/>
          <w:color w:val="000000"/>
          <w:kern w:val="0"/>
          <w14:ligatures w14:val="none"/>
        </w:rPr>
        <w:t>. Along</w:t>
      </w:r>
      <w:r w:rsidR="004E4CBB" w:rsidRPr="00A07271">
        <w:rPr>
          <w:rFonts w:ascii="Times New Roman" w:eastAsia="Times New Roman" w:hAnsi="Times New Roman" w:cs="Times New Roman"/>
          <w:color w:val="000000"/>
          <w:kern w:val="0"/>
          <w14:ligatures w14:val="none"/>
        </w:rPr>
        <w:t xml:space="preserve"> </w:t>
      </w:r>
      <w:r w:rsidRPr="00E76AC2">
        <w:rPr>
          <w:rFonts w:ascii="Times New Roman" w:eastAsia="Times New Roman" w:hAnsi="Times New Roman" w:cs="Times New Roman"/>
          <w:color w:val="000000"/>
          <w:kern w:val="0"/>
          <w14:ligatures w14:val="none"/>
        </w:rPr>
        <w:t>PC1, the control group formed a continuous gradient that appeared to exhibit a gradual transition in kidney health status. ESRD patients clustered tightly at one end of the axis, while the control group spread across the rest of it. The loadings showed that urea, creatinine, and BMI were the strongest contributors to this new component. These markers are biologically linked to kidney function, so it made sense that together they might represent a more subtle form of metabolic change related to early renal decline.</w:t>
      </w:r>
    </w:p>
    <w:p w14:paraId="7754EB3B" w14:textId="77777777" w:rsidR="00E76AC2" w:rsidRPr="00E76AC2" w:rsidRDefault="00E76AC2" w:rsidP="00102A38">
      <w:pPr>
        <w:spacing w:after="0" w:line="276" w:lineRule="auto"/>
        <w:rPr>
          <w:rFonts w:ascii="Times New Roman" w:eastAsia="Times New Roman" w:hAnsi="Times New Roman" w:cs="Times New Roman"/>
          <w:color w:val="000000"/>
          <w:kern w:val="0"/>
          <w14:ligatures w14:val="none"/>
        </w:rPr>
      </w:pPr>
    </w:p>
    <w:p w14:paraId="0FD11B84" w14:textId="77777777" w:rsidR="00E76AC2" w:rsidRPr="00E76AC2" w:rsidRDefault="00E76AC2" w:rsidP="00102A38">
      <w:pPr>
        <w:spacing w:after="0" w:line="276" w:lineRule="auto"/>
        <w:rPr>
          <w:rFonts w:ascii="Times New Roman" w:eastAsia="Times New Roman" w:hAnsi="Times New Roman" w:cs="Times New Roman"/>
          <w:color w:val="000000"/>
          <w:kern w:val="0"/>
          <w14:ligatures w14:val="none"/>
        </w:rPr>
      </w:pPr>
      <w:r w:rsidRPr="00E76AC2">
        <w:rPr>
          <w:rFonts w:ascii="Times New Roman" w:eastAsia="Times New Roman" w:hAnsi="Times New Roman" w:cs="Times New Roman"/>
          <w:color w:val="000000"/>
          <w:kern w:val="0"/>
          <w14:ligatures w14:val="none"/>
        </w:rPr>
        <w:t xml:space="preserve">This observation led me to interpret PC1 as more than just a mathematical dimension; it might represent a biological process. Because urea and creatinine increase as </w:t>
      </w:r>
      <w:r w:rsidRPr="00E76AC2">
        <w:rPr>
          <w:rFonts w:ascii="Times New Roman" w:eastAsia="Times New Roman" w:hAnsi="Times New Roman" w:cs="Times New Roman"/>
          <w:color w:val="000000"/>
          <w:kern w:val="0"/>
          <w14:ligatures w14:val="none"/>
        </w:rPr>
        <w:t>kidney filtration worsens, their strong influence on PC1 suggested that the component was summarising the biochemical pathway of renal stress. The wider spread among the control samples suggested something even more intriguing: even among people considered healthy, there appeared to be internal variation that could represent early or preclinical stages of kidney stress that standard eGFR testing would not yet detect.</w:t>
      </w:r>
    </w:p>
    <w:p w14:paraId="64194BC7" w14:textId="77777777" w:rsidR="00E76AC2" w:rsidRPr="00E76AC2" w:rsidRDefault="00E76AC2" w:rsidP="00102A38">
      <w:pPr>
        <w:spacing w:after="0" w:line="276" w:lineRule="auto"/>
        <w:rPr>
          <w:rFonts w:ascii="Times New Roman" w:eastAsia="Times New Roman" w:hAnsi="Times New Roman" w:cs="Times New Roman"/>
          <w:color w:val="000000"/>
          <w:kern w:val="0"/>
          <w14:ligatures w14:val="none"/>
        </w:rPr>
      </w:pPr>
    </w:p>
    <w:p w14:paraId="397CED4E" w14:textId="09BA4C77" w:rsidR="00E76AC2" w:rsidRPr="00E76AC2" w:rsidRDefault="00E76AC2" w:rsidP="00102A38">
      <w:pPr>
        <w:spacing w:after="0" w:line="276" w:lineRule="auto"/>
        <w:rPr>
          <w:rFonts w:ascii="Times New Roman" w:eastAsia="Times New Roman" w:hAnsi="Times New Roman" w:cs="Times New Roman"/>
          <w:color w:val="000000"/>
          <w:kern w:val="0"/>
          <w14:ligatures w14:val="none"/>
        </w:rPr>
      </w:pPr>
      <w:r w:rsidRPr="00E76AC2">
        <w:rPr>
          <w:rFonts w:ascii="Times New Roman" w:eastAsia="Times New Roman" w:hAnsi="Times New Roman" w:cs="Times New Roman"/>
          <w:color w:val="000000"/>
          <w:kern w:val="0"/>
          <w14:ligatures w14:val="none"/>
        </w:rPr>
        <w:t>To evaluate whether the gradient observed along PC1 carried biological significance, the control cohort was stratified into quartiles according to their PC1 scores</w:t>
      </w:r>
      <w:r w:rsidR="007B5C5E" w:rsidRPr="00A07271">
        <w:rPr>
          <w:rFonts w:ascii="Times New Roman" w:eastAsia="Times New Roman" w:hAnsi="Times New Roman" w:cs="Times New Roman"/>
          <w:color w:val="000000"/>
          <w:kern w:val="0"/>
          <w14:ligatures w14:val="none"/>
        </w:rPr>
        <w:t xml:space="preserve"> (see figures 4a, 4b and 4c)</w:t>
      </w:r>
      <w:r w:rsidRPr="00E76AC2">
        <w:rPr>
          <w:rFonts w:ascii="Times New Roman" w:eastAsia="Times New Roman" w:hAnsi="Times New Roman" w:cs="Times New Roman"/>
          <w:color w:val="000000"/>
          <w:kern w:val="0"/>
          <w14:ligatures w14:val="none"/>
        </w:rPr>
        <w:t>. This stratification enabled examination of whether subtle, internally ordered variation existed even within the healthy groups. By comparing urea, creatinine and BMI across these quartiles, a clear stepwise pattern emerged: individuals in higher PC1 quartiles consistently showed marginally elevated values relative to those in lower quartiles. Rather than merely reiterating expected trends, this quartile-based analysis demonstrated that the variation captured by PC1 may reflect early changes in kidney function that occur before the disease becomes noticeable. In this sense, dividing the control samples into quartiles provided evidence that the underlying structure of the dataset captures a continuum of renal function, suggesting these changes could be detected before ESRD becomes clinically noticeable and can be diagnosed by doctors.</w:t>
      </w:r>
    </w:p>
    <w:p w14:paraId="08A8A547" w14:textId="77777777" w:rsidR="00E76AC2" w:rsidRPr="00E76AC2" w:rsidRDefault="00E76AC2" w:rsidP="00102A38">
      <w:pPr>
        <w:spacing w:after="0" w:line="276" w:lineRule="auto"/>
        <w:rPr>
          <w:rFonts w:ascii="Times New Roman" w:eastAsia="Times New Roman" w:hAnsi="Times New Roman" w:cs="Times New Roman"/>
          <w:color w:val="000000"/>
          <w:kern w:val="0"/>
          <w14:ligatures w14:val="none"/>
        </w:rPr>
      </w:pPr>
    </w:p>
    <w:p w14:paraId="48D94366" w14:textId="77777777" w:rsidR="00E76AC2" w:rsidRPr="00E76AC2" w:rsidRDefault="00E76AC2" w:rsidP="00102A38">
      <w:pPr>
        <w:spacing w:after="0" w:line="276" w:lineRule="auto"/>
        <w:rPr>
          <w:rFonts w:ascii="Times New Roman" w:eastAsia="Times New Roman" w:hAnsi="Times New Roman" w:cs="Times New Roman"/>
          <w:color w:val="000000"/>
          <w:kern w:val="0"/>
          <w14:ligatures w14:val="none"/>
        </w:rPr>
      </w:pPr>
      <w:r w:rsidRPr="00E76AC2">
        <w:rPr>
          <w:rFonts w:ascii="Times New Roman" w:eastAsia="Times New Roman" w:hAnsi="Times New Roman" w:cs="Times New Roman"/>
          <w:color w:val="000000"/>
          <w:kern w:val="0"/>
          <w14:ligatures w14:val="none"/>
        </w:rPr>
        <w:t xml:space="preserve">From this, I developed a new hypothesis: PC1, created from both healthy and ESRD patients but without eGFR, acts as a biomarker representing progression toward kidney disease. This means PC1 could reflect stages of biochemical change that occur long before eGFR starts to fall. Each quartile within the control group could represent one of these early stages, moving </w:t>
      </w:r>
      <w:r w:rsidRPr="00E76AC2">
        <w:rPr>
          <w:rFonts w:ascii="Times New Roman" w:eastAsia="Times New Roman" w:hAnsi="Times New Roman" w:cs="Times New Roman"/>
          <w:color w:val="000000"/>
          <w:kern w:val="0"/>
          <w14:ligatures w14:val="none"/>
        </w:rPr>
        <w:lastRenderedPageBreak/>
        <w:t>step by step from normal metabolism (Q1) toward early dysfunction (Q4), and eventually reaching ESRD. If this pattern holds true in larger studies, it suggests that kidney decline may not be a sudden event but a gradual, measurable continuum that can be tracked through biochemical variation.</w:t>
      </w:r>
    </w:p>
    <w:p w14:paraId="51FB7925" w14:textId="77777777" w:rsidR="00E76AC2" w:rsidRPr="00E76AC2" w:rsidRDefault="00E76AC2" w:rsidP="00102A38">
      <w:pPr>
        <w:spacing w:after="0" w:line="276" w:lineRule="auto"/>
        <w:rPr>
          <w:rFonts w:ascii="Times New Roman" w:eastAsia="Times New Roman" w:hAnsi="Times New Roman" w:cs="Times New Roman"/>
          <w:color w:val="000000"/>
          <w:kern w:val="0"/>
          <w14:ligatures w14:val="none"/>
        </w:rPr>
      </w:pPr>
    </w:p>
    <w:p w14:paraId="486AF2C7" w14:textId="57452A9C" w:rsidR="004E4CBB" w:rsidRPr="00A07271" w:rsidRDefault="00E76AC2" w:rsidP="00102A38">
      <w:pPr>
        <w:spacing w:after="0" w:line="276" w:lineRule="auto"/>
        <w:rPr>
          <w:rFonts w:ascii="Times New Roman" w:eastAsia="Times New Roman" w:hAnsi="Times New Roman" w:cs="Times New Roman"/>
          <w:color w:val="000000"/>
          <w:kern w:val="0"/>
          <w14:ligatures w14:val="none"/>
        </w:rPr>
      </w:pPr>
      <w:r w:rsidRPr="00E76AC2">
        <w:rPr>
          <w:rFonts w:ascii="Times New Roman" w:eastAsia="Times New Roman" w:hAnsi="Times New Roman" w:cs="Times New Roman"/>
          <w:color w:val="000000"/>
          <w:kern w:val="0"/>
          <w14:ligatures w14:val="none"/>
        </w:rPr>
        <w:t>This difference between PC1 and eGFR is key. eGFR is a single calculated value that estimates kidney filtration ability at one point in time. It works well for diagnosis but only shows change after significant damage has already occurred. PC1, however, combines small changes from several biochemical measures into one continuous value. It does not classify patients into fixed categories but instead</w:t>
      </w:r>
      <w:r w:rsidR="00327176" w:rsidRPr="00A07271">
        <w:rPr>
          <w:rFonts w:ascii="Times New Roman" w:eastAsia="Times New Roman" w:hAnsi="Times New Roman" w:cs="Times New Roman"/>
          <w:color w:val="000000"/>
          <w:kern w:val="0"/>
          <w14:ligatures w14:val="none"/>
        </w:rPr>
        <w:t>,</w:t>
      </w:r>
      <w:r w:rsidRPr="00E76AC2">
        <w:rPr>
          <w:rFonts w:ascii="Times New Roman" w:eastAsia="Times New Roman" w:hAnsi="Times New Roman" w:cs="Times New Roman"/>
          <w:color w:val="000000"/>
          <w:kern w:val="0"/>
          <w14:ligatures w14:val="none"/>
        </w:rPr>
        <w:t xml:space="preserve"> shows their position along a spectrum of renal progression. In this sense, PC1 might detect the beginnings of kidney stress that eGFR cannot yet measure.</w:t>
      </w:r>
    </w:p>
    <w:p w14:paraId="07F82F8F" w14:textId="77777777" w:rsidR="00327176" w:rsidRPr="00E76AC2" w:rsidRDefault="00327176" w:rsidP="00102A38">
      <w:pPr>
        <w:spacing w:after="0" w:line="276" w:lineRule="auto"/>
        <w:rPr>
          <w:rFonts w:ascii="Times New Roman" w:eastAsia="Times New Roman" w:hAnsi="Times New Roman" w:cs="Times New Roman"/>
          <w:color w:val="000000"/>
          <w:kern w:val="0"/>
          <w14:ligatures w14:val="none"/>
        </w:rPr>
      </w:pPr>
    </w:p>
    <w:p w14:paraId="7A15630B" w14:textId="66BD03FE" w:rsidR="00E76AC2" w:rsidRPr="00A07271" w:rsidRDefault="00E76AC2" w:rsidP="00102A38">
      <w:pPr>
        <w:spacing w:after="0" w:line="276" w:lineRule="auto"/>
        <w:rPr>
          <w:rFonts w:ascii="Times New Roman" w:eastAsia="Times New Roman" w:hAnsi="Times New Roman" w:cs="Times New Roman"/>
          <w:color w:val="000000"/>
          <w:kern w:val="0"/>
          <w14:ligatures w14:val="none"/>
        </w:rPr>
      </w:pPr>
      <w:r w:rsidRPr="00E76AC2">
        <w:rPr>
          <w:rFonts w:ascii="Times New Roman" w:eastAsia="Times New Roman" w:hAnsi="Times New Roman" w:cs="Times New Roman"/>
          <w:color w:val="000000"/>
          <w:kern w:val="0"/>
          <w14:ligatures w14:val="none"/>
        </w:rPr>
        <w:t>The strength of this finding lies in how PCA combines weak signals into a stronger, more reliable indicator. Each marker on its own, such as urea or BMI, might not provide much information, but together they create a clearer picture of how kidney health changes over time. By examining variation across PC1 and splitting the data into quartiles, it became possible to see that there may be multiple biochemical stages between being fully healthy and developing ESRD.</w:t>
      </w:r>
    </w:p>
    <w:p w14:paraId="7E4C42CE" w14:textId="77777777" w:rsidR="00E76AC2" w:rsidRPr="00E76AC2" w:rsidRDefault="00E76AC2" w:rsidP="00102A38">
      <w:pPr>
        <w:spacing w:after="0" w:line="276" w:lineRule="auto"/>
        <w:rPr>
          <w:rFonts w:ascii="Times New Roman" w:eastAsia="Times New Roman" w:hAnsi="Times New Roman" w:cs="Times New Roman"/>
          <w:color w:val="000000"/>
          <w:kern w:val="0"/>
          <w14:ligatures w14:val="none"/>
        </w:rPr>
      </w:pPr>
    </w:p>
    <w:p w14:paraId="21858BF8" w14:textId="77777777" w:rsidR="00E76AC2" w:rsidRPr="00E76AC2" w:rsidRDefault="00E76AC2" w:rsidP="00102A38">
      <w:pPr>
        <w:spacing w:after="0" w:line="276" w:lineRule="auto"/>
        <w:rPr>
          <w:rFonts w:ascii="Times New Roman" w:eastAsia="Times New Roman" w:hAnsi="Times New Roman" w:cs="Times New Roman"/>
          <w:color w:val="000000"/>
          <w:kern w:val="0"/>
          <w14:ligatures w14:val="none"/>
        </w:rPr>
      </w:pPr>
      <w:r w:rsidRPr="00E76AC2">
        <w:rPr>
          <w:rFonts w:ascii="Times New Roman" w:eastAsia="Times New Roman" w:hAnsi="Times New Roman" w:cs="Times New Roman"/>
          <w:color w:val="000000"/>
          <w:kern w:val="0"/>
          <w14:ligatures w14:val="none"/>
        </w:rPr>
        <w:t xml:space="preserve">In conclusion, removing eGFR transformed the analysis from confirming a known medical test into uncovering a new way of understanding kidney disease progression. The results suggest that PC1 captures a gradual biochemical shift from health to disease, with each quartile representing a potential stage along that path. eGFR remains an important diagnostic tool that tells us when kidney function has fallen below normal, but PC1 might show how that </w:t>
      </w:r>
      <w:r w:rsidRPr="00E76AC2">
        <w:rPr>
          <w:rFonts w:ascii="Times New Roman" w:eastAsia="Times New Roman" w:hAnsi="Times New Roman" w:cs="Times New Roman"/>
          <w:color w:val="000000"/>
          <w:kern w:val="0"/>
          <w14:ligatures w14:val="none"/>
        </w:rPr>
        <w:t>decline begins and develops. This makes PC1 a promising continuous biomarker for identifying early risk and understanding the subtle, stepwise changes that lead to ESRD. Future research using larger datasets and longitudinal tracking could confirm whether shifts along PC1 consistently predict later drops in eGFR, opening a new window into early detection and prevention of kidney disease. </w:t>
      </w:r>
    </w:p>
    <w:p w14:paraId="1B575D06" w14:textId="77777777" w:rsidR="00E76AC2" w:rsidRPr="00E76AC2" w:rsidRDefault="00E76AC2" w:rsidP="00102A38">
      <w:pPr>
        <w:spacing w:after="0" w:line="276" w:lineRule="auto"/>
        <w:rPr>
          <w:rFonts w:ascii="Times New Roman" w:eastAsia="Times New Roman" w:hAnsi="Times New Roman" w:cs="Times New Roman"/>
          <w:color w:val="000000"/>
          <w:kern w:val="0"/>
          <w14:ligatures w14:val="none"/>
        </w:rPr>
      </w:pPr>
    </w:p>
    <w:p w14:paraId="4D5880DA" w14:textId="09E0C1BA" w:rsidR="00E76AC2" w:rsidRPr="00A07271" w:rsidRDefault="00E76AC2" w:rsidP="00102A38">
      <w:pPr>
        <w:spacing w:after="0" w:line="276" w:lineRule="auto"/>
        <w:rPr>
          <w:rFonts w:ascii="Times New Roman" w:eastAsia="Times New Roman" w:hAnsi="Times New Roman" w:cs="Times New Roman"/>
          <w:color w:val="000000"/>
          <w:kern w:val="0"/>
          <w14:ligatures w14:val="none"/>
        </w:rPr>
      </w:pPr>
      <w:r w:rsidRPr="00E76AC2">
        <w:rPr>
          <w:rFonts w:ascii="Times New Roman" w:eastAsia="Times New Roman" w:hAnsi="Times New Roman" w:cs="Times New Roman"/>
          <w:color w:val="000000"/>
          <w:kern w:val="0"/>
          <w14:ligatures w14:val="none"/>
        </w:rPr>
        <w:t xml:space="preserve">Finally, the clinical implications of these findings are substantial. ESRD is typically diagnosed only after substantial, often irreversible loss of kidney function, at which point patients require dialysis or transplantation, both resource-intensive treatments associated with high morbidity, reduced quality of life, and heavy healthcare costs </w:t>
      </w:r>
      <w:r w:rsidR="00BA51FC" w:rsidRPr="00A07271">
        <w:rPr>
          <w:rFonts w:ascii="Times New Roman" w:eastAsia="Times New Roman" w:hAnsi="Times New Roman" w:cs="Times New Roman"/>
          <w:color w:val="000000"/>
          <w:kern w:val="0"/>
          <w14:ligatures w14:val="none"/>
        </w:rPr>
        <w:t>(</w:t>
      </w:r>
      <w:r w:rsidRPr="00E76AC2">
        <w:rPr>
          <w:rFonts w:ascii="Times New Roman" w:eastAsia="Times New Roman" w:hAnsi="Times New Roman" w:cs="Times New Roman"/>
          <w:color w:val="000000"/>
          <w:kern w:val="0"/>
          <w14:ligatures w14:val="none"/>
        </w:rPr>
        <w:t>5</w:t>
      </w:r>
      <w:r w:rsidR="00BA51FC" w:rsidRPr="00A07271">
        <w:rPr>
          <w:rFonts w:ascii="Times New Roman" w:eastAsia="Times New Roman" w:hAnsi="Times New Roman" w:cs="Times New Roman"/>
          <w:color w:val="000000"/>
          <w:kern w:val="0"/>
          <w14:ligatures w14:val="none"/>
        </w:rPr>
        <w:t>)</w:t>
      </w:r>
      <w:r w:rsidRPr="00E76AC2">
        <w:rPr>
          <w:rFonts w:ascii="Times New Roman" w:eastAsia="Times New Roman" w:hAnsi="Times New Roman" w:cs="Times New Roman"/>
          <w:color w:val="000000"/>
          <w:kern w:val="0"/>
          <w14:ligatures w14:val="none"/>
        </w:rPr>
        <w:t>. Current diagnostic pathways rely heavily on eGFR, which is highly accurate at identifying advanced disease but is relatively insensitive to early or intermediate decline in renal function. By contrast, the quantitative biomarker proposed in this study - derived from routine measurements of urea, creatinine and BMI - offers a potential means of identifying risk at a much earlier stage. Detecting subtle physiological shifts before eGFR falls allows clinicians to intervene with preventative measures, slow disease progression, optimize patient monitoring, and potentially delay or even avoid the transition to ESRD. which could save hundreds of thousands of lives each year. In practice, such an early-stage biomarker could transform ESRD management from a reactive model centred on late-stage treatment to a proactive framework focused on early identification, prevention and targeted care.</w:t>
      </w:r>
    </w:p>
    <w:p w14:paraId="56C70B04" w14:textId="77777777" w:rsidR="00D11AA2" w:rsidRPr="00A07271" w:rsidRDefault="00D11AA2" w:rsidP="00102A38">
      <w:pPr>
        <w:spacing w:after="0" w:line="276" w:lineRule="auto"/>
        <w:rPr>
          <w:rFonts w:ascii="Times New Roman" w:eastAsia="Times New Roman" w:hAnsi="Times New Roman" w:cs="Times New Roman"/>
          <w:color w:val="000000"/>
          <w:kern w:val="0"/>
          <w14:ligatures w14:val="none"/>
        </w:rPr>
      </w:pPr>
    </w:p>
    <w:p w14:paraId="33A09023" w14:textId="33795DB3" w:rsidR="00E76AC2" w:rsidRPr="00A07271" w:rsidRDefault="00E76AC2" w:rsidP="00102A38">
      <w:pPr>
        <w:pStyle w:val="ListParagraph"/>
        <w:numPr>
          <w:ilvl w:val="0"/>
          <w:numId w:val="3"/>
        </w:numPr>
        <w:spacing w:after="240" w:line="276" w:lineRule="auto"/>
        <w:rPr>
          <w:rFonts w:ascii="Times New Roman" w:eastAsia="Times New Roman" w:hAnsi="Times New Roman" w:cs="Times New Roman"/>
          <w:b/>
          <w:bCs/>
          <w:kern w:val="0"/>
          <w14:ligatures w14:val="none"/>
        </w:rPr>
      </w:pPr>
      <w:r w:rsidRPr="00A07271">
        <w:rPr>
          <w:rFonts w:ascii="Times New Roman" w:eastAsia="Times New Roman" w:hAnsi="Times New Roman" w:cs="Times New Roman"/>
          <w:b/>
          <w:bCs/>
          <w:kern w:val="0"/>
          <w14:ligatures w14:val="none"/>
        </w:rPr>
        <w:t>Conclusion &amp; Scope for Future Study</w:t>
      </w:r>
    </w:p>
    <w:p w14:paraId="566C39B7" w14:textId="48E65752" w:rsidR="003F58CF" w:rsidRPr="00A07271" w:rsidRDefault="003F58CF" w:rsidP="00102A38">
      <w:pPr>
        <w:pStyle w:val="p1"/>
        <w:spacing w:line="276" w:lineRule="auto"/>
      </w:pPr>
      <w:r w:rsidRPr="00A07271">
        <w:t>This study explored new ways to interpret kidney function beyond the conventional dependence on eGFR by analysing both clinical and metabolomic datasets using PCA and Random Forest models. Removing eGFR from the clinical dataset uncovered patterns that were previously obscured; the first principal component (PC1) emerged as a strong continuous gradient separating healthy individuals from ESRD patients. This gradient was primarily driven by urea, creatinine and BMI, variables routinely collected in clinical practice but typically overshadowed by the dominant diagnostic role of eGFR. Their combined influence suggests that subtle biochemical changes associated with early renal impairment may be detectable before eGFR begins to fall.</w:t>
      </w:r>
    </w:p>
    <w:p w14:paraId="3EC700F3" w14:textId="743D1ED7" w:rsidR="003F58CF" w:rsidRPr="00A07271" w:rsidRDefault="003F58CF" w:rsidP="00102A38">
      <w:pPr>
        <w:pStyle w:val="p1"/>
        <w:spacing w:line="276" w:lineRule="auto"/>
      </w:pPr>
      <w:r w:rsidRPr="00A07271">
        <w:t>Dividing the control group into quartiles along PC1 revealed that even within individuals classified as “healthy” there were consistent upward shifts in urea and creatinine levels. This suggests there are early changes that happen before the kidneys lose measurable filtering ability. The quartile analysis therefore supports the interpretation of PC1 not as a binary classifier</w:t>
      </w:r>
      <w:r w:rsidR="00D217B0" w:rsidRPr="00A07271">
        <w:t>,</w:t>
      </w:r>
      <w:r w:rsidRPr="00A07271">
        <w:t xml:space="preserve"> but as a marker of gradual deterioration offering insight into metabolic changes that occur before the onset of clinically recognisable kidney disease. These results led to the hypothesis that PC1 could serve as a quantitative biomarker reflecting underlying progression toward renal dysfunction.</w:t>
      </w:r>
    </w:p>
    <w:p w14:paraId="737C3128" w14:textId="77777777" w:rsidR="003F58CF" w:rsidRPr="00A07271" w:rsidRDefault="003F58CF" w:rsidP="00102A38">
      <w:pPr>
        <w:pStyle w:val="p1"/>
        <w:spacing w:line="276" w:lineRule="auto"/>
      </w:pPr>
      <w:r w:rsidRPr="00A07271">
        <w:t>Further research is needed to evaluate whether a PC1-derived biomarker provides meaningful clinical improvement over eGFR alone. Prospective patient studies comparing the predictive performance of both markers would be essential particularly to assess whether PC1 can detect early-stage kidney disease more reliably or earlier in the disease timeline. Determining the sensitivity, specificity and temporal advantage of PC1 relative to eGFR will clarify whether this technique represents a useful early diagnostic tool or whether eGFR remains the superior and more practical biomarker in clinical settings.</w:t>
      </w:r>
    </w:p>
    <w:p w14:paraId="6AD032CF" w14:textId="71255162" w:rsidR="000D27D9" w:rsidRPr="00A07271" w:rsidRDefault="000D27D9" w:rsidP="00102A38">
      <w:pPr>
        <w:spacing w:after="0" w:line="276" w:lineRule="auto"/>
        <w:rPr>
          <w:rFonts w:ascii="Times New Roman" w:eastAsia="Times New Roman" w:hAnsi="Times New Roman" w:cs="Times New Roman"/>
          <w:color w:val="000000"/>
          <w:kern w:val="0"/>
          <w14:ligatures w14:val="none"/>
        </w:rPr>
        <w:sectPr w:rsidR="000D27D9" w:rsidRPr="00A07271" w:rsidSect="00A07271">
          <w:type w:val="continuous"/>
          <w:pgSz w:w="12240" w:h="15840"/>
          <w:pgMar w:top="720" w:right="1440" w:bottom="720" w:left="1440" w:header="709" w:footer="709" w:gutter="0"/>
          <w:cols w:num="2" w:space="454"/>
          <w:docGrid w:linePitch="360"/>
        </w:sectPr>
      </w:pPr>
    </w:p>
    <w:p w14:paraId="45CB7CE4" w14:textId="52D3E764" w:rsidR="004508C3" w:rsidRPr="00A07271" w:rsidRDefault="004508C3" w:rsidP="00102A38">
      <w:pPr>
        <w:spacing w:after="0" w:line="276" w:lineRule="auto"/>
        <w:rPr>
          <w:rFonts w:ascii="Times New Roman" w:eastAsia="Times New Roman" w:hAnsi="Times New Roman" w:cs="Times New Roman"/>
          <w:color w:val="000000"/>
          <w:kern w:val="0"/>
          <w14:ligatures w14:val="none"/>
        </w:rPr>
        <w:sectPr w:rsidR="004508C3" w:rsidRPr="00A07271" w:rsidSect="003F16C1">
          <w:type w:val="continuous"/>
          <w:pgSz w:w="12240" w:h="15840"/>
          <w:pgMar w:top="1440" w:right="1440" w:bottom="1440" w:left="1440" w:header="708" w:footer="708" w:gutter="0"/>
          <w:cols w:space="708"/>
          <w:docGrid w:linePitch="360"/>
        </w:sectPr>
      </w:pPr>
    </w:p>
    <w:p w14:paraId="6EDB73E1" w14:textId="77777777" w:rsidR="004508C3" w:rsidRDefault="004508C3" w:rsidP="00102A38">
      <w:pPr>
        <w:spacing w:after="0" w:line="276" w:lineRule="auto"/>
        <w:rPr>
          <w:rFonts w:ascii="Times New Roman" w:eastAsia="Times New Roman" w:hAnsi="Times New Roman" w:cs="Times New Roman"/>
          <w:color w:val="000000"/>
          <w:kern w:val="0"/>
          <w14:ligatures w14:val="none"/>
        </w:rPr>
      </w:pPr>
    </w:p>
    <w:p w14:paraId="7ECC6FF1" w14:textId="77777777" w:rsidR="00A07271" w:rsidRDefault="00A07271" w:rsidP="00102A38">
      <w:pPr>
        <w:spacing w:after="0" w:line="276" w:lineRule="auto"/>
        <w:rPr>
          <w:rFonts w:ascii="Times New Roman" w:eastAsia="Times New Roman" w:hAnsi="Times New Roman" w:cs="Times New Roman"/>
          <w:color w:val="000000"/>
          <w:kern w:val="0"/>
          <w14:ligatures w14:val="none"/>
        </w:rPr>
      </w:pPr>
    </w:p>
    <w:p w14:paraId="1374F17C" w14:textId="77777777" w:rsidR="00A07271" w:rsidRDefault="00A07271" w:rsidP="00102A38">
      <w:pPr>
        <w:spacing w:after="0" w:line="276" w:lineRule="auto"/>
        <w:rPr>
          <w:rFonts w:ascii="Times New Roman" w:eastAsia="Times New Roman" w:hAnsi="Times New Roman" w:cs="Times New Roman"/>
          <w:color w:val="000000"/>
          <w:kern w:val="0"/>
          <w14:ligatures w14:val="none"/>
        </w:rPr>
      </w:pPr>
    </w:p>
    <w:p w14:paraId="51BF2A0F" w14:textId="77777777" w:rsidR="00A07271" w:rsidRDefault="00A07271" w:rsidP="00102A38">
      <w:pPr>
        <w:spacing w:after="0" w:line="276" w:lineRule="auto"/>
        <w:rPr>
          <w:rFonts w:ascii="Times New Roman" w:eastAsia="Times New Roman" w:hAnsi="Times New Roman" w:cs="Times New Roman"/>
          <w:color w:val="000000"/>
          <w:kern w:val="0"/>
          <w14:ligatures w14:val="none"/>
        </w:rPr>
      </w:pPr>
    </w:p>
    <w:p w14:paraId="5FE1B166" w14:textId="77777777" w:rsidR="00102A38" w:rsidRPr="00A07271" w:rsidRDefault="00102A38" w:rsidP="00102A38">
      <w:pPr>
        <w:spacing w:after="0" w:line="276" w:lineRule="auto"/>
        <w:rPr>
          <w:rFonts w:ascii="Times New Roman" w:eastAsia="Times New Roman" w:hAnsi="Times New Roman" w:cs="Times New Roman"/>
          <w:color w:val="000000"/>
          <w:kern w:val="0"/>
          <w14:ligatures w14:val="none"/>
        </w:rPr>
      </w:pPr>
    </w:p>
    <w:p w14:paraId="44656249" w14:textId="6E61270C" w:rsidR="004508C3" w:rsidRPr="00A07271" w:rsidRDefault="00672858" w:rsidP="00102A38">
      <w:pPr>
        <w:pStyle w:val="ListParagraph"/>
        <w:numPr>
          <w:ilvl w:val="0"/>
          <w:numId w:val="3"/>
        </w:numPr>
        <w:spacing w:after="0" w:line="276" w:lineRule="auto"/>
        <w:rPr>
          <w:rFonts w:ascii="Times New Roman" w:eastAsia="Times New Roman" w:hAnsi="Times New Roman" w:cs="Times New Roman"/>
          <w:b/>
          <w:bCs/>
          <w:color w:val="000000"/>
          <w:kern w:val="0"/>
          <w14:ligatures w14:val="none"/>
        </w:rPr>
      </w:pPr>
      <w:r w:rsidRPr="00A07271">
        <w:rPr>
          <w:rFonts w:ascii="Times New Roman" w:eastAsia="Times New Roman" w:hAnsi="Times New Roman" w:cs="Times New Roman"/>
          <w:b/>
          <w:bCs/>
          <w:color w:val="000000"/>
          <w:kern w:val="0"/>
          <w14:ligatures w14:val="none"/>
        </w:rPr>
        <w:t>References</w:t>
      </w:r>
    </w:p>
    <w:p w14:paraId="0A28E584" w14:textId="77777777" w:rsidR="00672858" w:rsidRPr="00A07271" w:rsidRDefault="00672858" w:rsidP="00102A38">
      <w:pPr>
        <w:spacing w:after="0" w:line="276" w:lineRule="auto"/>
        <w:rPr>
          <w:rFonts w:ascii="Times New Roman" w:eastAsia="Times New Roman" w:hAnsi="Times New Roman" w:cs="Times New Roman"/>
          <w:b/>
          <w:bCs/>
          <w:color w:val="000000"/>
          <w:kern w:val="0"/>
          <w14:ligatures w14:val="none"/>
        </w:rPr>
      </w:pPr>
    </w:p>
    <w:p w14:paraId="41BFDCC5" w14:textId="13A89E70" w:rsidR="00082B35" w:rsidRPr="00A07271" w:rsidRDefault="00BA51FC" w:rsidP="00102A38">
      <w:pPr>
        <w:spacing w:after="0" w:line="276" w:lineRule="auto"/>
        <w:rPr>
          <w:rFonts w:ascii="Times New Roman" w:eastAsia="Times New Roman" w:hAnsi="Times New Roman" w:cs="Times New Roman"/>
          <w:color w:val="000000"/>
          <w:kern w:val="0"/>
          <w14:ligatures w14:val="none"/>
        </w:rPr>
      </w:pPr>
      <w:r w:rsidRPr="00A07271">
        <w:rPr>
          <w:rFonts w:ascii="Times New Roman" w:eastAsia="Times New Roman" w:hAnsi="Times New Roman" w:cs="Times New Roman"/>
          <w:color w:val="000000"/>
          <w:kern w:val="0"/>
          <w14:ligatures w14:val="none"/>
        </w:rPr>
        <w:t>(</w:t>
      </w:r>
      <w:r w:rsidR="00082B35" w:rsidRPr="00082B35">
        <w:rPr>
          <w:rFonts w:ascii="Times New Roman" w:eastAsia="Times New Roman" w:hAnsi="Times New Roman" w:cs="Times New Roman"/>
          <w:color w:val="000000"/>
          <w:kern w:val="0"/>
          <w14:ligatures w14:val="none"/>
        </w:rPr>
        <w:t>1</w:t>
      </w:r>
      <w:r w:rsidRPr="00A07271">
        <w:rPr>
          <w:rFonts w:ascii="Times New Roman" w:eastAsia="Times New Roman" w:hAnsi="Times New Roman" w:cs="Times New Roman"/>
          <w:color w:val="000000"/>
          <w:kern w:val="0"/>
          <w14:ligatures w14:val="none"/>
        </w:rPr>
        <w:t>)</w:t>
      </w:r>
      <w:r w:rsidR="00082B35" w:rsidRPr="00082B35">
        <w:rPr>
          <w:rFonts w:ascii="Times New Roman" w:eastAsia="Times New Roman" w:hAnsi="Times New Roman" w:cs="Times New Roman"/>
          <w:color w:val="000000"/>
          <w:kern w:val="0"/>
          <w14:ligatures w14:val="none"/>
        </w:rPr>
        <w:t xml:space="preserve"> Kidney Care Partners. (n.d.). Kidney Disease. [online] Available at: https://kidneycarepartners.org/kidney-disease/.</w:t>
      </w:r>
    </w:p>
    <w:p w14:paraId="6E335E3D" w14:textId="77777777" w:rsidR="00082B35" w:rsidRPr="00082B35" w:rsidRDefault="00082B35" w:rsidP="00102A38">
      <w:pPr>
        <w:spacing w:after="0" w:line="276" w:lineRule="auto"/>
        <w:rPr>
          <w:rFonts w:ascii="Times New Roman" w:eastAsia="Times New Roman" w:hAnsi="Times New Roman" w:cs="Times New Roman"/>
          <w:color w:val="000000"/>
          <w:kern w:val="0"/>
          <w14:ligatures w14:val="none"/>
        </w:rPr>
      </w:pPr>
    </w:p>
    <w:p w14:paraId="78855930" w14:textId="7D41B0BD" w:rsidR="00082B35" w:rsidRPr="00A07271" w:rsidRDefault="00BA51FC" w:rsidP="00102A38">
      <w:pPr>
        <w:spacing w:after="0" w:line="276" w:lineRule="auto"/>
        <w:rPr>
          <w:rFonts w:ascii="Times New Roman" w:eastAsia="Times New Roman" w:hAnsi="Times New Roman" w:cs="Times New Roman"/>
          <w:color w:val="000000"/>
          <w:kern w:val="0"/>
          <w14:ligatures w14:val="none"/>
        </w:rPr>
      </w:pPr>
      <w:r w:rsidRPr="00A07271">
        <w:rPr>
          <w:rFonts w:ascii="Times New Roman" w:eastAsia="Times New Roman" w:hAnsi="Times New Roman" w:cs="Times New Roman"/>
          <w:color w:val="000000"/>
          <w:kern w:val="0"/>
          <w14:ligatures w14:val="none"/>
        </w:rPr>
        <w:t>(</w:t>
      </w:r>
      <w:r w:rsidR="00082B35" w:rsidRPr="00082B35">
        <w:rPr>
          <w:rFonts w:ascii="Times New Roman" w:eastAsia="Times New Roman" w:hAnsi="Times New Roman" w:cs="Times New Roman"/>
          <w:color w:val="000000"/>
          <w:kern w:val="0"/>
          <w14:ligatures w14:val="none"/>
        </w:rPr>
        <w:t>2</w:t>
      </w:r>
      <w:r w:rsidRPr="00A07271">
        <w:rPr>
          <w:rFonts w:ascii="Times New Roman" w:eastAsia="Times New Roman" w:hAnsi="Times New Roman" w:cs="Times New Roman"/>
          <w:color w:val="000000"/>
          <w:kern w:val="0"/>
          <w14:ligatures w14:val="none"/>
        </w:rPr>
        <w:t>)</w:t>
      </w:r>
      <w:r w:rsidR="00082B35" w:rsidRPr="00082B35">
        <w:rPr>
          <w:rFonts w:ascii="Times New Roman" w:eastAsia="Times New Roman" w:hAnsi="Times New Roman" w:cs="Times New Roman"/>
          <w:color w:val="000000"/>
          <w:kern w:val="0"/>
          <w14:ligatures w14:val="none"/>
        </w:rPr>
        <w:t xml:space="preserve"> Rout, P. and Aslam, A. (2025). End-Stage Renal Disease. [online] National Library of Medicine. Available at: https://www.ncbi.nlm.nih.gov/books/NBK499861/.</w:t>
      </w:r>
    </w:p>
    <w:p w14:paraId="257814B5" w14:textId="77777777" w:rsidR="00082B35" w:rsidRPr="00082B35" w:rsidRDefault="00082B35" w:rsidP="00102A38">
      <w:pPr>
        <w:spacing w:after="0" w:line="276" w:lineRule="auto"/>
        <w:rPr>
          <w:rFonts w:ascii="Times New Roman" w:eastAsia="Times New Roman" w:hAnsi="Times New Roman" w:cs="Times New Roman"/>
          <w:color w:val="000000"/>
          <w:kern w:val="0"/>
          <w14:ligatures w14:val="none"/>
        </w:rPr>
      </w:pPr>
    </w:p>
    <w:p w14:paraId="2EBB8EA9" w14:textId="449730E5" w:rsidR="00082B35" w:rsidRPr="00A07271" w:rsidRDefault="00BA51FC" w:rsidP="00102A38">
      <w:pPr>
        <w:spacing w:after="0" w:line="276" w:lineRule="auto"/>
        <w:rPr>
          <w:rFonts w:ascii="Times New Roman" w:eastAsia="Times New Roman" w:hAnsi="Times New Roman" w:cs="Times New Roman"/>
          <w:color w:val="000000"/>
          <w:kern w:val="0"/>
          <w14:ligatures w14:val="none"/>
        </w:rPr>
      </w:pPr>
      <w:r w:rsidRPr="00A07271">
        <w:rPr>
          <w:rFonts w:ascii="Times New Roman" w:eastAsia="Times New Roman" w:hAnsi="Times New Roman" w:cs="Times New Roman"/>
          <w:color w:val="000000"/>
          <w:kern w:val="0"/>
          <w14:ligatures w14:val="none"/>
        </w:rPr>
        <w:t>(</w:t>
      </w:r>
      <w:r w:rsidR="00082B35" w:rsidRPr="00082B35">
        <w:rPr>
          <w:rFonts w:ascii="Times New Roman" w:eastAsia="Times New Roman" w:hAnsi="Times New Roman" w:cs="Times New Roman"/>
          <w:color w:val="000000"/>
          <w:kern w:val="0"/>
          <w14:ligatures w14:val="none"/>
        </w:rPr>
        <w:t>3</w:t>
      </w:r>
      <w:r w:rsidRPr="00A07271">
        <w:rPr>
          <w:rFonts w:ascii="Times New Roman" w:eastAsia="Times New Roman" w:hAnsi="Times New Roman" w:cs="Times New Roman"/>
          <w:color w:val="000000"/>
          <w:kern w:val="0"/>
          <w14:ligatures w14:val="none"/>
        </w:rPr>
        <w:t>)</w:t>
      </w:r>
      <w:r w:rsidR="00082B35" w:rsidRPr="00082B35">
        <w:rPr>
          <w:rFonts w:ascii="Times New Roman" w:eastAsia="Times New Roman" w:hAnsi="Times New Roman" w:cs="Times New Roman"/>
          <w:color w:val="000000"/>
          <w:kern w:val="0"/>
          <w14:ligatures w14:val="none"/>
        </w:rPr>
        <w:t xml:space="preserve"> Chen, Y.-Y., Chen, D.-Q., Chen, L., Liu, J.-R., Vaziri, N.D., Guo, Y. and Zhao, Y.-Y. (2019). Microbiome–metabolome reveals the contribution of gut–kidney axis on kidney disease. Journal of Translational Medicine, 17(1). doi:https://doi.org/10.1186/s12967-018-1756-4.</w:t>
      </w:r>
    </w:p>
    <w:p w14:paraId="20C10532" w14:textId="77777777" w:rsidR="00082B35" w:rsidRPr="00082B35" w:rsidRDefault="00082B35" w:rsidP="00102A38">
      <w:pPr>
        <w:spacing w:after="0" w:line="276" w:lineRule="auto"/>
        <w:rPr>
          <w:rFonts w:ascii="Times New Roman" w:eastAsia="Times New Roman" w:hAnsi="Times New Roman" w:cs="Times New Roman"/>
          <w:color w:val="000000"/>
          <w:kern w:val="0"/>
          <w14:ligatures w14:val="none"/>
        </w:rPr>
      </w:pPr>
    </w:p>
    <w:p w14:paraId="6C5CA569" w14:textId="07F52CE6" w:rsidR="00082B35" w:rsidRPr="00A07271" w:rsidRDefault="00BA51FC" w:rsidP="00102A38">
      <w:pPr>
        <w:spacing w:after="0" w:line="276" w:lineRule="auto"/>
        <w:rPr>
          <w:rFonts w:ascii="Times New Roman" w:eastAsia="Times New Roman" w:hAnsi="Times New Roman" w:cs="Times New Roman"/>
          <w:color w:val="000000"/>
          <w:kern w:val="0"/>
          <w14:ligatures w14:val="none"/>
        </w:rPr>
      </w:pPr>
      <w:r w:rsidRPr="00A07271">
        <w:rPr>
          <w:rFonts w:ascii="Times New Roman" w:eastAsia="Times New Roman" w:hAnsi="Times New Roman" w:cs="Times New Roman"/>
          <w:color w:val="000000"/>
          <w:kern w:val="0"/>
          <w14:ligatures w14:val="none"/>
        </w:rPr>
        <w:t>(</w:t>
      </w:r>
      <w:r w:rsidR="00082B35" w:rsidRPr="00082B35">
        <w:rPr>
          <w:rFonts w:ascii="Times New Roman" w:eastAsia="Times New Roman" w:hAnsi="Times New Roman" w:cs="Times New Roman"/>
          <w:color w:val="000000"/>
          <w:kern w:val="0"/>
          <w14:ligatures w14:val="none"/>
        </w:rPr>
        <w:t>4</w:t>
      </w:r>
      <w:r w:rsidRPr="00A07271">
        <w:rPr>
          <w:rFonts w:ascii="Times New Roman" w:eastAsia="Times New Roman" w:hAnsi="Times New Roman" w:cs="Times New Roman"/>
          <w:color w:val="000000"/>
          <w:kern w:val="0"/>
          <w14:ligatures w14:val="none"/>
        </w:rPr>
        <w:t>)</w:t>
      </w:r>
      <w:r w:rsidR="00082B35" w:rsidRPr="00082B35">
        <w:rPr>
          <w:rFonts w:ascii="Times New Roman" w:eastAsia="Times New Roman" w:hAnsi="Times New Roman" w:cs="Times New Roman"/>
          <w:color w:val="000000"/>
          <w:kern w:val="0"/>
          <w14:ligatures w14:val="none"/>
        </w:rPr>
        <w:t xml:space="preserve"> IBM (2021). What Is Machine learning? [online] IBM. Available at: https://www.ibm.com/think/topics/machine-learning.</w:t>
      </w:r>
    </w:p>
    <w:p w14:paraId="6782D6C5" w14:textId="77777777" w:rsidR="00082B35" w:rsidRPr="00082B35" w:rsidRDefault="00082B35" w:rsidP="00102A38">
      <w:pPr>
        <w:spacing w:after="0" w:line="276" w:lineRule="auto"/>
        <w:rPr>
          <w:rFonts w:ascii="Times New Roman" w:eastAsia="Times New Roman" w:hAnsi="Times New Roman" w:cs="Times New Roman"/>
          <w:color w:val="000000"/>
          <w:kern w:val="0"/>
          <w14:ligatures w14:val="none"/>
        </w:rPr>
      </w:pPr>
    </w:p>
    <w:p w14:paraId="394299F1" w14:textId="7BBB2337" w:rsidR="00082B35" w:rsidRPr="00A07271" w:rsidRDefault="00082B35" w:rsidP="00102A38">
      <w:pPr>
        <w:spacing w:after="0" w:line="276" w:lineRule="auto"/>
        <w:rPr>
          <w:rFonts w:ascii="Times New Roman" w:eastAsia="Times New Roman" w:hAnsi="Times New Roman" w:cs="Times New Roman"/>
          <w:color w:val="000000"/>
          <w:kern w:val="0"/>
          <w14:ligatures w14:val="none"/>
        </w:rPr>
      </w:pPr>
      <w:r w:rsidRPr="00082B35">
        <w:rPr>
          <w:rFonts w:ascii="Times New Roman" w:eastAsia="Times New Roman" w:hAnsi="Times New Roman" w:cs="Times New Roman"/>
          <w:color w:val="000000"/>
          <w:kern w:val="0"/>
          <w14:ligatures w14:val="none"/>
        </w:rPr>
        <w:t>‌</w:t>
      </w:r>
      <w:r w:rsidR="00BA51FC" w:rsidRPr="00A07271">
        <w:rPr>
          <w:rFonts w:ascii="Times New Roman" w:eastAsia="Times New Roman" w:hAnsi="Times New Roman" w:cs="Times New Roman"/>
          <w:color w:val="000000"/>
          <w:kern w:val="0"/>
          <w14:ligatures w14:val="none"/>
        </w:rPr>
        <w:t>(</w:t>
      </w:r>
      <w:r w:rsidRPr="00082B35">
        <w:rPr>
          <w:rFonts w:ascii="Times New Roman" w:eastAsia="Times New Roman" w:hAnsi="Times New Roman" w:cs="Times New Roman"/>
          <w:color w:val="000000"/>
          <w:kern w:val="0"/>
          <w14:ligatures w14:val="none"/>
        </w:rPr>
        <w:t>5</w:t>
      </w:r>
      <w:r w:rsidR="00BA51FC" w:rsidRPr="00A07271">
        <w:rPr>
          <w:rFonts w:ascii="Times New Roman" w:eastAsia="Times New Roman" w:hAnsi="Times New Roman" w:cs="Times New Roman"/>
          <w:color w:val="000000"/>
          <w:kern w:val="0"/>
          <w14:ligatures w14:val="none"/>
        </w:rPr>
        <w:t>)</w:t>
      </w:r>
      <w:r w:rsidRPr="00082B35">
        <w:rPr>
          <w:rFonts w:ascii="Times New Roman" w:eastAsia="Times New Roman" w:hAnsi="Times New Roman" w:cs="Times New Roman"/>
          <w:color w:val="000000"/>
          <w:kern w:val="0"/>
          <w14:ligatures w14:val="none"/>
        </w:rPr>
        <w:t xml:space="preserve"> Keith A. Betts, P., Song, J., Faust, E., Yang, K., Du, Y., Sheldon X. Kong, P. and Singh, R. (2021). Medical Costs for Managing Chronic Kidney Disease and Related Complications in Patients With Chronic Kidney Disease and Type 2 Diabetes. Supplements and Featured Publications, [online] 27(20). Available at: https://www.ajmc.com/view/medical-costs-for-managing-chronic-kidney-disease-and-related-complications-in-patients-with-chronic-kidney-disease-and-type-2-diabetes.</w:t>
      </w:r>
    </w:p>
    <w:p w14:paraId="46B8C979" w14:textId="77777777" w:rsidR="00082B35" w:rsidRPr="00082B35" w:rsidRDefault="00082B35" w:rsidP="00102A38">
      <w:pPr>
        <w:spacing w:after="0" w:line="276" w:lineRule="auto"/>
        <w:rPr>
          <w:rFonts w:ascii="Times New Roman" w:eastAsia="Times New Roman" w:hAnsi="Times New Roman" w:cs="Times New Roman"/>
          <w:color w:val="000000"/>
          <w:kern w:val="0"/>
          <w14:ligatures w14:val="none"/>
        </w:rPr>
      </w:pPr>
    </w:p>
    <w:p w14:paraId="4B188280" w14:textId="210EC302" w:rsidR="00082B35" w:rsidRPr="00A07271" w:rsidRDefault="00082B35" w:rsidP="00102A38">
      <w:pPr>
        <w:spacing w:after="0" w:line="276" w:lineRule="auto"/>
        <w:rPr>
          <w:rFonts w:ascii="Times New Roman" w:eastAsia="Times New Roman" w:hAnsi="Times New Roman" w:cs="Times New Roman"/>
          <w:color w:val="000000"/>
          <w:kern w:val="0"/>
          <w14:ligatures w14:val="none"/>
        </w:rPr>
      </w:pPr>
      <w:r w:rsidRPr="00082B35">
        <w:rPr>
          <w:rFonts w:ascii="Times New Roman" w:eastAsia="Times New Roman" w:hAnsi="Times New Roman" w:cs="Times New Roman"/>
          <w:color w:val="000000"/>
          <w:kern w:val="0"/>
          <w14:ligatures w14:val="none"/>
        </w:rPr>
        <w:t>‌</w:t>
      </w:r>
      <w:r w:rsidR="00BA51FC" w:rsidRPr="00A07271">
        <w:rPr>
          <w:rFonts w:ascii="Times New Roman" w:eastAsia="Times New Roman" w:hAnsi="Times New Roman" w:cs="Times New Roman"/>
          <w:color w:val="000000"/>
          <w:kern w:val="0"/>
          <w14:ligatures w14:val="none"/>
        </w:rPr>
        <w:t>(</w:t>
      </w:r>
      <w:r w:rsidRPr="00082B35">
        <w:rPr>
          <w:rFonts w:ascii="Times New Roman" w:eastAsia="Times New Roman" w:hAnsi="Times New Roman" w:cs="Times New Roman"/>
          <w:color w:val="000000"/>
          <w:kern w:val="0"/>
          <w14:ligatures w14:val="none"/>
        </w:rPr>
        <w:t>6</w:t>
      </w:r>
      <w:r w:rsidR="00506EC4" w:rsidRPr="00A07271">
        <w:rPr>
          <w:rFonts w:ascii="Times New Roman" w:eastAsia="Times New Roman" w:hAnsi="Times New Roman" w:cs="Times New Roman"/>
          <w:color w:val="000000"/>
          <w:kern w:val="0"/>
          <w14:ligatures w14:val="none"/>
        </w:rPr>
        <w:t>)</w:t>
      </w:r>
      <w:r w:rsidRPr="00082B35">
        <w:rPr>
          <w:rFonts w:ascii="Times New Roman" w:eastAsia="Times New Roman" w:hAnsi="Times New Roman" w:cs="Times New Roman"/>
          <w:color w:val="000000"/>
          <w:kern w:val="0"/>
          <w14:ligatures w14:val="none"/>
        </w:rPr>
        <w:t xml:space="preserve"> Johnson, D.W., Jones, G., Becker, G.J. and Mathew, T.H. (2009). Automated reporting of eGFR: a useful tool for identifying and managing kidney disease. </w:t>
      </w:r>
      <w:r w:rsidRPr="00082B35">
        <w:rPr>
          <w:rFonts w:ascii="Times New Roman" w:eastAsia="Times New Roman" w:hAnsi="Times New Roman" w:cs="Times New Roman"/>
          <w:i/>
          <w:iCs/>
          <w:color w:val="000000"/>
          <w:kern w:val="0"/>
          <w14:ligatures w14:val="none"/>
        </w:rPr>
        <w:t>Medical Journal of Australia</w:t>
      </w:r>
      <w:r w:rsidRPr="00082B35">
        <w:rPr>
          <w:rFonts w:ascii="Times New Roman" w:eastAsia="Times New Roman" w:hAnsi="Times New Roman" w:cs="Times New Roman"/>
          <w:color w:val="000000"/>
          <w:kern w:val="0"/>
          <w14:ligatures w14:val="none"/>
        </w:rPr>
        <w:t>, 190(4), pp.200–203. doi:</w:t>
      </w:r>
      <w:r w:rsidRPr="00082B35">
        <w:rPr>
          <w:rFonts w:ascii="Times New Roman" w:eastAsia="Times New Roman" w:hAnsi="Times New Roman" w:cs="Times New Roman"/>
          <w:color w:val="1155CC"/>
          <w:kern w:val="0"/>
          <w:u w:val="single"/>
          <w14:ligatures w14:val="none"/>
        </w:rPr>
        <w:t>https://doi.org/10.5694/j.1326-5377.2009.tb02349</w:t>
      </w:r>
    </w:p>
    <w:p w14:paraId="61FDA274" w14:textId="77777777" w:rsidR="00082B35" w:rsidRPr="00082B35" w:rsidRDefault="00082B35" w:rsidP="00102A38">
      <w:pPr>
        <w:spacing w:after="0" w:line="276" w:lineRule="auto"/>
        <w:rPr>
          <w:rFonts w:ascii="Times New Roman" w:eastAsia="Times New Roman" w:hAnsi="Times New Roman" w:cs="Times New Roman"/>
          <w:color w:val="000000"/>
          <w:kern w:val="0"/>
          <w14:ligatures w14:val="none"/>
        </w:rPr>
      </w:pPr>
    </w:p>
    <w:p w14:paraId="06533B13" w14:textId="421E53BF" w:rsidR="00082B35" w:rsidRPr="00A07271" w:rsidRDefault="00506EC4" w:rsidP="00102A38">
      <w:pPr>
        <w:spacing w:after="0" w:line="276" w:lineRule="auto"/>
        <w:rPr>
          <w:rFonts w:ascii="Times New Roman" w:eastAsia="Times New Roman" w:hAnsi="Times New Roman" w:cs="Times New Roman"/>
          <w:color w:val="000000"/>
          <w:kern w:val="0"/>
          <w14:ligatures w14:val="none"/>
        </w:rPr>
      </w:pPr>
      <w:r w:rsidRPr="00A07271">
        <w:rPr>
          <w:rFonts w:ascii="Times New Roman" w:eastAsia="Times New Roman" w:hAnsi="Times New Roman" w:cs="Times New Roman"/>
          <w:color w:val="000000"/>
          <w:kern w:val="0"/>
          <w14:ligatures w14:val="none"/>
        </w:rPr>
        <w:lastRenderedPageBreak/>
        <w:t>(</w:t>
      </w:r>
      <w:r w:rsidR="00082B35" w:rsidRPr="00082B35">
        <w:rPr>
          <w:rFonts w:ascii="Times New Roman" w:eastAsia="Times New Roman" w:hAnsi="Times New Roman" w:cs="Times New Roman"/>
          <w:color w:val="000000"/>
          <w:kern w:val="0"/>
          <w14:ligatures w14:val="none"/>
        </w:rPr>
        <w:t>7</w:t>
      </w:r>
      <w:r w:rsidRPr="00A07271">
        <w:rPr>
          <w:rFonts w:ascii="Times New Roman" w:eastAsia="Times New Roman" w:hAnsi="Times New Roman" w:cs="Times New Roman"/>
          <w:color w:val="000000"/>
          <w:kern w:val="0"/>
          <w14:ligatures w14:val="none"/>
        </w:rPr>
        <w:t>)</w:t>
      </w:r>
      <w:r w:rsidR="00082B35" w:rsidRPr="00082B35">
        <w:rPr>
          <w:rFonts w:ascii="Times New Roman" w:eastAsia="Times New Roman" w:hAnsi="Times New Roman" w:cs="Times New Roman"/>
          <w:color w:val="000000"/>
          <w:kern w:val="0"/>
          <w14:ligatures w14:val="none"/>
        </w:rPr>
        <w:t xml:space="preserve"> UK Kidney Association. (2021). </w:t>
      </w:r>
      <w:r w:rsidR="00082B35" w:rsidRPr="00082B35">
        <w:rPr>
          <w:rFonts w:ascii="Times New Roman" w:eastAsia="Times New Roman" w:hAnsi="Times New Roman" w:cs="Times New Roman"/>
          <w:i/>
          <w:iCs/>
          <w:color w:val="000000"/>
          <w:kern w:val="0"/>
          <w14:ligatures w14:val="none"/>
        </w:rPr>
        <w:t>Measurement of kidney function</w:t>
      </w:r>
      <w:r w:rsidR="00082B35" w:rsidRPr="00082B35">
        <w:rPr>
          <w:rFonts w:ascii="Times New Roman" w:eastAsia="Times New Roman" w:hAnsi="Times New Roman" w:cs="Times New Roman"/>
          <w:color w:val="000000"/>
          <w:kern w:val="0"/>
          <w14:ligatures w14:val="none"/>
        </w:rPr>
        <w:t xml:space="preserve">. [online] Available at: </w:t>
      </w:r>
      <w:r w:rsidR="00082B35" w:rsidRPr="00082B35">
        <w:rPr>
          <w:rFonts w:ascii="Times New Roman" w:eastAsia="Times New Roman" w:hAnsi="Times New Roman" w:cs="Times New Roman"/>
          <w:color w:val="1155CC"/>
          <w:kern w:val="0"/>
          <w:u w:val="single"/>
          <w14:ligatures w14:val="none"/>
        </w:rPr>
        <w:t>https://www.ukkidney.org/health-professionals/information-resources/uk-eckd-guide/measurement-kidney-function</w:t>
      </w:r>
      <w:r w:rsidR="00082B35" w:rsidRPr="00082B35">
        <w:rPr>
          <w:rFonts w:ascii="Times New Roman" w:eastAsia="Times New Roman" w:hAnsi="Times New Roman" w:cs="Times New Roman"/>
          <w:color w:val="000000"/>
          <w:kern w:val="0"/>
          <w14:ligatures w14:val="none"/>
        </w:rPr>
        <w:t>.</w:t>
      </w:r>
    </w:p>
    <w:p w14:paraId="00DEEDA9" w14:textId="77777777" w:rsidR="00082B35" w:rsidRPr="00082B35" w:rsidRDefault="00082B35" w:rsidP="00102A38">
      <w:pPr>
        <w:spacing w:after="0" w:line="276" w:lineRule="auto"/>
        <w:rPr>
          <w:rFonts w:ascii="Times New Roman" w:eastAsia="Times New Roman" w:hAnsi="Times New Roman" w:cs="Times New Roman"/>
          <w:color w:val="000000"/>
          <w:kern w:val="0"/>
          <w14:ligatures w14:val="none"/>
        </w:rPr>
      </w:pPr>
    </w:p>
    <w:p w14:paraId="420E01D2" w14:textId="1174D6D6" w:rsidR="00082B35" w:rsidRPr="00A07271" w:rsidRDefault="00506EC4" w:rsidP="00102A38">
      <w:pPr>
        <w:spacing w:after="0" w:line="276" w:lineRule="auto"/>
        <w:rPr>
          <w:rFonts w:ascii="Times New Roman" w:eastAsia="Times New Roman" w:hAnsi="Times New Roman" w:cs="Times New Roman"/>
          <w:color w:val="000000"/>
          <w:kern w:val="0"/>
          <w14:ligatures w14:val="none"/>
        </w:rPr>
      </w:pPr>
      <w:r w:rsidRPr="00A07271">
        <w:rPr>
          <w:rFonts w:ascii="Times New Roman" w:eastAsia="Times New Roman" w:hAnsi="Times New Roman" w:cs="Times New Roman"/>
          <w:color w:val="000000"/>
          <w:kern w:val="0"/>
          <w14:ligatures w14:val="none"/>
        </w:rPr>
        <w:t>(</w:t>
      </w:r>
      <w:r w:rsidR="00082B35" w:rsidRPr="00082B35">
        <w:rPr>
          <w:rFonts w:ascii="Times New Roman" w:eastAsia="Times New Roman" w:hAnsi="Times New Roman" w:cs="Times New Roman"/>
          <w:color w:val="000000"/>
          <w:kern w:val="0"/>
          <w14:ligatures w14:val="none"/>
        </w:rPr>
        <w:t>8</w:t>
      </w:r>
      <w:r w:rsidRPr="00A07271">
        <w:rPr>
          <w:rFonts w:ascii="Times New Roman" w:eastAsia="Times New Roman" w:hAnsi="Times New Roman" w:cs="Times New Roman"/>
          <w:color w:val="000000"/>
          <w:kern w:val="0"/>
          <w14:ligatures w14:val="none"/>
        </w:rPr>
        <w:t>)</w:t>
      </w:r>
      <w:r w:rsidR="00082B35" w:rsidRPr="00082B35">
        <w:rPr>
          <w:rFonts w:ascii="Times New Roman" w:eastAsia="Times New Roman" w:hAnsi="Times New Roman" w:cs="Times New Roman"/>
          <w:color w:val="000000"/>
          <w:kern w:val="0"/>
          <w14:ligatures w14:val="none"/>
        </w:rPr>
        <w:t xml:space="preserve"> D-Serine reflects kidney function and diseases by A Hesaka et al., published in Scientific Reports, 2019 — link: https://www.nature.com/articles/s41598-019-41608-0</w:t>
      </w:r>
    </w:p>
    <w:p w14:paraId="2BBB8A7C" w14:textId="77777777" w:rsidR="004A0550" w:rsidRPr="00A07271" w:rsidRDefault="004A0550" w:rsidP="00102A38">
      <w:pPr>
        <w:spacing w:line="276" w:lineRule="auto"/>
        <w:rPr>
          <w:rFonts w:ascii="Times New Roman" w:hAnsi="Times New Roman" w:cs="Times New Roman"/>
          <w:b/>
          <w:bCs/>
        </w:rPr>
      </w:pPr>
    </w:p>
    <w:sectPr w:rsidR="004A0550" w:rsidRPr="00A07271" w:rsidSect="00672858">
      <w:type w:val="continuous"/>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D1AE5"/>
    <w:multiLevelType w:val="hybridMultilevel"/>
    <w:tmpl w:val="5086AE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5261009"/>
    <w:multiLevelType w:val="hybridMultilevel"/>
    <w:tmpl w:val="CF7E8F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2A623CB"/>
    <w:multiLevelType w:val="multilevel"/>
    <w:tmpl w:val="B0D45590"/>
    <w:lvl w:ilvl="0">
      <w:start w:val="1"/>
      <w:numFmt w:val="decimal"/>
      <w:lvlText w:val="%1."/>
      <w:lvlJc w:val="left"/>
      <w:pPr>
        <w:ind w:left="360" w:hanging="360"/>
      </w:pPr>
      <w:rPr>
        <w:rFonts w:ascii="Times New Roman" w:eastAsiaTheme="minorHAnsi" w:hAnsi="Times New Roman" w:cs="Times New Roman"/>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497576360">
    <w:abstractNumId w:val="0"/>
  </w:num>
  <w:num w:numId="2" w16cid:durableId="1478759227">
    <w:abstractNumId w:val="1"/>
  </w:num>
  <w:num w:numId="3" w16cid:durableId="12826115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E6A"/>
    <w:rsid w:val="00026A03"/>
    <w:rsid w:val="00026C68"/>
    <w:rsid w:val="000328ED"/>
    <w:rsid w:val="00052E40"/>
    <w:rsid w:val="00066326"/>
    <w:rsid w:val="00071098"/>
    <w:rsid w:val="00082B35"/>
    <w:rsid w:val="000911EE"/>
    <w:rsid w:val="00097DF4"/>
    <w:rsid w:val="000D27D9"/>
    <w:rsid w:val="000E5230"/>
    <w:rsid w:val="00102A38"/>
    <w:rsid w:val="001365A4"/>
    <w:rsid w:val="00145F2C"/>
    <w:rsid w:val="00190247"/>
    <w:rsid w:val="001E07A1"/>
    <w:rsid w:val="00216066"/>
    <w:rsid w:val="00223AB8"/>
    <w:rsid w:val="00230552"/>
    <w:rsid w:val="00235A11"/>
    <w:rsid w:val="00252D4E"/>
    <w:rsid w:val="00290670"/>
    <w:rsid w:val="00293700"/>
    <w:rsid w:val="002A1B17"/>
    <w:rsid w:val="002D5716"/>
    <w:rsid w:val="002D6C07"/>
    <w:rsid w:val="00327176"/>
    <w:rsid w:val="003775C0"/>
    <w:rsid w:val="003A31DE"/>
    <w:rsid w:val="003B6482"/>
    <w:rsid w:val="003F16C1"/>
    <w:rsid w:val="003F58CF"/>
    <w:rsid w:val="00424B79"/>
    <w:rsid w:val="0043230F"/>
    <w:rsid w:val="00436423"/>
    <w:rsid w:val="00444A58"/>
    <w:rsid w:val="004508C3"/>
    <w:rsid w:val="0045215E"/>
    <w:rsid w:val="00465EB4"/>
    <w:rsid w:val="00467F09"/>
    <w:rsid w:val="004863AD"/>
    <w:rsid w:val="004A0550"/>
    <w:rsid w:val="004A4E6A"/>
    <w:rsid w:val="004C1693"/>
    <w:rsid w:val="004C480F"/>
    <w:rsid w:val="004E4CBB"/>
    <w:rsid w:val="00506EC4"/>
    <w:rsid w:val="00507887"/>
    <w:rsid w:val="00513204"/>
    <w:rsid w:val="00551F70"/>
    <w:rsid w:val="005618B9"/>
    <w:rsid w:val="00591A19"/>
    <w:rsid w:val="005947D5"/>
    <w:rsid w:val="00595BE2"/>
    <w:rsid w:val="005B328B"/>
    <w:rsid w:val="005D78D1"/>
    <w:rsid w:val="00606760"/>
    <w:rsid w:val="0063619C"/>
    <w:rsid w:val="00660697"/>
    <w:rsid w:val="00672858"/>
    <w:rsid w:val="007578F7"/>
    <w:rsid w:val="00765801"/>
    <w:rsid w:val="00765C71"/>
    <w:rsid w:val="00795EB5"/>
    <w:rsid w:val="007A4B28"/>
    <w:rsid w:val="007B4232"/>
    <w:rsid w:val="007B5C5E"/>
    <w:rsid w:val="007D30A6"/>
    <w:rsid w:val="007E0957"/>
    <w:rsid w:val="007F4DB3"/>
    <w:rsid w:val="008037ED"/>
    <w:rsid w:val="008053E2"/>
    <w:rsid w:val="00830BA4"/>
    <w:rsid w:val="00836D76"/>
    <w:rsid w:val="0084384E"/>
    <w:rsid w:val="008571D8"/>
    <w:rsid w:val="00876CFD"/>
    <w:rsid w:val="008B3ABA"/>
    <w:rsid w:val="008B44B6"/>
    <w:rsid w:val="008C19CF"/>
    <w:rsid w:val="00920B12"/>
    <w:rsid w:val="00920CF1"/>
    <w:rsid w:val="0097272C"/>
    <w:rsid w:val="009940C9"/>
    <w:rsid w:val="009D08A7"/>
    <w:rsid w:val="00A07271"/>
    <w:rsid w:val="00A325F4"/>
    <w:rsid w:val="00A936B7"/>
    <w:rsid w:val="00AE074C"/>
    <w:rsid w:val="00B05775"/>
    <w:rsid w:val="00B10237"/>
    <w:rsid w:val="00B1255D"/>
    <w:rsid w:val="00B275F5"/>
    <w:rsid w:val="00B427CB"/>
    <w:rsid w:val="00B51220"/>
    <w:rsid w:val="00B81D97"/>
    <w:rsid w:val="00B85B69"/>
    <w:rsid w:val="00B86501"/>
    <w:rsid w:val="00B9192A"/>
    <w:rsid w:val="00B933FA"/>
    <w:rsid w:val="00BA159A"/>
    <w:rsid w:val="00BA51FC"/>
    <w:rsid w:val="00BA7A04"/>
    <w:rsid w:val="00BB4541"/>
    <w:rsid w:val="00BF75E8"/>
    <w:rsid w:val="00C26FF0"/>
    <w:rsid w:val="00C31617"/>
    <w:rsid w:val="00C429CB"/>
    <w:rsid w:val="00C551C9"/>
    <w:rsid w:val="00C81D05"/>
    <w:rsid w:val="00C875BD"/>
    <w:rsid w:val="00CA51EA"/>
    <w:rsid w:val="00CB1157"/>
    <w:rsid w:val="00CB3B50"/>
    <w:rsid w:val="00CB55A6"/>
    <w:rsid w:val="00CC174A"/>
    <w:rsid w:val="00CD5117"/>
    <w:rsid w:val="00CF37EE"/>
    <w:rsid w:val="00D054F7"/>
    <w:rsid w:val="00D11AA2"/>
    <w:rsid w:val="00D217B0"/>
    <w:rsid w:val="00D5270C"/>
    <w:rsid w:val="00D56F50"/>
    <w:rsid w:val="00D97BCA"/>
    <w:rsid w:val="00DD77AD"/>
    <w:rsid w:val="00DF3F48"/>
    <w:rsid w:val="00E31341"/>
    <w:rsid w:val="00E61C35"/>
    <w:rsid w:val="00E6404E"/>
    <w:rsid w:val="00E76AC2"/>
    <w:rsid w:val="00E81ED0"/>
    <w:rsid w:val="00E96B50"/>
    <w:rsid w:val="00EA359A"/>
    <w:rsid w:val="00EA3C2C"/>
    <w:rsid w:val="00EA44A9"/>
    <w:rsid w:val="00F06045"/>
    <w:rsid w:val="00F26D15"/>
    <w:rsid w:val="00F30196"/>
    <w:rsid w:val="00F502F7"/>
    <w:rsid w:val="00F52F5E"/>
    <w:rsid w:val="00F554CB"/>
    <w:rsid w:val="00F55C62"/>
    <w:rsid w:val="00F92010"/>
    <w:rsid w:val="00F949C7"/>
    <w:rsid w:val="00FC5CC0"/>
    <w:rsid w:val="00FD48C6"/>
    <w:rsid w:val="00FF3E65"/>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3BBC8"/>
  <w15:chartTrackingRefBased/>
  <w15:docId w15:val="{F14D3A82-B2BD-B444-B2A9-D769C8B4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4E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4E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4E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4E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4E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4E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4E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4E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4E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4E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4E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4E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4E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4E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4E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4E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4E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4E6A"/>
    <w:rPr>
      <w:rFonts w:eastAsiaTheme="majorEastAsia" w:cstheme="majorBidi"/>
      <w:color w:val="272727" w:themeColor="text1" w:themeTint="D8"/>
    </w:rPr>
  </w:style>
  <w:style w:type="paragraph" w:styleId="Title">
    <w:name w:val="Title"/>
    <w:basedOn w:val="Normal"/>
    <w:next w:val="Normal"/>
    <w:link w:val="TitleChar"/>
    <w:uiPriority w:val="10"/>
    <w:qFormat/>
    <w:rsid w:val="004A4E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4E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4E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4E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4E6A"/>
    <w:pPr>
      <w:spacing w:before="160"/>
      <w:jc w:val="center"/>
    </w:pPr>
    <w:rPr>
      <w:i/>
      <w:iCs/>
      <w:color w:val="404040" w:themeColor="text1" w:themeTint="BF"/>
    </w:rPr>
  </w:style>
  <w:style w:type="character" w:customStyle="1" w:styleId="QuoteChar">
    <w:name w:val="Quote Char"/>
    <w:basedOn w:val="DefaultParagraphFont"/>
    <w:link w:val="Quote"/>
    <w:uiPriority w:val="29"/>
    <w:rsid w:val="004A4E6A"/>
    <w:rPr>
      <w:i/>
      <w:iCs/>
      <w:color w:val="404040" w:themeColor="text1" w:themeTint="BF"/>
    </w:rPr>
  </w:style>
  <w:style w:type="paragraph" w:styleId="ListParagraph">
    <w:name w:val="List Paragraph"/>
    <w:basedOn w:val="Normal"/>
    <w:uiPriority w:val="34"/>
    <w:qFormat/>
    <w:rsid w:val="004A4E6A"/>
    <w:pPr>
      <w:ind w:left="720"/>
      <w:contextualSpacing/>
    </w:pPr>
  </w:style>
  <w:style w:type="character" w:styleId="IntenseEmphasis">
    <w:name w:val="Intense Emphasis"/>
    <w:basedOn w:val="DefaultParagraphFont"/>
    <w:uiPriority w:val="21"/>
    <w:qFormat/>
    <w:rsid w:val="004A4E6A"/>
    <w:rPr>
      <w:i/>
      <w:iCs/>
      <w:color w:val="0F4761" w:themeColor="accent1" w:themeShade="BF"/>
    </w:rPr>
  </w:style>
  <w:style w:type="paragraph" w:styleId="IntenseQuote">
    <w:name w:val="Intense Quote"/>
    <w:basedOn w:val="Normal"/>
    <w:next w:val="Normal"/>
    <w:link w:val="IntenseQuoteChar"/>
    <w:uiPriority w:val="30"/>
    <w:qFormat/>
    <w:rsid w:val="004A4E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4E6A"/>
    <w:rPr>
      <w:i/>
      <w:iCs/>
      <w:color w:val="0F4761" w:themeColor="accent1" w:themeShade="BF"/>
    </w:rPr>
  </w:style>
  <w:style w:type="character" w:styleId="IntenseReference">
    <w:name w:val="Intense Reference"/>
    <w:basedOn w:val="DefaultParagraphFont"/>
    <w:uiPriority w:val="32"/>
    <w:qFormat/>
    <w:rsid w:val="004A4E6A"/>
    <w:rPr>
      <w:b/>
      <w:bCs/>
      <w:smallCaps/>
      <w:color w:val="0F4761" w:themeColor="accent1" w:themeShade="BF"/>
      <w:spacing w:val="5"/>
    </w:rPr>
  </w:style>
  <w:style w:type="paragraph" w:styleId="NormalWeb">
    <w:name w:val="Normal (Web)"/>
    <w:basedOn w:val="Normal"/>
    <w:uiPriority w:val="99"/>
    <w:semiHidden/>
    <w:unhideWhenUsed/>
    <w:rsid w:val="003A31D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082B35"/>
    <w:rPr>
      <w:color w:val="0000FF"/>
      <w:u w:val="single"/>
    </w:rPr>
  </w:style>
  <w:style w:type="character" w:styleId="UnresolvedMention">
    <w:name w:val="Unresolved Mention"/>
    <w:basedOn w:val="DefaultParagraphFont"/>
    <w:uiPriority w:val="99"/>
    <w:semiHidden/>
    <w:unhideWhenUsed/>
    <w:rsid w:val="00082B35"/>
    <w:rPr>
      <w:color w:val="605E5C"/>
      <w:shd w:val="clear" w:color="auto" w:fill="E1DFDD"/>
    </w:rPr>
  </w:style>
  <w:style w:type="table" w:styleId="TableGrid">
    <w:name w:val="Table Grid"/>
    <w:basedOn w:val="TableNormal"/>
    <w:uiPriority w:val="39"/>
    <w:rsid w:val="00B85B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29067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29067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4758</Words>
  <Characters>26027</Characters>
  <Application>Microsoft Office Word</Application>
  <DocSecurity>0</DocSecurity>
  <Lines>500</Lines>
  <Paragraphs>120</Paragraphs>
  <ScaleCrop>false</ScaleCrop>
  <Company/>
  <LinksUpToDate>false</LinksUpToDate>
  <CharactersWithSpaces>30665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Yusif Alabed</dc:creator>
  <cp:keywords/>
  <dc:description/>
  <cp:lastModifiedBy>Yusif Alabed</cp:lastModifiedBy>
  <cp:revision>2</cp:revision>
  <dcterms:created xsi:type="dcterms:W3CDTF">2025-12-15T06:15:00Z</dcterms:created>
  <dcterms:modified xsi:type="dcterms:W3CDTF">2025-12-15T06:15:00Z</dcterms:modified>
</cp:coreProperties>
</file>