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40"/>
          <w:szCs w:val="40"/>
        </w:rPr>
        <w:t xml:space="preserve">ICONFAM</w:t>
      </w:r>
    </w:p>
    <w:p>
      <w:pPr>
        <w:spacing w:after="60"/>
        <w:jc w:val="center"/>
      </w:pPr>
      <w:r>
        <w:rPr>
          <w:i/>
          <w:iCs/>
          <w:color w:val="2E6B34"/>
          <w:sz w:val="24"/>
          <w:szCs w:val="24"/>
        </w:rPr>
        <w:t xml:space="preserve">Independent Verification for Everything You Fund Back Home</w:t>
      </w:r>
    </w:p>
    <w:p>
      <w:pPr>
        <w:spacing w:after="300"/>
        <w:jc w:val="center"/>
      </w:pPr>
      <w:r>
        <w:rPr>
          <w:color w:val="222222"/>
          <w:sz w:val="20"/>
          <w:szCs w:val="20"/>
        </w:rPr>
        <w:t xml:space="preserve">Unified Plan — Property Verification  •  Ground-Up Build Oversight  •  Agriculture Oversight</w:t>
      </w:r>
    </w:p>
    <w:p>
      <w:pPr>
        <w:spacing w:after="60"/>
        <w:jc w:val="center"/>
      </w:pPr>
      <w:r>
        <w:rPr>
          <w:b/>
          <w:bCs/>
          <w:color w:val="222222"/>
          <w:sz w:val="20"/>
          <w:szCs w:val="20"/>
        </w:rPr>
        <w:t xml:space="preserve">Prepared For: Yusuf B. Adejumo (Aboy)  |  Zillan Estate Holdings LLC</w:t>
      </w:r>
    </w:p>
    <w:p>
      <w:pPr>
        <w:spacing w:after="60"/>
        <w:jc w:val="center"/>
      </w:pPr>
      <w:r>
        <w:rPr>
          <w:color w:val="222222"/>
          <w:sz w:val="20"/>
          <w:szCs w:val="20"/>
        </w:rPr>
        <w:t xml:space="preserve">Senior DevOps/AI Engineer  |  Real Estate Investor  |  Diaspora Nigerian-American</w:t>
      </w:r>
    </w:p>
    <w:p>
      <w:pPr>
        <w:spacing w:after="400"/>
        <w:jc w:val="center"/>
      </w:pPr>
      <w:r>
        <w:rPr>
          <w:i/>
          <w:iCs/>
          <w:color w:val="666666"/>
          <w:sz w:val="18"/>
          <w:szCs w:val="18"/>
        </w:rPr>
        <w:t xml:space="preserve">Cypress, Texas  |  September 2026  |  Confidential  |  Brand: iConfam — iconfam.com and CAC name secured  |  Opt-in landing page live  |  Supersedes: Diaspora Build Oversight plan, AgriGuard NG plan</w:t>
      </w:r>
    </w:p>
    <w:tbl>
      <w:tblPr>
        <w:tblW w:type="dxa" w:w="9350"/>
        <w:tblBorders>
          <w:top w:val="single" w:color="2E6B34" w:sz="4"/>
          <w:left w:val="single" w:color="2E6B34" w:sz="4"/>
          <w:bottom w:val="single" w:color="2E6B34" w:sz="4"/>
          <w:right w:val="single" w:color="2E6B34" w:sz="4"/>
          <w:insideH w:val="none"/>
          <w:insideV w:val="none"/>
        </w:tblBorders>
      </w:tblPr>
      <w:tblGrid>
        <w:gridCol w:w="100"/>
      </w:tblGrid>
      <w:tr>
        <w:tc>
          <w:tcPr>
            <w:tcW w:type="dxa" w:w="9350"/>
            <w:shd w:fill="EAF2E9" w:val="clear"/>
            <w:tcMar>
              <w:top w:type="dxa" w:w="160"/>
              <w:left w:type="dxa" w:w="200"/>
              <w:bottom w:type="dxa" w:w="160"/>
              <w:right w:type="dxa" w:w="200"/>
            </w:tcMar>
          </w:tcPr>
          <w:p>
            <w:r>
              <w:rPr>
                <w:b/>
                <w:bCs/>
                <w:color w:val="1F3A5F"/>
                <w:sz w:val="21"/>
                <w:szCs w:val="21"/>
              </w:rPr>
              <w:t xml:space="preserve">WHAT CHANGED: Diaspora Build Oversight (property/construction) and AgriGuard NG (agriculture) are being merged into one platform, now branded iConfam — Nigerian Pidgin for “I confirm it / I checked it,” chosen because it reads as authentically of the culture rather than marketed at it, and because iconfam.com and the CAC business name were both confirmed available. Property purchase verification and ground-up build oversight become the lead offer (Phase 1) because the diaspora dollar pool behind it is larger and better documented (~$6.3B/yr, roughly 30% of the $20.9B in 2024 remittances) and the fraud story (fake titles, double land sales) is sharper and more urgent than agriculture's. Agriculture becomes Phase 2. UPDATE: competitor research found this space more crowded than first assessed — see Competitive Landscape. Pricing has been revised down to stay credible against a free-to-client incumbent, and specific AI-assisted features have been added as the real differentiator alongside independence from contractor/developer commissions.</w:t>
            </w:r>
          </w:p>
        </w:tc>
      </w:tr>
    </w:tbl>
    <w:p>
      <w:r>
        <w:br/>
        <w:t xml:space="preserve"/>
      </w:r>
    </w:p>
    <w:p>
      <w:pPr>
        <w:pStyle w:val="Heading1"/>
        <w:spacing w:after="160" w:before="360"/>
      </w:pPr>
      <w:r>
        <w:rPr>
          <w:b/>
          <w:bCs/>
          <w:color w:val="1F3A5F"/>
          <w:sz w:val="28"/>
          <w:szCs w:val="28"/>
        </w:rPr>
        <w:t xml:space="preserve">Why One Platform, Not Two</w:t>
      </w:r>
    </w:p>
    <w:p>
      <w:pPr>
        <w:spacing w:after="160" w:line="276"/>
      </w:pPr>
      <w:r>
        <w:rPr>
          <w:b w:val="false"/>
          <w:bCs w:val="false"/>
          <w:i w:val="false"/>
          <w:iCs w:val="false"/>
          <w:color w:val="222222"/>
          <w:sz w:val="21"/>
          <w:szCs w:val="21"/>
        </w:rPr>
        <w:t xml:space="preserve">Property verification, build oversight, and farm verification all reduce to the same three moving parts: a field agent who visits and documents, a dashboard the diaspora client can check from abroad, and a milestone sign-off before the client's money moves to the next stage. Running these as two separate ventures — one for construction, one for agriculture — would mean building two field-agent networks, two dashboards, and two diaspora trust campaigns from scratch. Running them as one platform with two (soon three) service lines means every dollar spent on field-agent recruiting, dashboard development, and diaspora marketing pays off across every vertical, not just one.</w:t>
      </w:r>
    </w:p>
    <w:p>
      <w:pPr>
        <w:pStyle w:val="ListParagraph"/>
        <w:numPr>
          <w:ilvl w:val="0"/>
          <w:numId w:val="2"/>
        </w:numPr>
        <w:spacing w:after="90" w:line="264"/>
      </w:pPr>
      <w:r>
        <w:rPr>
          <w:b w:val="false"/>
          <w:bCs w:val="false"/>
          <w:color w:val="222222"/>
          <w:sz w:val="21"/>
          <w:szCs w:val="21"/>
        </w:rPr>
        <w:t xml:space="preserve">One brand, one trust story: “independent verification before your money moves” applies word-for-word whether the asset is a house, a build site, or a farm.</w:t>
      </w:r>
    </w:p>
    <w:p>
      <w:pPr>
        <w:pStyle w:val="ListParagraph"/>
        <w:numPr>
          <w:ilvl w:val="0"/>
          <w:numId w:val="2"/>
        </w:numPr>
        <w:spacing w:after="90" w:line="264"/>
      </w:pPr>
      <w:r>
        <w:rPr>
          <w:b w:val="false"/>
          <w:bCs w:val="false"/>
          <w:color w:val="222222"/>
          <w:sz w:val="21"/>
          <w:szCs w:val="21"/>
        </w:rPr>
        <w:t xml:space="preserve">One diaspora audience, multiple things to sell them: a client who verifies a land purchase this year is a warm lead for build oversight next year and farm oversight the year after, without new customer acquisition cost.</w:t>
      </w:r>
    </w:p>
    <w:p>
      <w:pPr>
        <w:pStyle w:val="ListParagraph"/>
        <w:numPr>
          <w:ilvl w:val="0"/>
          <w:numId w:val="2"/>
        </w:numPr>
        <w:spacing w:after="90" w:line="264"/>
      </w:pPr>
      <w:r>
        <w:rPr>
          <w:b w:val="false"/>
          <w:bCs w:val="false"/>
          <w:color w:val="222222"/>
          <w:sz w:val="21"/>
          <w:szCs w:val="21"/>
        </w:rPr>
        <w:t xml:space="preserve">One field-agent network, shared across verticals in the same state/region, improving unit economics for all of them at once (see the density math in the Roadmap section).</w:t>
      </w:r>
    </w:p>
    <w:p>
      <w:pPr>
        <w:pStyle w:val="Heading1"/>
        <w:spacing w:after="160" w:before="360"/>
      </w:pPr>
      <w:r>
        <w:rPr>
          <w:b/>
          <w:bCs/>
          <w:color w:val="1F3A5F"/>
          <w:sz w:val="28"/>
          <w:szCs w:val="28"/>
        </w:rPr>
        <w:t xml:space="preserve">Service Lines &amp; Sequencing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50"/>
        <w:gridCol w:w="2000"/>
        <w:gridCol w:w="4150"/>
        <w:gridCol w:w="2150"/>
      </w:tblGrid>
      <w:tr>
        <w:trPr>
          <w:tblHeader/>
        </w:trPr>
        <w:tc>
          <w:tcPr>
            <w:tcW w:type="dxa" w:w="1050"/>
            <w:shd w:fill="1F3A5F" w:val="clear"/>
            <w:tcMar>
              <w:top w:type="dxa" w:w="100"/>
              <w:left w:type="dxa" w:w="100"/>
              <w:bottom w:type="dxa" w:w="100"/>
              <w:right w:type="dxa" w:w="100"/>
            </w:tcMar>
            <w:vAlign w:val="center"/>
          </w:tcPr>
          <w:p>
            <w:r>
              <w:rPr>
                <w:b/>
                <w:bCs/>
                <w:color w:val="FFFFFF"/>
                <w:sz w:val="19"/>
                <w:szCs w:val="19"/>
              </w:rPr>
              <w:t xml:space="preserve">Phase</w:t>
            </w:r>
          </w:p>
        </w:tc>
        <w:tc>
          <w:tcPr>
            <w:tcW w:type="dxa" w:w="2000"/>
            <w:shd w:fill="1F3A5F" w:val="clear"/>
            <w:tcMar>
              <w:top w:type="dxa" w:w="100"/>
              <w:left w:type="dxa" w:w="100"/>
              <w:bottom w:type="dxa" w:w="100"/>
              <w:right w:type="dxa" w:w="100"/>
            </w:tcMar>
            <w:vAlign w:val="center"/>
          </w:tcPr>
          <w:p>
            <w:r>
              <w:rPr>
                <w:b/>
                <w:bCs/>
                <w:color w:val="FFFFFF"/>
                <w:sz w:val="19"/>
                <w:szCs w:val="19"/>
              </w:rPr>
              <w:t xml:space="preserve">Service Line</w:t>
            </w:r>
          </w:p>
        </w:tc>
        <w:tc>
          <w:tcPr>
            <w:tcW w:type="dxa" w:w="4150"/>
            <w:shd w:fill="1F3A5F" w:val="clear"/>
            <w:tcMar>
              <w:top w:type="dxa" w:w="100"/>
              <w:left w:type="dxa" w:w="100"/>
              <w:bottom w:type="dxa" w:w="100"/>
              <w:right w:type="dxa" w:w="100"/>
            </w:tcMar>
            <w:vAlign w:val="center"/>
          </w:tcPr>
          <w:p>
            <w:r>
              <w:rPr>
                <w:b/>
                <w:bCs/>
                <w:color w:val="FFFFFF"/>
                <w:sz w:val="19"/>
                <w:szCs w:val="19"/>
              </w:rPr>
              <w:t xml:space="preserve">What It Verifies</w:t>
            </w:r>
          </w:p>
        </w:tc>
        <w:tc>
          <w:tcPr>
            <w:tcW w:type="dxa" w:w="2150"/>
            <w:shd w:fill="1F3A5F" w:val="clear"/>
            <w:tcMar>
              <w:top w:type="dxa" w:w="100"/>
              <w:left w:type="dxa" w:w="100"/>
              <w:bottom w:type="dxa" w:w="100"/>
              <w:right w:type="dxa" w:w="100"/>
            </w:tcMar>
            <w:vAlign w:val="center"/>
          </w:tcPr>
          <w:p>
            <w:r>
              <w:rPr>
                <w:b/>
                <w:bCs/>
                <w:color w:val="FFFFFF"/>
                <w:sz w:val="19"/>
                <w:szCs w:val="19"/>
              </w:rPr>
              <w:t xml:space="preserve">Status</w:t>
            </w:r>
          </w:p>
        </w:tc>
      </w:tr>
      <w:tr>
        <w:tc>
          <w:tcPr>
            <w:tcW w:type="dxa" w:w="1050"/>
            <w:shd w:fill="FFFFFF" w:val="clear"/>
            <w:tcMar>
              <w:top w:type="dxa" w:w="90"/>
              <w:left w:type="dxa" w:w="100"/>
              <w:bottom w:type="dxa" w:w="90"/>
              <w:right w:type="dxa" w:w="100"/>
            </w:tcMar>
            <w:vAlign w:val="center"/>
          </w:tcPr>
          <w:p>
            <w:r>
              <w:rPr>
                <w:color w:val="222222"/>
                <w:sz w:val="18"/>
                <w:szCs w:val="18"/>
              </w:rPr>
              <w:t xml:space="preserve">1a — Lead Offer</w:t>
            </w:r>
          </w:p>
        </w:tc>
        <w:tc>
          <w:tcPr>
            <w:tcW w:type="dxa" w:w="2000"/>
            <w:shd w:fill="FFFFFF" w:val="clear"/>
            <w:tcMar>
              <w:top w:type="dxa" w:w="90"/>
              <w:left w:type="dxa" w:w="100"/>
              <w:bottom w:type="dxa" w:w="90"/>
              <w:right w:type="dxa" w:w="100"/>
            </w:tcMar>
            <w:vAlign w:val="center"/>
          </w:tcPr>
          <w:p>
            <w:r>
              <w:rPr>
                <w:color w:val="222222"/>
                <w:sz w:val="18"/>
                <w:szCs w:val="18"/>
              </w:rPr>
              <w:t xml:space="preserve">Property Purchase Verification</w:t>
            </w:r>
          </w:p>
        </w:tc>
        <w:tc>
          <w:tcPr>
            <w:tcW w:type="dxa" w:w="4150"/>
            <w:shd w:fill="FFFFFF" w:val="clear"/>
            <w:tcMar>
              <w:top w:type="dxa" w:w="90"/>
              <w:left w:type="dxa" w:w="100"/>
              <w:bottom w:type="dxa" w:w="90"/>
              <w:right w:type="dxa" w:w="100"/>
            </w:tcMar>
            <w:vAlign w:val="center"/>
          </w:tcPr>
          <w:p>
            <w:r>
              <w:rPr>
                <w:color w:val="222222"/>
                <w:sz w:val="18"/>
                <w:szCs w:val="18"/>
              </w:rPr>
              <w:t xml:space="preserve">Land/property title authenticity, seller legitimacy, physical condition matches listing, no double-sale red flags — before a diaspora buyer sends money. Title and document checks are run through a licensed lawyer and registered surveyor already in the network, not just a physical visit.</w:t>
            </w:r>
          </w:p>
        </w:tc>
        <w:tc>
          <w:tcPr>
            <w:tcW w:type="dxa" w:w="2150"/>
            <w:shd w:fill="FFFFFF" w:val="clear"/>
            <w:tcMar>
              <w:top w:type="dxa" w:w="90"/>
              <w:left w:type="dxa" w:w="100"/>
              <w:bottom w:type="dxa" w:w="90"/>
              <w:right w:type="dxa" w:w="100"/>
            </w:tcMar>
            <w:vAlign w:val="center"/>
          </w:tcPr>
          <w:p>
            <w:r>
              <w:rPr>
                <w:color w:val="222222"/>
                <w:sz w:val="18"/>
                <w:szCs w:val="18"/>
              </w:rPr>
              <w:t xml:space="preserve">Contacts for a lawyer, registered surveyor, and architect are already secured — this is a real, deliverable capability, not an aspiration</w:t>
            </w:r>
          </w:p>
        </w:tc>
      </w:tr>
      <w:tr>
        <w:tc>
          <w:tcPr>
            <w:tcW w:type="dxa" w:w="1050"/>
            <w:shd w:fill="F2F2F2" w:val="clear"/>
            <w:tcMar>
              <w:top w:type="dxa" w:w="90"/>
              <w:left w:type="dxa" w:w="100"/>
              <w:bottom w:type="dxa" w:w="90"/>
              <w:right w:type="dxa" w:w="100"/>
            </w:tcMar>
            <w:vAlign w:val="center"/>
          </w:tcPr>
          <w:p>
            <w:r>
              <w:rPr>
                <w:color w:val="222222"/>
                <w:sz w:val="18"/>
                <w:szCs w:val="18"/>
              </w:rPr>
              <w:t xml:space="preserve">1b</w:t>
            </w:r>
          </w:p>
        </w:tc>
        <w:tc>
          <w:tcPr>
            <w:tcW w:type="dxa" w:w="2000"/>
            <w:shd w:fill="F2F2F2" w:val="clear"/>
            <w:tcMar>
              <w:top w:type="dxa" w:w="90"/>
              <w:left w:type="dxa" w:w="100"/>
              <w:bottom w:type="dxa" w:w="90"/>
              <w:right w:type="dxa" w:w="100"/>
            </w:tcMar>
            <w:vAlign w:val="center"/>
          </w:tcPr>
          <w:p>
            <w:r>
              <w:rPr>
                <w:color w:val="222222"/>
                <w:sz w:val="18"/>
                <w:szCs w:val="18"/>
              </w:rPr>
              <w:t xml:space="preserve">Ground-Up Build Oversight</w:t>
            </w:r>
          </w:p>
        </w:tc>
        <w:tc>
          <w:tcPr>
            <w:tcW w:type="dxa" w:w="4150"/>
            <w:shd w:fill="F2F2F2" w:val="clear"/>
            <w:tcMar>
              <w:top w:type="dxa" w:w="90"/>
              <w:left w:type="dxa" w:w="100"/>
              <w:bottom w:type="dxa" w:w="90"/>
              <w:right w:type="dxa" w:w="100"/>
            </w:tcMar>
            <w:vAlign w:val="center"/>
          </w:tcPr>
          <w:p>
            <w:r>
              <w:rPr>
                <w:color w:val="222222"/>
                <w:sz w:val="18"/>
                <w:szCs w:val="18"/>
              </w:rPr>
              <w:t xml:space="preserve">Milestone-based construction verification (foundation, roofing, rough-in, finishing) before each payment tranche releases</w:t>
            </w:r>
          </w:p>
        </w:tc>
        <w:tc>
          <w:tcPr>
            <w:tcW w:type="dxa" w:w="2150"/>
            <w:shd w:fill="F2F2F2" w:val="clear"/>
            <w:tcMar>
              <w:top w:type="dxa" w:w="90"/>
              <w:left w:type="dxa" w:w="100"/>
              <w:bottom w:type="dxa" w:w="90"/>
              <w:right w:type="dxa" w:w="100"/>
            </w:tcMar>
            <w:vAlign w:val="center"/>
          </w:tcPr>
          <w:p>
            <w:r>
              <w:rPr>
                <w:color w:val="222222"/>
                <w:sz w:val="18"/>
                <w:szCs w:val="18"/>
              </w:rPr>
              <w:t xml:space="preserve">Carried over directly from the existing Diaspora Build Oversight business plan and roadmap</w:t>
            </w:r>
          </w:p>
        </w:tc>
      </w:tr>
      <w:tr>
        <w:tc>
          <w:tcPr>
            <w:tcW w:type="dxa" w:w="1050"/>
            <w:shd w:fill="FFFFFF" w:val="clear"/>
            <w:tcMar>
              <w:top w:type="dxa" w:w="90"/>
              <w:left w:type="dxa" w:w="100"/>
              <w:bottom w:type="dxa" w:w="90"/>
              <w:right w:type="dxa" w:w="100"/>
            </w:tcMar>
            <w:vAlign w:val="center"/>
          </w:tcPr>
          <w:p>
            <w:r>
              <w:rPr>
                <w:color w:val="222222"/>
                <w:sz w:val="18"/>
                <w:szCs w:val="18"/>
              </w:rPr>
              <w:t xml:space="preserve">2</w:t>
            </w:r>
          </w:p>
        </w:tc>
        <w:tc>
          <w:tcPr>
            <w:tcW w:type="dxa" w:w="2000"/>
            <w:shd w:fill="FFFFFF" w:val="clear"/>
            <w:tcMar>
              <w:top w:type="dxa" w:w="90"/>
              <w:left w:type="dxa" w:w="100"/>
              <w:bottom w:type="dxa" w:w="90"/>
              <w:right w:type="dxa" w:w="100"/>
            </w:tcMar>
            <w:vAlign w:val="center"/>
          </w:tcPr>
          <w:p>
            <w:r>
              <w:rPr>
                <w:color w:val="222222"/>
                <w:sz w:val="18"/>
                <w:szCs w:val="18"/>
              </w:rPr>
              <w:t xml:space="preserve">Agriculture Oversight</w:t>
            </w:r>
          </w:p>
        </w:tc>
        <w:tc>
          <w:tcPr>
            <w:tcW w:type="dxa" w:w="4150"/>
            <w:shd w:fill="FFFFFF" w:val="clear"/>
            <w:tcMar>
              <w:top w:type="dxa" w:w="90"/>
              <w:left w:type="dxa" w:w="100"/>
              <w:bottom w:type="dxa" w:w="90"/>
              <w:right w:type="dxa" w:w="100"/>
            </w:tcMar>
            <w:vAlign w:val="center"/>
          </w:tcPr>
          <w:p>
            <w:r>
              <w:rPr>
                <w:color w:val="222222"/>
                <w:sz w:val="18"/>
                <w:szCs w:val="18"/>
              </w:rPr>
              <w:t xml:space="preserve">Farm/agribusiness condition, input use, milestone verification (planting, input purchase, harvest) for diaspora-funded or diaspora-owned farms</w:t>
            </w:r>
          </w:p>
        </w:tc>
        <w:tc>
          <w:tcPr>
            <w:tcW w:type="dxa" w:w="2150"/>
            <w:shd w:fill="FFFFFF" w:val="clear"/>
            <w:tcMar>
              <w:top w:type="dxa" w:w="90"/>
              <w:left w:type="dxa" w:w="100"/>
              <w:bottom w:type="dxa" w:w="90"/>
              <w:right w:type="dxa" w:w="100"/>
            </w:tcMar>
            <w:vAlign w:val="center"/>
          </w:tcPr>
          <w:p>
            <w:r>
              <w:rPr>
                <w:color w:val="222222"/>
                <w:sz w:val="18"/>
                <w:szCs w:val="18"/>
              </w:rPr>
              <w:t xml:space="preserve">Carried over from the AgriGuard NG research and plan — becomes a second checklist template on the same platform</w:t>
            </w:r>
          </w:p>
        </w:tc>
      </w:tr>
      <w:tr>
        <w:tc>
          <w:tcPr>
            <w:tcW w:type="dxa" w:w="1050"/>
            <w:shd w:fill="F2F2F2" w:val="clear"/>
            <w:tcMar>
              <w:top w:type="dxa" w:w="90"/>
              <w:left w:type="dxa" w:w="100"/>
              <w:bottom w:type="dxa" w:w="90"/>
              <w:right w:type="dxa" w:w="100"/>
            </w:tcMar>
            <w:vAlign w:val="center"/>
          </w:tcPr>
          <w:p>
            <w:r>
              <w:rPr>
                <w:color w:val="222222"/>
                <w:sz w:val="18"/>
                <w:szCs w:val="18"/>
              </w:rPr>
              <w:t xml:space="preserve">3 — Future / Optional</w:t>
            </w:r>
          </w:p>
        </w:tc>
        <w:tc>
          <w:tcPr>
            <w:tcW w:type="dxa" w:w="2000"/>
            <w:shd w:fill="F2F2F2" w:val="clear"/>
            <w:tcMar>
              <w:top w:type="dxa" w:w="90"/>
              <w:left w:type="dxa" w:w="100"/>
              <w:bottom w:type="dxa" w:w="90"/>
              <w:right w:type="dxa" w:w="100"/>
            </w:tcMar>
            <w:vAlign w:val="center"/>
          </w:tcPr>
          <w:p>
            <w:r>
              <w:rPr>
                <w:color w:val="222222"/>
                <w:sz w:val="18"/>
                <w:szCs w:val="18"/>
              </w:rPr>
              <w:t xml:space="preserve">Standalone Land Title Verification</w:t>
            </w:r>
          </w:p>
        </w:tc>
        <w:tc>
          <w:tcPr>
            <w:tcW w:type="dxa" w:w="4150"/>
            <w:shd w:fill="F2F2F2" w:val="clear"/>
            <w:tcMar>
              <w:top w:type="dxa" w:w="90"/>
              <w:left w:type="dxa" w:w="100"/>
              <w:bottom w:type="dxa" w:w="90"/>
              <w:right w:type="dxa" w:w="100"/>
            </w:tcMar>
            <w:vAlign w:val="center"/>
          </w:tcPr>
          <w:p>
            <w:r>
              <w:rPr>
                <w:color w:val="222222"/>
                <w:sz w:val="18"/>
                <w:szCs w:val="18"/>
              </w:rPr>
              <w:t xml:space="preserve">A lower-priced, higher-frequency stripped-down product: just the title/ownership check, no full property inspection</w:t>
            </w:r>
          </w:p>
        </w:tc>
        <w:tc>
          <w:tcPr>
            <w:tcW w:type="dxa" w:w="2150"/>
            <w:shd w:fill="F2F2F2" w:val="clear"/>
            <w:tcMar>
              <w:top w:type="dxa" w:w="90"/>
              <w:left w:type="dxa" w:w="100"/>
              <w:bottom w:type="dxa" w:w="90"/>
              <w:right w:type="dxa" w:w="100"/>
            </w:tcMar>
            <w:vAlign w:val="center"/>
          </w:tcPr>
          <w:p>
            <w:r>
              <w:rPr>
                <w:color w:val="222222"/>
                <w:sz w:val="18"/>
                <w:szCs w:val="18"/>
              </w:rPr>
              <w:t xml:space="preserve">To be evaluated after Phase 1 traction — the registered surveyor and lawyer contacts already secured for Phase 1a make this an easier lift than originally scoped</w:t>
            </w:r>
          </w:p>
        </w:tc>
      </w:tr>
    </w:tbl>
    <w:p>
      <w:pPr>
        <w:pStyle w:val="Heading1"/>
        <w:spacing w:after="160" w:before="360"/>
      </w:pPr>
      <w:r>
        <w:rPr>
          <w:b/>
          <w:bCs/>
          <w:color w:val="1F3A5F"/>
          <w:sz w:val="28"/>
          <w:szCs w:val="28"/>
        </w:rPr>
        <w:t xml:space="preserve">Market Validation Recap</w:t>
      </w:r>
    </w:p>
    <w:p>
      <w:pPr>
        <w:spacing w:after="160" w:line="276"/>
      </w:pPr>
      <w:r>
        <w:rPr>
          <w:b w:val="false"/>
          <w:bCs w:val="false"/>
          <w:i w:val="false"/>
          <w:iCs w:val="false"/>
          <w:color w:val="222222"/>
          <w:sz w:val="21"/>
          <w:szCs w:val="21"/>
        </w:rPr>
        <w:t xml:space="preserve">The full underlying research for each vertical is already documented; this is the comparison that drove the sequencing decision.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3950"/>
        <w:gridCol w:w="3850"/>
      </w:tblGrid>
      <w:tr>
        <w:trPr>
          <w:tblHeader/>
        </w:trPr>
        <w:tc>
          <w:tcPr>
            <w:tcW w:type="dxa" w:w="1550"/>
            <w:shd w:fill="1F3A5F" w:val="clear"/>
            <w:tcMar>
              <w:top w:type="dxa" w:w="100"/>
              <w:left w:type="dxa" w:w="100"/>
              <w:bottom w:type="dxa" w:w="100"/>
              <w:right w:type="dxa" w:w="100"/>
            </w:tcMar>
            <w:vAlign w:val="center"/>
          </w:tcPr>
          <w:p>
            <w:r>
              <w:rPr>
                <w:b/>
                <w:bCs/>
                <w:color w:val="FFFFFF"/>
                <w:sz w:val="19"/>
                <w:szCs w:val="19"/>
              </w:rPr>
              <w:t xml:space="preserve">Factor</w:t>
            </w:r>
          </w:p>
        </w:tc>
        <w:tc>
          <w:tcPr>
            <w:tcW w:type="dxa" w:w="3950"/>
            <w:shd w:fill="1F3A5F" w:val="clear"/>
            <w:tcMar>
              <w:top w:type="dxa" w:w="100"/>
              <w:left w:type="dxa" w:w="100"/>
              <w:bottom w:type="dxa" w:w="100"/>
              <w:right w:type="dxa" w:w="100"/>
            </w:tcMar>
            <w:vAlign w:val="center"/>
          </w:tcPr>
          <w:p>
            <w:r>
              <w:rPr>
                <w:b/>
                <w:bCs/>
                <w:color w:val="FFFFFF"/>
                <w:sz w:val="19"/>
                <w:szCs w:val="19"/>
              </w:rPr>
              <w:t xml:space="preserve">Property / Build</w:t>
            </w:r>
          </w:p>
        </w:tc>
        <w:tc>
          <w:tcPr>
            <w:tcW w:type="dxa" w:w="3850"/>
            <w:shd w:fill="1F3A5F" w:val="clear"/>
            <w:tcMar>
              <w:top w:type="dxa" w:w="100"/>
              <w:left w:type="dxa" w:w="100"/>
              <w:bottom w:type="dxa" w:w="100"/>
              <w:right w:type="dxa" w:w="100"/>
            </w:tcMar>
            <w:vAlign w:val="center"/>
          </w:tcPr>
          <w:p>
            <w:r>
              <w:rPr>
                <w:b/>
                <w:bCs/>
                <w:color w:val="FFFFFF"/>
                <w:sz w:val="19"/>
                <w:szCs w:val="19"/>
              </w:rPr>
              <w:t xml:space="preserve">Agriculture</w:t>
            </w:r>
          </w:p>
        </w:tc>
      </w:tr>
      <w:tr>
        <w:tc>
          <w:tcPr>
            <w:tcW w:type="dxa" w:w="1550"/>
            <w:shd w:fill="FFFFFF" w:val="clear"/>
            <w:tcMar>
              <w:top w:type="dxa" w:w="90"/>
              <w:left w:type="dxa" w:w="100"/>
              <w:bottom w:type="dxa" w:w="90"/>
              <w:right w:type="dxa" w:w="100"/>
            </w:tcMar>
            <w:vAlign w:val="center"/>
          </w:tcPr>
          <w:p>
            <w:r>
              <w:rPr>
                <w:color w:val="222222"/>
                <w:sz w:val="18"/>
                <w:szCs w:val="18"/>
              </w:rPr>
              <w:t xml:space="preserve">Diaspora $ pool</w:t>
            </w:r>
          </w:p>
        </w:tc>
        <w:tc>
          <w:tcPr>
            <w:tcW w:type="dxa" w:w="3950"/>
            <w:shd w:fill="FFFFFF" w:val="clear"/>
            <w:tcMar>
              <w:top w:type="dxa" w:w="90"/>
              <w:left w:type="dxa" w:w="100"/>
              <w:bottom w:type="dxa" w:w="90"/>
              <w:right w:type="dxa" w:w="100"/>
            </w:tcMar>
            <w:vAlign w:val="center"/>
          </w:tcPr>
          <w:p>
            <w:r>
              <w:rPr>
                <w:color w:val="222222"/>
                <w:sz w:val="18"/>
                <w:szCs w:val="18"/>
              </w:rPr>
              <w:t xml:space="preserve">~$5-7B/year estimated into real estate specifically (~25-30% of $21.8B total remittances); diaspora buyers estimated at ~70% of Nigerian real estate investment overall</w:t>
            </w:r>
          </w:p>
        </w:tc>
        <w:tc>
          <w:tcPr>
            <w:tcW w:type="dxa" w:w="3850"/>
            <w:shd w:fill="FFFFFF" w:val="clear"/>
            <w:tcMar>
              <w:top w:type="dxa" w:w="90"/>
              <w:left w:type="dxa" w:w="100"/>
              <w:bottom w:type="dxa" w:w="90"/>
              <w:right w:type="dxa" w:w="100"/>
            </w:tcMar>
            <w:vAlign w:val="center"/>
          </w:tcPr>
          <w:p>
            <w:r>
              <w:rPr>
                <w:color w:val="222222"/>
                <w:sz w:val="18"/>
                <w:szCs w:val="18"/>
              </w:rPr>
              <w:t xml:space="preserve">No reliable published figure — described as “growing” in 2025-2026 coverage, plausibly low-single-digit percent of remittances ($500M-$1B+/yr), but not a hard number</w:t>
            </w:r>
          </w:p>
        </w:tc>
      </w:tr>
      <w:tr>
        <w:tc>
          <w:tcPr>
            <w:tcW w:type="dxa" w:w="1550"/>
            <w:shd w:fill="F2F2F2" w:val="clear"/>
            <w:tcMar>
              <w:top w:type="dxa" w:w="90"/>
              <w:left w:type="dxa" w:w="100"/>
              <w:bottom w:type="dxa" w:w="90"/>
              <w:right w:type="dxa" w:w="100"/>
            </w:tcMar>
            <w:vAlign w:val="center"/>
          </w:tcPr>
          <w:p>
            <w:r>
              <w:rPr>
                <w:color w:val="222222"/>
                <w:sz w:val="18"/>
                <w:szCs w:val="18"/>
              </w:rPr>
              <w:t xml:space="preserve">Fraud/pain story</w:t>
            </w:r>
          </w:p>
        </w:tc>
        <w:tc>
          <w:tcPr>
            <w:tcW w:type="dxa" w:w="3950"/>
            <w:shd w:fill="F2F2F2" w:val="clear"/>
            <w:tcMar>
              <w:top w:type="dxa" w:w="90"/>
              <w:left w:type="dxa" w:w="100"/>
              <w:bottom w:type="dxa" w:w="90"/>
              <w:right w:type="dxa" w:w="100"/>
            </w:tcMar>
            <w:vAlign w:val="center"/>
          </w:tcPr>
          <w:p>
            <w:r>
              <w:rPr>
                <w:color w:val="222222"/>
                <w:sz w:val="18"/>
                <w:szCs w:val="18"/>
              </w:rPr>
              <w:t xml:space="preserve">Fake land titles, double sales, and non-existent developments are a widely documented, widely feared pattern among diaspora buyers</w:t>
            </w:r>
          </w:p>
        </w:tc>
        <w:tc>
          <w:tcPr>
            <w:tcW w:type="dxa" w:w="3850"/>
            <w:shd w:fill="F2F2F2" w:val="clear"/>
            <w:tcMar>
              <w:top w:type="dxa" w:w="90"/>
              <w:left w:type="dxa" w:w="100"/>
              <w:bottom w:type="dxa" w:w="90"/>
              <w:right w:type="dxa" w:w="100"/>
            </w:tcMar>
            <w:vAlign w:val="center"/>
          </w:tcPr>
          <w:p>
            <w:r>
              <w:rPr>
                <w:color w:val="222222"/>
                <w:sz w:val="18"/>
                <w:szCs w:val="18"/>
              </w:rPr>
              <w:t xml:space="preserve">The 2020-2022 agric-crowdfunding collapse (FarmCrowdy, ThriveAgric, reQuid) is real and severe, but is a story about investment platforms, not farm ownership specifically — a one step more abstract sell</w:t>
            </w:r>
          </w:p>
        </w:tc>
      </w:tr>
      <w:tr>
        <w:tc>
          <w:tcPr>
            <w:tcW w:type="dxa" w:w="1550"/>
            <w:shd w:fill="FFFFFF" w:val="clear"/>
            <w:tcMar>
              <w:top w:type="dxa" w:w="90"/>
              <w:left w:type="dxa" w:w="100"/>
              <w:bottom w:type="dxa" w:w="90"/>
              <w:right w:type="dxa" w:w="100"/>
            </w:tcMar>
            <w:vAlign w:val="center"/>
          </w:tcPr>
          <w:p>
            <w:r>
              <w:rPr>
                <w:color w:val="222222"/>
                <w:sz w:val="18"/>
                <w:szCs w:val="18"/>
              </w:rPr>
              <w:t xml:space="preserve">Existing foundation</w:t>
            </w:r>
          </w:p>
        </w:tc>
        <w:tc>
          <w:tcPr>
            <w:tcW w:type="dxa" w:w="3950"/>
            <w:shd w:fill="FFFFFF" w:val="clear"/>
            <w:tcMar>
              <w:top w:type="dxa" w:w="90"/>
              <w:left w:type="dxa" w:w="100"/>
              <w:bottom w:type="dxa" w:w="90"/>
              <w:right w:type="dxa" w:w="100"/>
            </w:tcMar>
            <w:vAlign w:val="center"/>
          </w:tcPr>
          <w:p>
            <w:r>
              <w:rPr>
                <w:color w:val="222222"/>
                <w:sz w:val="18"/>
                <w:szCs w:val="18"/>
              </w:rPr>
              <w:t xml:space="preserve">Full business plan, competitive analysis, and roadmap already produced for Diaspora Build Oversight</w:t>
            </w:r>
          </w:p>
        </w:tc>
        <w:tc>
          <w:tcPr>
            <w:tcW w:type="dxa" w:w="3850"/>
            <w:shd w:fill="FFFFFF" w:val="clear"/>
            <w:tcMar>
              <w:top w:type="dxa" w:w="90"/>
              <w:left w:type="dxa" w:w="100"/>
              <w:bottom w:type="dxa" w:w="90"/>
              <w:right w:type="dxa" w:w="100"/>
            </w:tcMar>
            <w:vAlign w:val="center"/>
          </w:tcPr>
          <w:p>
            <w:r>
              <w:rPr>
                <w:color w:val="222222"/>
                <w:sz w:val="18"/>
                <w:szCs w:val="18"/>
              </w:rPr>
              <w:t xml:space="preserve">Research-stage: problem validation and business-idea comparison completed, no field pilot yet</w:t>
            </w:r>
          </w:p>
        </w:tc>
      </w:tr>
      <w:tr>
        <w:tc>
          <w:tcPr>
            <w:tcW w:type="dxa" w:w="1550"/>
            <w:shd w:fill="F2F2F2" w:val="clear"/>
            <w:tcMar>
              <w:top w:type="dxa" w:w="90"/>
              <w:left w:type="dxa" w:w="100"/>
              <w:bottom w:type="dxa" w:w="90"/>
              <w:right w:type="dxa" w:w="100"/>
            </w:tcMar>
            <w:vAlign w:val="center"/>
          </w:tcPr>
          <w:p>
            <w:r>
              <w:rPr>
                <w:color w:val="222222"/>
                <w:sz w:val="18"/>
                <w:szCs w:val="18"/>
              </w:rPr>
              <w:t xml:space="preserve">Direct competition</w:t>
            </w:r>
          </w:p>
        </w:tc>
        <w:tc>
          <w:tcPr>
            <w:tcW w:type="dxa" w:w="3950"/>
            <w:shd w:fill="F2F2F2" w:val="clear"/>
            <w:tcMar>
              <w:top w:type="dxa" w:w="90"/>
              <w:left w:type="dxa" w:w="100"/>
              <w:bottom w:type="dxa" w:w="90"/>
              <w:right w:type="dxa" w:w="100"/>
            </w:tcMar>
            <w:vAlign w:val="center"/>
          </w:tcPr>
          <w:p>
            <w:r>
              <w:rPr>
                <w:color w:val="222222"/>
                <w:sz w:val="18"/>
                <w:szCs w:val="18"/>
              </w:rPr>
              <w:t xml:space="preserve">DiasporaBuild identified as the dominant incumbent, but Francophone-heavy — leaving the Anglophone Nigerian-American corridor open</w:t>
            </w:r>
          </w:p>
        </w:tc>
        <w:tc>
          <w:tcPr>
            <w:tcW w:type="dxa" w:w="3850"/>
            <w:shd w:fill="F2F2F2" w:val="clear"/>
            <w:tcMar>
              <w:top w:type="dxa" w:w="90"/>
              <w:left w:type="dxa" w:w="100"/>
              <w:bottom w:type="dxa" w:w="90"/>
              <w:right w:type="dxa" w:w="100"/>
            </w:tcMar>
            <w:vAlign w:val="center"/>
          </w:tcPr>
          <w:p>
            <w:r>
              <w:rPr>
                <w:color w:val="222222"/>
                <w:sz w:val="18"/>
                <w:szCs w:val="18"/>
              </w:rPr>
              <w:t xml:space="preserve">Vantage Nigeria already sells structured monthly farm reports to diaspora clients in the UK/US/Canada/Gulf — a live, English-language competitor</w:t>
            </w:r>
          </w:p>
        </w:tc>
      </w:tr>
    </w:tbl>
    <w:p>
      <w:pPr>
        <w:pStyle w:val="Heading1"/>
        <w:spacing w:after="160" w:before="360"/>
      </w:pPr>
      <w:r>
        <w:rPr>
          <w:b/>
          <w:bCs/>
          <w:color w:val="1F3A5F"/>
          <w:sz w:val="28"/>
          <w:szCs w:val="28"/>
        </w:rPr>
        <w:t xml:space="preserve">Unified Revenue Model — Fair, Competitive Pricing</w:t>
      </w:r>
    </w:p>
    <w:p>
      <w:pPr>
        <w:spacing w:after="160" w:line="276"/>
      </w:pPr>
      <w:r>
        <w:rPr>
          <w:b w:val="false"/>
          <w:bCs w:val="false"/>
          <w:i w:val="false"/>
          <w:iCs w:val="false"/>
          <w:color w:val="222222"/>
          <w:sz w:val="21"/>
          <w:szCs w:val="21"/>
        </w:rPr>
        <w:t xml:space="preserve">Pricing below is set deliberately lower than the first draft of this plan, specifically to remain credible against DiasporaBuild's free-to-client model. Independence and AI-assisted turnaround are the reasons to pay here — not price.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50"/>
      </w:tblGrid>
      <w:tr>
        <w:trPr>
          <w:tblHeader/>
        </w:trPr>
        <w:tc>
          <w:tcPr>
            <w:tcW w:type="dxa" w:w="3000"/>
            <w:shd w:fill="1F3A5F" w:val="clear"/>
            <w:tcMar>
              <w:top w:type="dxa" w:w="100"/>
              <w:left w:type="dxa" w:w="100"/>
              <w:bottom w:type="dxa" w:w="100"/>
              <w:right w:type="dxa" w:w="100"/>
            </w:tcMar>
            <w:vAlign w:val="center"/>
          </w:tcPr>
          <w:p>
            <w:r>
              <w:rPr>
                <w:b/>
                <w:bCs/>
                <w:color w:val="FFFFFF"/>
                <w:sz w:val="19"/>
                <w:szCs w:val="19"/>
              </w:rPr>
              <w:t xml:space="preserve">Product</w:t>
            </w:r>
          </w:p>
        </w:tc>
        <w:tc>
          <w:tcPr>
            <w:tcW w:type="dxa" w:w="3300"/>
            <w:shd w:fill="1F3A5F" w:val="clear"/>
            <w:tcMar>
              <w:top w:type="dxa" w:w="100"/>
              <w:left w:type="dxa" w:w="100"/>
              <w:bottom w:type="dxa" w:w="100"/>
              <w:right w:type="dxa" w:w="100"/>
            </w:tcMar>
            <w:vAlign w:val="center"/>
          </w:tcPr>
          <w:p>
            <w:r>
              <w:rPr>
                <w:b/>
                <w:bCs/>
                <w:color w:val="FFFFFF"/>
                <w:sz w:val="19"/>
                <w:szCs w:val="19"/>
              </w:rPr>
              <w:t xml:space="preserve">Applies To</w:t>
            </w:r>
          </w:p>
        </w:tc>
        <w:tc>
          <w:tcPr>
            <w:tcW w:type="dxa" w:w="3050"/>
            <w:shd w:fill="1F3A5F" w:val="clear"/>
            <w:tcMar>
              <w:top w:type="dxa" w:w="100"/>
              <w:left w:type="dxa" w:w="100"/>
              <w:bottom w:type="dxa" w:w="100"/>
              <w:right w:type="dxa" w:w="100"/>
            </w:tcMar>
            <w:vAlign w:val="center"/>
          </w:tcPr>
          <w:p>
            <w:r>
              <w:rPr>
                <w:b/>
                <w:bCs/>
                <w:color w:val="FFFFFF"/>
                <w:sz w:val="19"/>
                <w:szCs w:val="19"/>
              </w:rPr>
              <w:t xml:space="preserve">Fair Price</w:t>
            </w:r>
          </w:p>
        </w:tc>
      </w:tr>
      <w:tr>
        <w:tc>
          <w:tcPr>
            <w:tcW w:type="dxa" w:w="3000"/>
            <w:shd w:fill="FFFFFF" w:val="clear"/>
            <w:tcMar>
              <w:top w:type="dxa" w:w="90"/>
              <w:left w:type="dxa" w:w="100"/>
              <w:bottom w:type="dxa" w:w="90"/>
              <w:right w:type="dxa" w:w="100"/>
            </w:tcMar>
            <w:vAlign w:val="center"/>
          </w:tcPr>
          <w:p>
            <w:r>
              <w:rPr>
                <w:color w:val="222222"/>
                <w:sz w:val="18"/>
                <w:szCs w:val="18"/>
              </w:rPr>
              <w:t xml:space="preserve">Purchase Due-Diligence Report</w:t>
            </w:r>
          </w:p>
        </w:tc>
        <w:tc>
          <w:tcPr>
            <w:tcW w:type="dxa" w:w="3300"/>
            <w:shd w:fill="FFFFFF" w:val="clear"/>
            <w:tcMar>
              <w:top w:type="dxa" w:w="90"/>
              <w:left w:type="dxa" w:w="100"/>
              <w:bottom w:type="dxa" w:w="90"/>
              <w:right w:type="dxa" w:w="100"/>
            </w:tcMar>
            <w:vAlign w:val="center"/>
          </w:tcPr>
          <w:p>
            <w:r>
              <w:rPr>
                <w:color w:val="222222"/>
                <w:sz w:val="18"/>
                <w:szCs w:val="18"/>
              </w:rPr>
              <w:t xml:space="preserve">Property (Phase 1a)</w:t>
            </w:r>
          </w:p>
        </w:tc>
        <w:tc>
          <w:tcPr>
            <w:tcW w:type="dxa" w:w="3050"/>
            <w:shd w:fill="FFFFFF" w:val="clear"/>
            <w:tcMar>
              <w:top w:type="dxa" w:w="90"/>
              <w:left w:type="dxa" w:w="100"/>
              <w:bottom w:type="dxa" w:w="90"/>
              <w:right w:type="dxa" w:w="100"/>
            </w:tcMar>
            <w:vAlign w:val="center"/>
          </w:tcPr>
          <w:p>
            <w:r>
              <w:rPr>
                <w:color w:val="222222"/>
                <w:sz w:val="18"/>
                <w:szCs w:val="18"/>
              </w:rPr>
              <w:t xml:space="preserve">$180-$280 flat, one-time</w:t>
            </w:r>
          </w:p>
        </w:tc>
      </w:tr>
      <w:tr>
        <w:tc>
          <w:tcPr>
            <w:tcW w:type="dxa" w:w="3000"/>
            <w:shd w:fill="F2F2F2" w:val="clear"/>
            <w:tcMar>
              <w:top w:type="dxa" w:w="90"/>
              <w:left w:type="dxa" w:w="100"/>
              <w:bottom w:type="dxa" w:w="90"/>
              <w:right w:type="dxa" w:w="100"/>
            </w:tcMar>
            <w:vAlign w:val="center"/>
          </w:tcPr>
          <w:p>
            <w:r>
              <w:rPr>
                <w:color w:val="222222"/>
                <w:sz w:val="18"/>
                <w:szCs w:val="18"/>
              </w:rPr>
              <w:t xml:space="preserve">Build Milestone Oversight</w:t>
            </w:r>
          </w:p>
        </w:tc>
        <w:tc>
          <w:tcPr>
            <w:tcW w:type="dxa" w:w="3300"/>
            <w:shd w:fill="F2F2F2" w:val="clear"/>
            <w:tcMar>
              <w:top w:type="dxa" w:w="90"/>
              <w:left w:type="dxa" w:w="100"/>
              <w:bottom w:type="dxa" w:w="90"/>
              <w:right w:type="dxa" w:w="100"/>
            </w:tcMar>
            <w:vAlign w:val="center"/>
          </w:tcPr>
          <w:p>
            <w:r>
              <w:rPr>
                <w:color w:val="222222"/>
                <w:sz w:val="18"/>
                <w:szCs w:val="18"/>
              </w:rPr>
              <w:t xml:space="preserve">Construction (Phase 1b)</w:t>
            </w:r>
          </w:p>
        </w:tc>
        <w:tc>
          <w:tcPr>
            <w:tcW w:type="dxa" w:w="3050"/>
            <w:shd w:fill="F2F2F2" w:val="clear"/>
            <w:tcMar>
              <w:top w:type="dxa" w:w="90"/>
              <w:left w:type="dxa" w:w="100"/>
              <w:bottom w:type="dxa" w:w="90"/>
              <w:right w:type="dxa" w:w="100"/>
            </w:tcMar>
            <w:vAlign w:val="center"/>
          </w:tcPr>
          <w:p>
            <w:r>
              <w:rPr>
                <w:color w:val="222222"/>
                <w:sz w:val="18"/>
                <w:szCs w:val="18"/>
              </w:rPr>
              <w:t xml:space="preserve">$60-$120 per milestone visit</w:t>
            </w:r>
          </w:p>
        </w:tc>
      </w:tr>
      <w:tr>
        <w:tc>
          <w:tcPr>
            <w:tcW w:type="dxa" w:w="3000"/>
            <w:shd w:fill="FFFFFF" w:val="clear"/>
            <w:tcMar>
              <w:top w:type="dxa" w:w="90"/>
              <w:left w:type="dxa" w:w="100"/>
              <w:bottom w:type="dxa" w:w="90"/>
              <w:right w:type="dxa" w:w="100"/>
            </w:tcMar>
            <w:vAlign w:val="center"/>
          </w:tcPr>
          <w:p>
            <w:r>
              <w:rPr>
                <w:color w:val="222222"/>
                <w:sz w:val="18"/>
                <w:szCs w:val="18"/>
              </w:rPr>
              <w:t xml:space="preserve">Farm/Agribusiness Due-Diligence Report</w:t>
            </w:r>
          </w:p>
        </w:tc>
        <w:tc>
          <w:tcPr>
            <w:tcW w:type="dxa" w:w="3300"/>
            <w:shd w:fill="FFFFFF" w:val="clear"/>
            <w:tcMar>
              <w:top w:type="dxa" w:w="90"/>
              <w:left w:type="dxa" w:w="100"/>
              <w:bottom w:type="dxa" w:w="90"/>
              <w:right w:type="dxa" w:w="100"/>
            </w:tcMar>
            <w:vAlign w:val="center"/>
          </w:tcPr>
          <w:p>
            <w:r>
              <w:rPr>
                <w:color w:val="222222"/>
                <w:sz w:val="18"/>
                <w:szCs w:val="18"/>
              </w:rPr>
              <w:t xml:space="preserve">Agriculture (Phase 2)</w:t>
            </w:r>
          </w:p>
        </w:tc>
        <w:tc>
          <w:tcPr>
            <w:tcW w:type="dxa" w:w="3050"/>
            <w:shd w:fill="FFFFFF" w:val="clear"/>
            <w:tcMar>
              <w:top w:type="dxa" w:w="90"/>
              <w:left w:type="dxa" w:w="100"/>
              <w:bottom w:type="dxa" w:w="90"/>
              <w:right w:type="dxa" w:w="100"/>
            </w:tcMar>
            <w:vAlign w:val="center"/>
          </w:tcPr>
          <w:p>
            <w:r>
              <w:rPr>
                <w:color w:val="222222"/>
                <w:sz w:val="18"/>
                <w:szCs w:val="18"/>
              </w:rPr>
              <w:t xml:space="preserve">$150-$220 flat, one-time</w:t>
            </w:r>
          </w:p>
        </w:tc>
      </w:tr>
      <w:tr>
        <w:tc>
          <w:tcPr>
            <w:tcW w:type="dxa" w:w="3000"/>
            <w:shd w:fill="F2F2F2" w:val="clear"/>
            <w:tcMar>
              <w:top w:type="dxa" w:w="90"/>
              <w:left w:type="dxa" w:w="100"/>
              <w:bottom w:type="dxa" w:w="90"/>
              <w:right w:type="dxa" w:w="100"/>
            </w:tcMar>
            <w:vAlign w:val="center"/>
          </w:tcPr>
          <w:p>
            <w:r>
              <w:rPr>
                <w:color w:val="222222"/>
                <w:sz w:val="18"/>
                <w:szCs w:val="18"/>
              </w:rPr>
              <w:t xml:space="preserve">Farm Milestone/Escrow Verification</w:t>
            </w:r>
          </w:p>
        </w:tc>
        <w:tc>
          <w:tcPr>
            <w:tcW w:type="dxa" w:w="3300"/>
            <w:shd w:fill="F2F2F2" w:val="clear"/>
            <w:tcMar>
              <w:top w:type="dxa" w:w="90"/>
              <w:left w:type="dxa" w:w="100"/>
              <w:bottom w:type="dxa" w:w="90"/>
              <w:right w:type="dxa" w:w="100"/>
            </w:tcMar>
            <w:vAlign w:val="center"/>
          </w:tcPr>
          <w:p>
            <w:r>
              <w:rPr>
                <w:color w:val="222222"/>
                <w:sz w:val="18"/>
                <w:szCs w:val="18"/>
              </w:rPr>
              <w:t xml:space="preserve">Agriculture (Phase 2)</w:t>
            </w:r>
          </w:p>
        </w:tc>
        <w:tc>
          <w:tcPr>
            <w:tcW w:type="dxa" w:w="3050"/>
            <w:shd w:fill="F2F2F2" w:val="clear"/>
            <w:tcMar>
              <w:top w:type="dxa" w:w="90"/>
              <w:left w:type="dxa" w:w="100"/>
              <w:bottom w:type="dxa" w:w="90"/>
              <w:right w:type="dxa" w:w="100"/>
            </w:tcMar>
            <w:vAlign w:val="center"/>
          </w:tcPr>
          <w:p>
            <w:r>
              <w:rPr>
                <w:color w:val="222222"/>
                <w:sz w:val="18"/>
                <w:szCs w:val="18"/>
              </w:rPr>
              <w:t xml:space="preserve">$35-$50 per visit</w:t>
            </w:r>
          </w:p>
        </w:tc>
      </w:tr>
      <w:tr>
        <w:tc>
          <w:tcPr>
            <w:tcW w:type="dxa" w:w="3000"/>
            <w:shd w:fill="FFFFFF" w:val="clear"/>
            <w:tcMar>
              <w:top w:type="dxa" w:w="90"/>
              <w:left w:type="dxa" w:w="100"/>
              <w:bottom w:type="dxa" w:w="90"/>
              <w:right w:type="dxa" w:w="100"/>
            </w:tcMar>
            <w:vAlign w:val="center"/>
          </w:tcPr>
          <w:p>
            <w:r>
              <w:rPr>
                <w:color w:val="222222"/>
                <w:sz w:val="18"/>
                <w:szCs w:val="18"/>
              </w:rPr>
              <w:t xml:space="preserve">Remote Oversight Subscription</w:t>
            </w:r>
          </w:p>
        </w:tc>
        <w:tc>
          <w:tcPr>
            <w:tcW w:type="dxa" w:w="3300"/>
            <w:shd w:fill="FFFFFF" w:val="clear"/>
            <w:tcMar>
              <w:top w:type="dxa" w:w="90"/>
              <w:left w:type="dxa" w:w="100"/>
              <w:bottom w:type="dxa" w:w="90"/>
              <w:right w:type="dxa" w:w="100"/>
            </w:tcMar>
            <w:vAlign w:val="center"/>
          </w:tcPr>
          <w:p>
            <w:r>
              <w:rPr>
                <w:color w:val="222222"/>
                <w:sz w:val="18"/>
                <w:szCs w:val="18"/>
              </w:rPr>
              <w:t xml:space="preserve">Any vertical — ongoing asset a client already owns</w:t>
            </w:r>
          </w:p>
        </w:tc>
        <w:tc>
          <w:tcPr>
            <w:tcW w:type="dxa" w:w="3050"/>
            <w:shd w:fill="FFFFFF" w:val="clear"/>
            <w:tcMar>
              <w:top w:type="dxa" w:w="90"/>
              <w:left w:type="dxa" w:w="100"/>
              <w:bottom w:type="dxa" w:w="90"/>
              <w:right w:type="dxa" w:w="100"/>
            </w:tcMar>
            <w:vAlign w:val="center"/>
          </w:tcPr>
          <w:p>
            <w:r>
              <w:rPr>
                <w:color w:val="222222"/>
                <w:sz w:val="18"/>
                <w:szCs w:val="18"/>
              </w:rPr>
              <w:t xml:space="preserve">$29-$49/month</w:t>
            </w:r>
          </w:p>
        </w:tc>
      </w:tr>
      <w:tr>
        <w:tc>
          <w:tcPr>
            <w:tcW w:type="dxa" w:w="3000"/>
            <w:shd w:fill="F2F2F2" w:val="clear"/>
            <w:tcMar>
              <w:top w:type="dxa" w:w="90"/>
              <w:left w:type="dxa" w:w="100"/>
              <w:bottom w:type="dxa" w:w="90"/>
              <w:right w:type="dxa" w:w="100"/>
            </w:tcMar>
            <w:vAlign w:val="center"/>
          </w:tcPr>
          <w:p>
            <w:r>
              <w:rPr>
                <w:color w:val="222222"/>
                <w:sz w:val="18"/>
                <w:szCs w:val="18"/>
              </w:rPr>
              <w:t xml:space="preserve">B2B Verification-as-a-Service</w:t>
            </w:r>
          </w:p>
        </w:tc>
        <w:tc>
          <w:tcPr>
            <w:tcW w:type="dxa" w:w="3300"/>
            <w:shd w:fill="F2F2F2" w:val="clear"/>
            <w:tcMar>
              <w:top w:type="dxa" w:w="90"/>
              <w:left w:type="dxa" w:w="100"/>
              <w:bottom w:type="dxa" w:w="90"/>
              <w:right w:type="dxa" w:w="100"/>
            </w:tcMar>
            <w:vAlign w:val="center"/>
          </w:tcPr>
          <w:p>
            <w:r>
              <w:rPr>
                <w:color w:val="222222"/>
                <w:sz w:val="18"/>
                <w:szCs w:val="18"/>
              </w:rPr>
              <w:t xml:space="preserve">Developers, lenders, cooperatives, agritech platforms needing independent checks at scale</w:t>
            </w:r>
          </w:p>
        </w:tc>
        <w:tc>
          <w:tcPr>
            <w:tcW w:type="dxa" w:w="3050"/>
            <w:shd w:fill="F2F2F2" w:val="clear"/>
            <w:tcMar>
              <w:top w:type="dxa" w:w="90"/>
              <w:left w:type="dxa" w:w="100"/>
              <w:bottom w:type="dxa" w:w="90"/>
              <w:right w:type="dxa" w:w="100"/>
            </w:tcMar>
            <w:vAlign w:val="center"/>
          </w:tcPr>
          <w:p>
            <w:r>
              <w:rPr>
                <w:color w:val="222222"/>
                <w:sz w:val="18"/>
                <w:szCs w:val="18"/>
              </w:rPr>
              <w:t xml:space="preserve">$15-$30/asset/month at volume, or $50-$150/file for one-off underwriting checks</w:t>
            </w:r>
          </w:p>
        </w:tc>
      </w:tr>
    </w:tbl>
    <w:p>
      <w:pPr>
        <w:spacing w:after="160" w:line="276"/>
      </w:pPr>
      <w:r>
        <w:rPr>
          <w:b w:val="false"/>
          <w:bCs w:val="false"/>
          <w:i w:val="false"/>
          <w:iCs w:val="false"/>
          <w:color w:val="222222"/>
          <w:sz w:val="21"/>
          <w:szCs w:val="21"/>
        </w:rPr>
        <w:t xml:space="preserve">Lead with the one-time Purchase Due-Diligence Report — it is the lowest-friction entry point across the whole platform and gives every client a natural upsell path into a subscription or the next vertical.</w:t>
      </w:r>
    </w:p>
    <w:p>
      <w:pPr>
        <w:pStyle w:val="Heading1"/>
        <w:spacing w:after="160" w:before="360"/>
      </w:pPr>
      <w:r>
        <w:rPr>
          <w:b/>
          <w:bCs/>
          <w:color w:val="1F3A5F"/>
          <w:sz w:val="28"/>
          <w:szCs w:val="28"/>
        </w:rPr>
        <w:t xml:space="preserve">Income Projection — Year 1</w:t>
      </w:r>
    </w:p>
    <w:p>
      <w:pPr>
        <w:spacing w:after="160" w:line="276"/>
      </w:pPr>
      <w:r>
        <w:rPr>
          <w:b w:val="false"/>
          <w:bCs w:val="false"/>
          <w:i w:val="false"/>
          <w:iCs w:val="false"/>
          <w:color w:val="222222"/>
          <w:sz w:val="21"/>
          <w:szCs w:val="21"/>
        </w:rPr>
        <w:t xml:space="preserve">Built off the pricing above, a manual-first Q1, MVP launch in Q2, agriculture cross-sell beginning in Q3, and B2B contracts landing in Q4 — consistent with the 18-Month Roadmap below. Field agents stay on a per-visit contractor basis throughout Year 1 rather than salaried, per the density guardrail already established for this venture.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2100"/>
        <w:gridCol w:w="2350"/>
        <w:gridCol w:w="1850"/>
      </w:tblGrid>
      <w:tr>
        <w:trPr>
          <w:tblHeader/>
        </w:trPr>
        <w:tc>
          <w:tcPr>
            <w:tcW w:type="dxa" w:w="3050"/>
            <w:shd w:fill="1F3A5F" w:val="clear"/>
            <w:tcMar>
              <w:top w:type="dxa" w:w="100"/>
              <w:left w:type="dxa" w:w="100"/>
              <w:bottom w:type="dxa" w:w="100"/>
              <w:right w:type="dxa" w:w="100"/>
            </w:tcMar>
            <w:vAlign w:val="center"/>
          </w:tcPr>
          <w:p>
            <w:r>
              <w:rPr>
                <w:b/>
                <w:bCs/>
                <w:color w:val="FFFFFF"/>
                <w:sz w:val="19"/>
                <w:szCs w:val="19"/>
              </w:rPr>
              <w:t xml:space="preserve">Quarter</w:t>
            </w:r>
          </w:p>
        </w:tc>
        <w:tc>
          <w:tcPr>
            <w:tcW w:type="dxa" w:w="2100"/>
            <w:shd w:fill="1F3A5F" w:val="clear"/>
            <w:tcMar>
              <w:top w:type="dxa" w:w="100"/>
              <w:left w:type="dxa" w:w="100"/>
              <w:bottom w:type="dxa" w:w="100"/>
              <w:right w:type="dxa" w:w="100"/>
            </w:tcMar>
            <w:vAlign w:val="center"/>
          </w:tcPr>
          <w:p>
            <w:r>
              <w:rPr>
                <w:b/>
                <w:bCs/>
                <w:color w:val="FFFFFF"/>
                <w:sz w:val="19"/>
                <w:szCs w:val="19"/>
              </w:rPr>
              <w:t xml:space="preserve">Revenue</w:t>
            </w:r>
          </w:p>
        </w:tc>
        <w:tc>
          <w:tcPr>
            <w:tcW w:type="dxa" w:w="2350"/>
            <w:shd w:fill="1F3A5F" w:val="clear"/>
            <w:tcMar>
              <w:top w:type="dxa" w:w="100"/>
              <w:left w:type="dxa" w:w="100"/>
              <w:bottom w:type="dxa" w:w="100"/>
              <w:right w:type="dxa" w:w="100"/>
            </w:tcMar>
            <w:vAlign w:val="center"/>
          </w:tcPr>
          <w:p>
            <w:r>
              <w:rPr>
                <w:b/>
                <w:bCs/>
                <w:color w:val="FFFFFF"/>
                <w:sz w:val="19"/>
                <w:szCs w:val="19"/>
              </w:rPr>
              <w:t xml:space="preserve">Field-Agent + AI-Tool + Marketing Costs</w:t>
            </w:r>
          </w:p>
        </w:tc>
        <w:tc>
          <w:tcPr>
            <w:tcW w:type="dxa" w:w="1850"/>
            <w:shd w:fill="1F3A5F" w:val="clear"/>
            <w:tcMar>
              <w:top w:type="dxa" w:w="100"/>
              <w:left w:type="dxa" w:w="100"/>
              <w:bottom w:type="dxa" w:w="100"/>
              <w:right w:type="dxa" w:w="100"/>
            </w:tcMar>
            <w:vAlign w:val="center"/>
          </w:tcPr>
          <w:p>
            <w:r>
              <w:rPr>
                <w:b/>
                <w:bCs/>
                <w:color w:val="FFFFFF"/>
                <w:sz w:val="19"/>
                <w:szCs w:val="19"/>
              </w:rPr>
              <w:t xml:space="preserve">Net</w:t>
            </w:r>
          </w:p>
        </w:tc>
      </w:tr>
      <w:tr>
        <w:tc>
          <w:tcPr>
            <w:tcW w:type="dxa" w:w="3050"/>
            <w:shd w:fill="FFFFFF" w:val="clear"/>
            <w:tcMar>
              <w:top w:type="dxa" w:w="90"/>
              <w:left w:type="dxa" w:w="100"/>
              <w:bottom w:type="dxa" w:w="90"/>
              <w:right w:type="dxa" w:w="100"/>
            </w:tcMar>
            <w:vAlign w:val="center"/>
          </w:tcPr>
          <w:p>
            <w:r>
              <w:rPr>
                <w:color w:val="222222"/>
                <w:sz w:val="18"/>
                <w:szCs w:val="18"/>
              </w:rPr>
              <w:t xml:space="preserve">Q1 (Mo 1-3) — manual pilot</w:t>
            </w:r>
          </w:p>
        </w:tc>
        <w:tc>
          <w:tcPr>
            <w:tcW w:type="dxa" w:w="2100"/>
            <w:shd w:fill="FFFFFF" w:val="clear"/>
            <w:tcMar>
              <w:top w:type="dxa" w:w="90"/>
              <w:left w:type="dxa" w:w="100"/>
              <w:bottom w:type="dxa" w:w="90"/>
              <w:right w:type="dxa" w:w="100"/>
            </w:tcMar>
            <w:vAlign w:val="center"/>
          </w:tcPr>
          <w:p>
            <w:r>
              <w:rPr>
                <w:color w:val="222222"/>
                <w:sz w:val="18"/>
                <w:szCs w:val="18"/>
              </w:rPr>
              <w:t xml:space="preserve">$800-$1,300</w:t>
            </w:r>
          </w:p>
        </w:tc>
        <w:tc>
          <w:tcPr>
            <w:tcW w:type="dxa" w:w="2350"/>
            <w:shd w:fill="FFFFFF" w:val="clear"/>
            <w:tcMar>
              <w:top w:type="dxa" w:w="90"/>
              <w:left w:type="dxa" w:w="100"/>
              <w:bottom w:type="dxa" w:w="90"/>
              <w:right w:type="dxa" w:w="100"/>
            </w:tcMar>
            <w:vAlign w:val="center"/>
          </w:tcPr>
          <w:p>
            <w:r>
              <w:rPr>
                <w:color w:val="222222"/>
                <w:sz w:val="18"/>
                <w:szCs w:val="18"/>
              </w:rPr>
              <w:t xml:space="preserve">$250-$350</w:t>
            </w:r>
          </w:p>
        </w:tc>
        <w:tc>
          <w:tcPr>
            <w:tcW w:type="dxa" w:w="1850"/>
            <w:shd w:fill="FFFFFF" w:val="clear"/>
            <w:tcMar>
              <w:top w:type="dxa" w:w="90"/>
              <w:left w:type="dxa" w:w="100"/>
              <w:bottom w:type="dxa" w:w="90"/>
              <w:right w:type="dxa" w:w="100"/>
            </w:tcMar>
            <w:vAlign w:val="center"/>
          </w:tcPr>
          <w:p>
            <w:r>
              <w:rPr>
                <w:color w:val="222222"/>
                <w:sz w:val="18"/>
                <w:szCs w:val="18"/>
              </w:rPr>
              <w:t xml:space="preserve">$500-$1,000</w:t>
            </w:r>
          </w:p>
        </w:tc>
      </w:tr>
      <w:tr>
        <w:tc>
          <w:tcPr>
            <w:tcW w:type="dxa" w:w="3050"/>
            <w:shd w:fill="F2F2F2" w:val="clear"/>
            <w:tcMar>
              <w:top w:type="dxa" w:w="90"/>
              <w:left w:type="dxa" w:w="100"/>
              <w:bottom w:type="dxa" w:w="90"/>
              <w:right w:type="dxa" w:w="100"/>
            </w:tcMar>
            <w:vAlign w:val="center"/>
          </w:tcPr>
          <w:p>
            <w:r>
              <w:rPr>
                <w:color w:val="222222"/>
                <w:sz w:val="18"/>
                <w:szCs w:val="18"/>
              </w:rPr>
              <w:t xml:space="preserve">Q2 (Mo 4-6) — MVP live, property/build only</w:t>
            </w:r>
          </w:p>
        </w:tc>
        <w:tc>
          <w:tcPr>
            <w:tcW w:type="dxa" w:w="2100"/>
            <w:shd w:fill="F2F2F2" w:val="clear"/>
            <w:tcMar>
              <w:top w:type="dxa" w:w="90"/>
              <w:left w:type="dxa" w:w="100"/>
              <w:bottom w:type="dxa" w:w="90"/>
              <w:right w:type="dxa" w:w="100"/>
            </w:tcMar>
            <w:vAlign w:val="center"/>
          </w:tcPr>
          <w:p>
            <w:r>
              <w:rPr>
                <w:color w:val="222222"/>
                <w:sz w:val="18"/>
                <w:szCs w:val="18"/>
              </w:rPr>
              <w:t xml:space="preserve">$2,800-$4,800</w:t>
            </w:r>
          </w:p>
        </w:tc>
        <w:tc>
          <w:tcPr>
            <w:tcW w:type="dxa" w:w="2350"/>
            <w:shd w:fill="F2F2F2" w:val="clear"/>
            <w:tcMar>
              <w:top w:type="dxa" w:w="90"/>
              <w:left w:type="dxa" w:w="100"/>
              <w:bottom w:type="dxa" w:w="90"/>
              <w:right w:type="dxa" w:w="100"/>
            </w:tcMar>
            <w:vAlign w:val="center"/>
          </w:tcPr>
          <w:p>
            <w:r>
              <w:rPr>
                <w:color w:val="222222"/>
                <w:sz w:val="18"/>
                <w:szCs w:val="18"/>
              </w:rPr>
              <w:t xml:space="preserve">$950-$1,300</w:t>
            </w:r>
          </w:p>
        </w:tc>
        <w:tc>
          <w:tcPr>
            <w:tcW w:type="dxa" w:w="1850"/>
            <w:shd w:fill="F2F2F2" w:val="clear"/>
            <w:tcMar>
              <w:top w:type="dxa" w:w="90"/>
              <w:left w:type="dxa" w:w="100"/>
              <w:bottom w:type="dxa" w:w="90"/>
              <w:right w:type="dxa" w:w="100"/>
            </w:tcMar>
            <w:vAlign w:val="center"/>
          </w:tcPr>
          <w:p>
            <w:r>
              <w:rPr>
                <w:color w:val="222222"/>
                <w:sz w:val="18"/>
                <w:szCs w:val="18"/>
              </w:rPr>
              <w:t xml:space="preserve">$1,850-$3,500</w:t>
            </w:r>
          </w:p>
        </w:tc>
      </w:tr>
      <w:tr>
        <w:tc>
          <w:tcPr>
            <w:tcW w:type="dxa" w:w="3050"/>
            <w:shd w:fill="FFFFFF" w:val="clear"/>
            <w:tcMar>
              <w:top w:type="dxa" w:w="90"/>
              <w:left w:type="dxa" w:w="100"/>
              <w:bottom w:type="dxa" w:w="90"/>
              <w:right w:type="dxa" w:w="100"/>
            </w:tcMar>
            <w:vAlign w:val="center"/>
          </w:tcPr>
          <w:p>
            <w:r>
              <w:rPr>
                <w:color w:val="222222"/>
                <w:sz w:val="18"/>
                <w:szCs w:val="18"/>
              </w:rPr>
              <w:t xml:space="preserve">Q3 (Mo 7-9) — agriculture cross-sell + B2B outreach begins</w:t>
            </w:r>
          </w:p>
        </w:tc>
        <w:tc>
          <w:tcPr>
            <w:tcW w:type="dxa" w:w="2100"/>
            <w:shd w:fill="FFFFFF" w:val="clear"/>
            <w:tcMar>
              <w:top w:type="dxa" w:w="90"/>
              <w:left w:type="dxa" w:w="100"/>
              <w:bottom w:type="dxa" w:w="90"/>
              <w:right w:type="dxa" w:w="100"/>
            </w:tcMar>
            <w:vAlign w:val="center"/>
          </w:tcPr>
          <w:p>
            <w:r>
              <w:rPr>
                <w:color w:val="222222"/>
                <w:sz w:val="18"/>
                <w:szCs w:val="18"/>
              </w:rPr>
              <w:t xml:space="preserve">$8,000-$12,800</w:t>
            </w:r>
          </w:p>
        </w:tc>
        <w:tc>
          <w:tcPr>
            <w:tcW w:type="dxa" w:w="2350"/>
            <w:shd w:fill="FFFFFF" w:val="clear"/>
            <w:tcMar>
              <w:top w:type="dxa" w:w="90"/>
              <w:left w:type="dxa" w:w="100"/>
              <w:bottom w:type="dxa" w:w="90"/>
              <w:right w:type="dxa" w:w="100"/>
            </w:tcMar>
            <w:vAlign w:val="center"/>
          </w:tcPr>
          <w:p>
            <w:r>
              <w:rPr>
                <w:color w:val="222222"/>
                <w:sz w:val="18"/>
                <w:szCs w:val="18"/>
              </w:rPr>
              <w:t xml:space="preserve">$2,500-$2,900</w:t>
            </w:r>
          </w:p>
        </w:tc>
        <w:tc>
          <w:tcPr>
            <w:tcW w:type="dxa" w:w="1850"/>
            <w:shd w:fill="FFFFFF" w:val="clear"/>
            <w:tcMar>
              <w:top w:type="dxa" w:w="90"/>
              <w:left w:type="dxa" w:w="100"/>
              <w:bottom w:type="dxa" w:w="90"/>
              <w:right w:type="dxa" w:w="100"/>
            </w:tcMar>
            <w:vAlign w:val="center"/>
          </w:tcPr>
          <w:p>
            <w:r>
              <w:rPr>
                <w:color w:val="222222"/>
                <w:sz w:val="18"/>
                <w:szCs w:val="18"/>
              </w:rPr>
              <w:t xml:space="preserve">$5,500-$9,900</w:t>
            </w:r>
          </w:p>
        </w:tc>
      </w:tr>
      <w:tr>
        <w:tc>
          <w:tcPr>
            <w:tcW w:type="dxa" w:w="3050"/>
            <w:shd w:fill="F2F2F2" w:val="clear"/>
            <w:tcMar>
              <w:top w:type="dxa" w:w="90"/>
              <w:left w:type="dxa" w:w="100"/>
              <w:bottom w:type="dxa" w:w="90"/>
              <w:right w:type="dxa" w:w="100"/>
            </w:tcMar>
            <w:vAlign w:val="center"/>
          </w:tcPr>
          <w:p>
            <w:r>
              <w:rPr>
                <w:color w:val="222222"/>
                <w:sz w:val="18"/>
                <w:szCs w:val="18"/>
              </w:rPr>
              <w:t xml:space="preserve">Q4 (Mo 10-12) — agriculture formal launch, B2B scaling</w:t>
            </w:r>
          </w:p>
        </w:tc>
        <w:tc>
          <w:tcPr>
            <w:tcW w:type="dxa" w:w="2100"/>
            <w:shd w:fill="F2F2F2" w:val="clear"/>
            <w:tcMar>
              <w:top w:type="dxa" w:w="90"/>
              <w:left w:type="dxa" w:w="100"/>
              <w:bottom w:type="dxa" w:w="90"/>
              <w:right w:type="dxa" w:w="100"/>
            </w:tcMar>
            <w:vAlign w:val="center"/>
          </w:tcPr>
          <w:p>
            <w:r>
              <w:rPr>
                <w:color w:val="222222"/>
                <w:sz w:val="18"/>
                <w:szCs w:val="18"/>
              </w:rPr>
              <w:t xml:space="preserve">$12,000-$16,000</w:t>
            </w:r>
          </w:p>
        </w:tc>
        <w:tc>
          <w:tcPr>
            <w:tcW w:type="dxa" w:w="2350"/>
            <w:shd w:fill="F2F2F2" w:val="clear"/>
            <w:tcMar>
              <w:top w:type="dxa" w:w="90"/>
              <w:left w:type="dxa" w:w="100"/>
              <w:bottom w:type="dxa" w:w="90"/>
              <w:right w:type="dxa" w:w="100"/>
            </w:tcMar>
            <w:vAlign w:val="center"/>
          </w:tcPr>
          <w:p>
            <w:r>
              <w:rPr>
                <w:color w:val="222222"/>
                <w:sz w:val="18"/>
                <w:szCs w:val="18"/>
              </w:rPr>
              <w:t xml:space="preserve">$3,000-$3,400</w:t>
            </w:r>
          </w:p>
        </w:tc>
        <w:tc>
          <w:tcPr>
            <w:tcW w:type="dxa" w:w="1850"/>
            <w:shd w:fill="F2F2F2" w:val="clear"/>
            <w:tcMar>
              <w:top w:type="dxa" w:w="90"/>
              <w:left w:type="dxa" w:w="100"/>
              <w:bottom w:type="dxa" w:w="90"/>
              <w:right w:type="dxa" w:w="100"/>
            </w:tcMar>
            <w:vAlign w:val="center"/>
          </w:tcPr>
          <w:p>
            <w:r>
              <w:rPr>
                <w:color w:val="222222"/>
                <w:sz w:val="18"/>
                <w:szCs w:val="18"/>
              </w:rPr>
              <w:t xml:space="preserve">$9,000-$12,600</w:t>
            </w:r>
          </w:p>
        </w:tc>
      </w:tr>
      <w:tr>
        <w:tc>
          <w:tcPr>
            <w:tcW w:type="dxa" w:w="3050"/>
            <w:shd w:fill="FFFFFF" w:val="clear"/>
            <w:tcMar>
              <w:top w:type="dxa" w:w="90"/>
              <w:left w:type="dxa" w:w="100"/>
              <w:bottom w:type="dxa" w:w="90"/>
              <w:right w:type="dxa" w:w="100"/>
            </w:tcMar>
            <w:vAlign w:val="center"/>
          </w:tcPr>
          <w:p>
            <w:r>
              <w:rPr>
                <w:color w:val="222222"/>
                <w:sz w:val="18"/>
                <w:szCs w:val="18"/>
              </w:rPr>
              <w:t xml:space="preserve">Year 1 Total</w:t>
            </w:r>
          </w:p>
        </w:tc>
        <w:tc>
          <w:tcPr>
            <w:tcW w:type="dxa" w:w="2100"/>
            <w:shd w:fill="FFFFFF" w:val="clear"/>
            <w:tcMar>
              <w:top w:type="dxa" w:w="90"/>
              <w:left w:type="dxa" w:w="100"/>
              <w:bottom w:type="dxa" w:w="90"/>
              <w:right w:type="dxa" w:w="100"/>
            </w:tcMar>
            <w:vAlign w:val="center"/>
          </w:tcPr>
          <w:p>
            <w:r>
              <w:rPr>
                <w:color w:val="222222"/>
                <w:sz w:val="18"/>
                <w:szCs w:val="18"/>
              </w:rPr>
              <w:t xml:space="preserve">~$23,600-$34,900</w:t>
            </w:r>
          </w:p>
        </w:tc>
        <w:tc>
          <w:tcPr>
            <w:tcW w:type="dxa" w:w="2350"/>
            <w:shd w:fill="FFFFFF" w:val="clear"/>
            <w:tcMar>
              <w:top w:type="dxa" w:w="90"/>
              <w:left w:type="dxa" w:w="100"/>
              <w:bottom w:type="dxa" w:w="90"/>
              <w:right w:type="dxa" w:w="100"/>
            </w:tcMar>
            <w:vAlign w:val="center"/>
          </w:tcPr>
          <w:p>
            <w:r>
              <w:rPr>
                <w:color w:val="222222"/>
                <w:sz w:val="18"/>
                <w:szCs w:val="18"/>
              </w:rPr>
              <w:t xml:space="preserve">~$6,700-$7,950</w:t>
            </w:r>
          </w:p>
        </w:tc>
        <w:tc>
          <w:tcPr>
            <w:tcW w:type="dxa" w:w="1850"/>
            <w:shd w:fill="FFFFFF" w:val="clear"/>
            <w:tcMar>
              <w:top w:type="dxa" w:w="90"/>
              <w:left w:type="dxa" w:w="100"/>
              <w:bottom w:type="dxa" w:w="90"/>
              <w:right w:type="dxa" w:w="100"/>
            </w:tcMar>
            <w:vAlign w:val="center"/>
          </w:tcPr>
          <w:p>
            <w:r>
              <w:rPr>
                <w:color w:val="222222"/>
                <w:sz w:val="18"/>
                <w:szCs w:val="18"/>
              </w:rPr>
              <w:t xml:space="preserve">~$16,850-$27,000</w:t>
            </w:r>
          </w:p>
        </w:tc>
      </w:tr>
    </w:tbl>
    <w:p>
      <w:pPr>
        <w:spacing w:after="160" w:line="276"/>
      </w:pPr>
      <w:r>
        <w:rPr>
          <w:b w:val="false"/>
          <w:bCs w:val="false"/>
          <w:i w:val="false"/>
          <w:iCs w:val="false"/>
          <w:color w:val="222222"/>
          <w:sz w:val="21"/>
          <w:szCs w:val="21"/>
        </w:rPr>
        <w:t xml:space="preserve">The honest trade-off: this is lower than an earlier agriculture-only draft of this projection ($33.5K-$55.6K), because that draft used higher prices that don't survive contact with a free incumbent like DiasporaBuild. Pulling price down removes price as a reason to say no; AI-assisted reporting is what protects margin at the lower price point by cutting labor time per report rather than the report's value. B2B revenue remains the swing factor for Q4 and beyond, exactly as flagged earlier in this plan's development.</w:t>
      </w:r>
    </w:p>
    <w:p>
      <w:pPr>
        <w:pStyle w:val="Heading1"/>
        <w:spacing w:after="160" w:before="360"/>
      </w:pPr>
      <w:r>
        <w:rPr>
          <w:b/>
          <w:bCs/>
          <w:color w:val="1F3A5F"/>
          <w:sz w:val="28"/>
          <w:szCs w:val="28"/>
        </w:rPr>
        <w:t xml:space="preserve">Competitive Landscape</w:t>
      </w:r>
    </w:p>
    <w:p>
      <w:pPr>
        <w:spacing w:after="160" w:line="276"/>
      </w:pPr>
      <w:r>
        <w:rPr>
          <w:b w:val="false"/>
          <w:bCs w:val="false"/>
          <w:i w:val="false"/>
          <w:iCs w:val="false"/>
          <w:color w:val="222222"/>
          <w:sz w:val="21"/>
          <w:szCs w:val="21"/>
        </w:rPr>
        <w:t xml:space="preserve">This is a more crowded space than the original AgriGuard/Diaspora Build Oversight research suggested — worth stating plainly rather than glossing over. At least eight identifiable players already operate in or near the property/build vertical.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1950"/>
        <w:gridCol w:w="1900"/>
      </w:tblGrid>
      <w:tr>
        <w:trPr>
          <w:tblHeader/>
        </w:trPr>
        <w:tc>
          <w:tcPr>
            <w:tcW w:type="dxa" w:w="2200"/>
            <w:shd w:fill="1F3A5F" w:val="clear"/>
            <w:tcMar>
              <w:top w:type="dxa" w:w="100"/>
              <w:left w:type="dxa" w:w="100"/>
              <w:bottom w:type="dxa" w:w="100"/>
              <w:right w:type="dxa" w:w="100"/>
            </w:tcMar>
            <w:vAlign w:val="center"/>
          </w:tcPr>
          <w:p>
            <w:r>
              <w:rPr>
                <w:b/>
                <w:bCs/>
                <w:color w:val="FFFFFF"/>
                <w:sz w:val="19"/>
                <w:szCs w:val="19"/>
              </w:rPr>
              <w:t xml:space="preserve">Competitor</w:t>
            </w:r>
          </w:p>
        </w:tc>
        <w:tc>
          <w:tcPr>
            <w:tcW w:type="dxa" w:w="3300"/>
            <w:shd w:fill="1F3A5F" w:val="clear"/>
            <w:tcMar>
              <w:top w:type="dxa" w:w="100"/>
              <w:left w:type="dxa" w:w="100"/>
              <w:bottom w:type="dxa" w:w="100"/>
              <w:right w:type="dxa" w:w="100"/>
            </w:tcMar>
            <w:vAlign w:val="center"/>
          </w:tcPr>
          <w:p>
            <w:r>
              <w:rPr>
                <w:b/>
                <w:bCs/>
                <w:color w:val="FFFFFF"/>
                <w:sz w:val="19"/>
                <w:szCs w:val="19"/>
              </w:rPr>
              <w:t xml:space="preserve">Model</w:t>
            </w:r>
          </w:p>
        </w:tc>
        <w:tc>
          <w:tcPr>
            <w:tcW w:type="dxa" w:w="1950"/>
            <w:shd w:fill="1F3A5F" w:val="clear"/>
            <w:tcMar>
              <w:top w:type="dxa" w:w="100"/>
              <w:left w:type="dxa" w:w="100"/>
              <w:bottom w:type="dxa" w:w="100"/>
              <w:right w:type="dxa" w:w="100"/>
            </w:tcMar>
            <w:vAlign w:val="center"/>
          </w:tcPr>
          <w:p>
            <w:r>
              <w:rPr>
                <w:b/>
                <w:bCs/>
                <w:color w:val="FFFFFF"/>
                <w:sz w:val="19"/>
                <w:szCs w:val="19"/>
              </w:rPr>
              <w:t xml:space="preserve">Pricing (as found)</w:t>
            </w:r>
          </w:p>
        </w:tc>
        <w:tc>
          <w:tcPr>
            <w:tcW w:type="dxa" w:w="1900"/>
            <w:shd w:fill="1F3A5F" w:val="clear"/>
            <w:tcMar>
              <w:top w:type="dxa" w:w="100"/>
              <w:left w:type="dxa" w:w="100"/>
              <w:bottom w:type="dxa" w:w="100"/>
              <w:right w:type="dxa" w:w="100"/>
            </w:tcMar>
            <w:vAlign w:val="center"/>
          </w:tcPr>
          <w:p>
            <w:r>
              <w:rPr>
                <w:b/>
                <w:bCs/>
                <w:color w:val="FFFFFF"/>
                <w:sz w:val="19"/>
                <w:szCs w:val="19"/>
              </w:rPr>
              <w:t xml:space="preserve">The Gap</w:t>
            </w:r>
          </w:p>
        </w:tc>
      </w:tr>
      <w:tr>
        <w:tc>
          <w:tcPr>
            <w:tcW w:type="dxa" w:w="2200"/>
            <w:shd w:fill="FFFFFF" w:val="clear"/>
            <w:tcMar>
              <w:top w:type="dxa" w:w="90"/>
              <w:left w:type="dxa" w:w="100"/>
              <w:bottom w:type="dxa" w:w="90"/>
              <w:right w:type="dxa" w:w="100"/>
            </w:tcMar>
            <w:vAlign w:val="center"/>
          </w:tcPr>
          <w:p>
            <w:r>
              <w:rPr>
                <w:color w:val="222222"/>
                <w:sz w:val="18"/>
                <w:szCs w:val="18"/>
              </w:rPr>
              <w:t xml:space="preserve">DiasporaBuild</w:t>
            </w:r>
          </w:p>
        </w:tc>
        <w:tc>
          <w:tcPr>
            <w:tcW w:type="dxa" w:w="3300"/>
            <w:shd w:fill="FFFFFF" w:val="clear"/>
            <w:tcMar>
              <w:top w:type="dxa" w:w="90"/>
              <w:left w:type="dxa" w:w="100"/>
              <w:bottom w:type="dxa" w:w="90"/>
              <w:right w:type="dxa" w:w="100"/>
            </w:tcMar>
            <w:vAlign w:val="center"/>
          </w:tcPr>
          <w:p>
            <w:r>
              <w:rPr>
                <w:color w:val="222222"/>
                <w:sz w:val="18"/>
                <w:szCs w:val="18"/>
              </w:rPr>
              <w:t xml:space="preserve">Escrow + daily contractor tracker + certified inspectors; live in Nigeria &amp; Cameroon (mostly Cameroon so far)</w:t>
            </w:r>
          </w:p>
        </w:tc>
        <w:tc>
          <w:tcPr>
            <w:tcW w:type="dxa" w:w="1950"/>
            <w:shd w:fill="FFFFFF" w:val="clear"/>
            <w:tcMar>
              <w:top w:type="dxa" w:w="90"/>
              <w:left w:type="dxa" w:w="100"/>
              <w:bottom w:type="dxa" w:w="90"/>
              <w:right w:type="dxa" w:w="100"/>
            </w:tcMar>
            <w:vAlign w:val="center"/>
          </w:tcPr>
          <w:p>
            <w:r>
              <w:rPr>
                <w:color w:val="222222"/>
                <w:sz w:val="18"/>
                <w:szCs w:val="18"/>
              </w:rPr>
              <w:t xml:space="preserve">Free to client — 5% commission taken from the contractor</w:t>
            </w:r>
          </w:p>
        </w:tc>
        <w:tc>
          <w:tcPr>
            <w:tcW w:type="dxa" w:w="1900"/>
            <w:shd w:fill="FFFFFF" w:val="clear"/>
            <w:tcMar>
              <w:top w:type="dxa" w:w="90"/>
              <w:left w:type="dxa" w:w="100"/>
              <w:bottom w:type="dxa" w:w="90"/>
              <w:right w:type="dxa" w:w="100"/>
            </w:tcMar>
            <w:vAlign w:val="center"/>
          </w:tcPr>
          <w:p>
            <w:r>
              <w:rPr>
                <w:color w:val="222222"/>
                <w:sz w:val="18"/>
                <w:szCs w:val="18"/>
              </w:rPr>
              <w:t xml:space="preserve">Structural conflict of interest: paid by the contractor side, not the client, so the incentive is contractor volume, not catching contractor fraud</w:t>
            </w:r>
          </w:p>
        </w:tc>
      </w:tr>
      <w:tr>
        <w:tc>
          <w:tcPr>
            <w:tcW w:type="dxa" w:w="2200"/>
            <w:shd w:fill="F2F2F2" w:val="clear"/>
            <w:tcMar>
              <w:top w:type="dxa" w:w="90"/>
              <w:left w:type="dxa" w:w="100"/>
              <w:bottom w:type="dxa" w:w="90"/>
              <w:right w:type="dxa" w:w="100"/>
            </w:tcMar>
            <w:vAlign w:val="center"/>
          </w:tcPr>
          <w:p>
            <w:r>
              <w:rPr>
                <w:color w:val="222222"/>
                <w:sz w:val="18"/>
                <w:szCs w:val="18"/>
              </w:rPr>
              <w:t xml:space="preserve">SimpleXD</w:t>
            </w:r>
          </w:p>
        </w:tc>
        <w:tc>
          <w:tcPr>
            <w:tcW w:type="dxa" w:w="3300"/>
            <w:shd w:fill="F2F2F2" w:val="clear"/>
            <w:tcMar>
              <w:top w:type="dxa" w:w="90"/>
              <w:left w:type="dxa" w:w="100"/>
              <w:bottom w:type="dxa" w:w="90"/>
              <w:right w:type="dxa" w:w="100"/>
            </w:tcMar>
            <w:vAlign w:val="center"/>
          </w:tcPr>
          <w:p>
            <w:r>
              <w:rPr>
                <w:color w:val="222222"/>
                <w:sz w:val="18"/>
                <w:szCs w:val="18"/>
              </w:rPr>
              <w:t xml:space="preserve">Full-service: due diligence, construction monitoring, virtual inspections, property management, 36-state coverage</w:t>
            </w:r>
          </w:p>
        </w:tc>
        <w:tc>
          <w:tcPr>
            <w:tcW w:type="dxa" w:w="1950"/>
            <w:shd w:fill="F2F2F2" w:val="clear"/>
            <w:tcMar>
              <w:top w:type="dxa" w:w="90"/>
              <w:left w:type="dxa" w:w="100"/>
              <w:bottom w:type="dxa" w:w="90"/>
              <w:right w:type="dxa" w:w="100"/>
            </w:tcMar>
            <w:vAlign w:val="center"/>
          </w:tcPr>
          <w:p>
            <w:r>
              <w:rPr>
                <w:color w:val="222222"/>
                <w:sz w:val="18"/>
                <w:szCs w:val="18"/>
              </w:rPr>
              <w:t xml:space="preserve">Not published (quote-based)</w:t>
            </w:r>
          </w:p>
        </w:tc>
        <w:tc>
          <w:tcPr>
            <w:tcW w:type="dxa" w:w="1900"/>
            <w:shd w:fill="F2F2F2" w:val="clear"/>
            <w:tcMar>
              <w:top w:type="dxa" w:w="90"/>
              <w:left w:type="dxa" w:w="100"/>
              <w:bottom w:type="dxa" w:w="90"/>
              <w:right w:type="dxa" w:w="100"/>
            </w:tcMar>
            <w:vAlign w:val="center"/>
          </w:tcPr>
          <w:p>
            <w:r>
              <w:rPr>
                <w:color w:val="222222"/>
                <w:sz w:val="18"/>
                <w:szCs w:val="18"/>
              </w:rPr>
              <w:t xml:space="preserve">Broad but generic — no visible tech differentiation, opaque pricing</w:t>
            </w:r>
          </w:p>
        </w:tc>
      </w:tr>
      <w:tr>
        <w:tc>
          <w:tcPr>
            <w:tcW w:type="dxa" w:w="2200"/>
            <w:shd w:fill="FFFFFF" w:val="clear"/>
            <w:tcMar>
              <w:top w:type="dxa" w:w="90"/>
              <w:left w:type="dxa" w:w="100"/>
              <w:bottom w:type="dxa" w:w="90"/>
              <w:right w:type="dxa" w:w="100"/>
            </w:tcMar>
            <w:vAlign w:val="center"/>
          </w:tcPr>
          <w:p>
            <w:r>
              <w:rPr>
                <w:color w:val="222222"/>
                <w:sz w:val="18"/>
                <w:szCs w:val="18"/>
              </w:rPr>
              <w:t xml:space="preserve">BuildWatch</w:t>
            </w:r>
          </w:p>
        </w:tc>
        <w:tc>
          <w:tcPr>
            <w:tcW w:type="dxa" w:w="3300"/>
            <w:shd w:fill="FFFFFF" w:val="clear"/>
            <w:tcMar>
              <w:top w:type="dxa" w:w="90"/>
              <w:left w:type="dxa" w:w="100"/>
              <w:bottom w:type="dxa" w:w="90"/>
              <w:right w:type="dxa" w:w="100"/>
            </w:tcMar>
            <w:vAlign w:val="center"/>
          </w:tcPr>
          <w:p>
            <w:r>
              <w:rPr>
                <w:color w:val="222222"/>
                <w:sz w:val="18"/>
                <w:szCs w:val="18"/>
              </w:rPr>
              <w:t xml:space="preserve">GPS-verified inspections + milestone-gated escrow + mobile dashboard; 200+ on waitlist</w:t>
            </w:r>
          </w:p>
        </w:tc>
        <w:tc>
          <w:tcPr>
            <w:tcW w:type="dxa" w:w="1950"/>
            <w:shd w:fill="FFFFFF" w:val="clear"/>
            <w:tcMar>
              <w:top w:type="dxa" w:w="90"/>
              <w:left w:type="dxa" w:w="100"/>
              <w:bottom w:type="dxa" w:w="90"/>
              <w:right w:type="dxa" w:w="100"/>
            </w:tcMar>
            <w:vAlign w:val="center"/>
          </w:tcPr>
          <w:p>
            <w:r>
              <w:rPr>
                <w:color w:val="222222"/>
                <w:sz w:val="18"/>
                <w:szCs w:val="18"/>
              </w:rPr>
              <w:t xml:space="preserve">Not published; pre-launch</w:t>
            </w:r>
          </w:p>
        </w:tc>
        <w:tc>
          <w:tcPr>
            <w:tcW w:type="dxa" w:w="1900"/>
            <w:shd w:fill="FFFFFF" w:val="clear"/>
            <w:tcMar>
              <w:top w:type="dxa" w:w="90"/>
              <w:left w:type="dxa" w:w="100"/>
              <w:bottom w:type="dxa" w:w="90"/>
              <w:right w:type="dxa" w:w="100"/>
            </w:tcMar>
            <w:vAlign w:val="center"/>
          </w:tcPr>
          <w:p>
            <w:r>
              <w:rPr>
                <w:color w:val="222222"/>
                <w:sz w:val="18"/>
                <w:szCs w:val="18"/>
              </w:rPr>
              <w:t xml:space="preserve">Nearly identical concept to our Phase 1b, but the category is not yet won — nobody has shipped this fully</w:t>
            </w:r>
          </w:p>
        </w:tc>
      </w:tr>
      <w:tr>
        <w:tc>
          <w:tcPr>
            <w:tcW w:type="dxa" w:w="2200"/>
            <w:shd w:fill="F2F2F2" w:val="clear"/>
            <w:tcMar>
              <w:top w:type="dxa" w:w="90"/>
              <w:left w:type="dxa" w:w="100"/>
              <w:bottom w:type="dxa" w:w="90"/>
              <w:right w:type="dxa" w:w="100"/>
            </w:tcMar>
            <w:vAlign w:val="center"/>
          </w:tcPr>
          <w:p>
            <w:r>
              <w:rPr>
                <w:color w:val="222222"/>
                <w:sz w:val="18"/>
                <w:szCs w:val="18"/>
              </w:rPr>
              <w:t xml:space="preserve">BuilderOS</w:t>
            </w:r>
          </w:p>
        </w:tc>
        <w:tc>
          <w:tcPr>
            <w:tcW w:type="dxa" w:w="3300"/>
            <w:shd w:fill="F2F2F2" w:val="clear"/>
            <w:tcMar>
              <w:top w:type="dxa" w:w="90"/>
              <w:left w:type="dxa" w:w="100"/>
              <w:bottom w:type="dxa" w:w="90"/>
              <w:right w:type="dxa" w:w="100"/>
            </w:tcMar>
            <w:vAlign w:val="center"/>
          </w:tcPr>
          <w:p>
            <w:r>
              <w:rPr>
                <w:color w:val="222222"/>
                <w:sz w:val="18"/>
                <w:szCs w:val="18"/>
              </w:rPr>
              <w:t xml:space="preserve">Biometric worker check-in, QR-coded material verification, automated payout vault; pre-launch</w:t>
            </w:r>
          </w:p>
        </w:tc>
        <w:tc>
          <w:tcPr>
            <w:tcW w:type="dxa" w:w="1950"/>
            <w:shd w:fill="F2F2F2" w:val="clear"/>
            <w:tcMar>
              <w:top w:type="dxa" w:w="90"/>
              <w:left w:type="dxa" w:w="100"/>
              <w:bottom w:type="dxa" w:w="90"/>
              <w:right w:type="dxa" w:w="100"/>
            </w:tcMar>
            <w:vAlign w:val="center"/>
          </w:tcPr>
          <w:p>
            <w:r>
              <w:rPr>
                <w:color w:val="222222"/>
                <w:sz w:val="18"/>
                <w:szCs w:val="18"/>
              </w:rPr>
              <w:t xml:space="preserve">Not published</w:t>
            </w:r>
          </w:p>
        </w:tc>
        <w:tc>
          <w:tcPr>
            <w:tcW w:type="dxa" w:w="1900"/>
            <w:shd w:fill="F2F2F2" w:val="clear"/>
            <w:tcMar>
              <w:top w:type="dxa" w:w="90"/>
              <w:left w:type="dxa" w:w="100"/>
              <w:bottom w:type="dxa" w:w="90"/>
              <w:right w:type="dxa" w:w="100"/>
            </w:tcMar>
            <w:vAlign w:val="center"/>
          </w:tcPr>
          <w:p>
            <w:r>
              <w:rPr>
                <w:color w:val="222222"/>
                <w:sz w:val="18"/>
                <w:szCs w:val="18"/>
              </w:rPr>
              <w:t xml:space="preserve">Most technically sophisticated found — but focused on labor/material fraud, not a full buyer's due-diligence report</w:t>
            </w:r>
          </w:p>
        </w:tc>
      </w:tr>
      <w:tr>
        <w:tc>
          <w:tcPr>
            <w:tcW w:type="dxa" w:w="2200"/>
            <w:shd w:fill="FFFFFF" w:val="clear"/>
            <w:tcMar>
              <w:top w:type="dxa" w:w="90"/>
              <w:left w:type="dxa" w:w="100"/>
              <w:bottom w:type="dxa" w:w="90"/>
              <w:right w:type="dxa" w:w="100"/>
            </w:tcMar>
            <w:vAlign w:val="center"/>
          </w:tcPr>
          <w:p>
            <w:r>
              <w:rPr>
                <w:color w:val="222222"/>
                <w:sz w:val="18"/>
                <w:szCs w:val="18"/>
              </w:rPr>
              <w:t xml:space="preserve">Pandrock, Propy Mould, Buildtracka, Cityscape Projects</w:t>
            </w:r>
          </w:p>
        </w:tc>
        <w:tc>
          <w:tcPr>
            <w:tcW w:type="dxa" w:w="3300"/>
            <w:shd w:fill="FFFFFF" w:val="clear"/>
            <w:tcMar>
              <w:top w:type="dxa" w:w="90"/>
              <w:left w:type="dxa" w:w="100"/>
              <w:bottom w:type="dxa" w:w="90"/>
              <w:right w:type="dxa" w:w="100"/>
            </w:tcMar>
            <w:vAlign w:val="center"/>
          </w:tcPr>
          <w:p>
            <w:r>
              <w:rPr>
                <w:color w:val="222222"/>
                <w:sz w:val="18"/>
                <w:szCs w:val="18"/>
              </w:rPr>
              <w:t xml:space="preserve">Traditional project-management consultancies with a diaspora angle, human-only oversight, no dashboard product</w:t>
            </w:r>
          </w:p>
        </w:tc>
        <w:tc>
          <w:tcPr>
            <w:tcW w:type="dxa" w:w="1950"/>
            <w:shd w:fill="FFFFFF" w:val="clear"/>
            <w:tcMar>
              <w:top w:type="dxa" w:w="90"/>
              <w:left w:type="dxa" w:w="100"/>
              <w:bottom w:type="dxa" w:w="90"/>
              <w:right w:type="dxa" w:w="100"/>
            </w:tcMar>
            <w:vAlign w:val="center"/>
          </w:tcPr>
          <w:p>
            <w:r>
              <w:rPr>
                <w:color w:val="222222"/>
                <w:sz w:val="18"/>
                <w:szCs w:val="18"/>
              </w:rPr>
              <w:t xml:space="preserve">Consulting engagement — Nigerian PM fees typically run 8-15% of project cost</w:t>
            </w:r>
          </w:p>
        </w:tc>
        <w:tc>
          <w:tcPr>
            <w:tcW w:type="dxa" w:w="1900"/>
            <w:shd w:fill="FFFFFF" w:val="clear"/>
            <w:tcMar>
              <w:top w:type="dxa" w:w="90"/>
              <w:left w:type="dxa" w:w="100"/>
              <w:bottom w:type="dxa" w:w="90"/>
              <w:right w:type="dxa" w:w="100"/>
            </w:tcMar>
            <w:vAlign w:val="center"/>
          </w:tcPr>
          <w:p>
            <w:r>
              <w:rPr>
                <w:color w:val="222222"/>
                <w:sz w:val="18"/>
                <w:szCs w:val="18"/>
              </w:rPr>
              <w:t xml:space="preserve">No tech product, opaque and comparatively high pricing</w:t>
            </w:r>
          </w:p>
        </w:tc>
      </w:tr>
      <w:tr>
        <w:tc>
          <w:tcPr>
            <w:tcW w:type="dxa" w:w="2200"/>
            <w:shd w:fill="F2F2F2" w:val="clear"/>
            <w:tcMar>
              <w:top w:type="dxa" w:w="90"/>
              <w:left w:type="dxa" w:w="100"/>
              <w:bottom w:type="dxa" w:w="90"/>
              <w:right w:type="dxa" w:w="100"/>
            </w:tcMar>
            <w:vAlign w:val="center"/>
          </w:tcPr>
          <w:p>
            <w:r>
              <w:rPr>
                <w:color w:val="222222"/>
                <w:sz w:val="18"/>
                <w:szCs w:val="18"/>
              </w:rPr>
              <w:t xml:space="preserve">Vantage Nigeria (agriculture analog)</w:t>
            </w:r>
          </w:p>
        </w:tc>
        <w:tc>
          <w:tcPr>
            <w:tcW w:type="dxa" w:w="3300"/>
            <w:shd w:fill="F2F2F2" w:val="clear"/>
            <w:tcMar>
              <w:top w:type="dxa" w:w="90"/>
              <w:left w:type="dxa" w:w="100"/>
              <w:bottom w:type="dxa" w:w="90"/>
              <w:right w:type="dxa" w:w="100"/>
            </w:tcMar>
            <w:vAlign w:val="center"/>
          </w:tcPr>
          <w:p>
            <w:r>
              <w:rPr>
                <w:color w:val="222222"/>
                <w:sz w:val="18"/>
                <w:szCs w:val="18"/>
              </w:rPr>
              <w:t xml:space="preserve">Monthly farm reports with photos for diaspora clients in the UK/US/Canada/Gulf — live, working reference model</w:t>
            </w:r>
          </w:p>
        </w:tc>
        <w:tc>
          <w:tcPr>
            <w:tcW w:type="dxa" w:w="1950"/>
            <w:shd w:fill="F2F2F2" w:val="clear"/>
            <w:tcMar>
              <w:top w:type="dxa" w:w="90"/>
              <w:left w:type="dxa" w:w="100"/>
              <w:bottom w:type="dxa" w:w="90"/>
              <w:right w:type="dxa" w:w="100"/>
            </w:tcMar>
            <w:vAlign w:val="center"/>
          </w:tcPr>
          <w:p>
            <w:r>
              <w:rPr>
                <w:color w:val="222222"/>
                <w:sz w:val="18"/>
                <w:szCs w:val="18"/>
              </w:rPr>
              <w:t xml:space="preserve">Not published</w:t>
            </w:r>
          </w:p>
        </w:tc>
        <w:tc>
          <w:tcPr>
            <w:tcW w:type="dxa" w:w="1900"/>
            <w:shd w:fill="F2F2F2" w:val="clear"/>
            <w:tcMar>
              <w:top w:type="dxa" w:w="90"/>
              <w:left w:type="dxa" w:w="100"/>
              <w:bottom w:type="dxa" w:w="90"/>
              <w:right w:type="dxa" w:w="100"/>
            </w:tcMar>
            <w:vAlign w:val="center"/>
          </w:tcPr>
          <w:p>
            <w:r>
              <w:rPr>
                <w:color w:val="222222"/>
                <w:sz w:val="18"/>
                <w:szCs w:val="18"/>
              </w:rPr>
              <w:t xml:space="preserve">Photo/note-based only — no satellite data, no AI cross-check</w:t>
            </w:r>
          </w:p>
        </w:tc>
      </w:tr>
    </w:tbl>
    <w:p>
      <w:pPr>
        <w:pStyle w:val="Heading1"/>
        <w:spacing w:after="160" w:before="360"/>
      </w:pPr>
      <w:r>
        <w:rPr>
          <w:b/>
          <w:bCs/>
          <w:color w:val="1F3A5F"/>
          <w:sz w:val="28"/>
          <w:szCs w:val="28"/>
        </w:rPr>
        <w:t xml:space="preserve">Where We Can Outshine</w:t>
      </w:r>
    </w:p>
    <w:p>
      <w:pPr>
        <w:pStyle w:val="ListParagraph"/>
        <w:numPr>
          <w:ilvl w:val="0"/>
          <w:numId w:val="2"/>
        </w:numPr>
        <w:spacing w:after="90" w:line="264"/>
      </w:pPr>
      <w:r>
        <w:rPr>
          <w:b w:val="false"/>
          <w:bCs w:val="false"/>
          <w:color w:val="222222"/>
          <w:sz w:val="21"/>
          <w:szCs w:val="21"/>
        </w:rPr>
        <w:t xml:space="preserve">True independence, stated explicitly: we take payment only from the diaspora client, on every tier, across every vertical — never a commission from the contractor, seller, or developer side. DiasporaBuild's free-to-client model looks attractive but is funded by the contractor, meaning their incentive is contractor volume, not catching contractor fraud. This is a one-line pitch most competitors cannot make.</w:t>
      </w:r>
    </w:p>
    <w:p>
      <w:pPr>
        <w:pStyle w:val="ListParagraph"/>
        <w:numPr>
          <w:ilvl w:val="0"/>
          <w:numId w:val="2"/>
        </w:numPr>
        <w:spacing w:after="90" w:line="264"/>
      </w:pPr>
      <w:r>
        <w:rPr>
          <w:b w:val="false"/>
          <w:bCs w:val="false"/>
          <w:color w:val="222222"/>
          <w:sz w:val="21"/>
          <w:szCs w:val="21"/>
        </w:rPr>
        <w:t xml:space="preserve">AI-assisted verification, where every competitor found is human-only: none of the six competitors above — including the technically sophisticated BuilderOS — use computer vision or satellite data. They rely on humans, GPS pins, biometrics, and QR codes, which prove presence but not necessarily quality or authenticity.</w:t>
      </w:r>
    </w:p>
    <w:p>
      <w:pPr>
        <w:pStyle w:val="ListParagraph"/>
        <w:numPr>
          <w:ilvl w:val="0"/>
          <w:numId w:val="2"/>
        </w:numPr>
        <w:spacing w:after="90" w:line="264"/>
      </w:pPr>
      <w:r>
        <w:rPr>
          <w:b w:val="false"/>
          <w:bCs w:val="false"/>
          <w:color w:val="222222"/>
          <w:sz w:val="21"/>
          <w:szCs w:val="21"/>
        </w:rPr>
        <w:t xml:space="preserve">One account across property, build, and farm: every competitor found is single-vertical. A client with both a house project and family farmland currently needs two vendors (e.g., SimpleXD and Vantage Nigeria). One login, one report format, one trust relationship covering both is a real convenience edge nobody else offers.</w:t>
      </w:r>
    </w:p>
    <w:p>
      <w:pPr>
        <w:pStyle w:val="ListParagraph"/>
        <w:numPr>
          <w:ilvl w:val="0"/>
          <w:numId w:val="2"/>
        </w:numPr>
        <w:spacing w:after="90" w:line="264"/>
      </w:pPr>
      <w:r>
        <w:rPr>
          <w:b w:val="false"/>
          <w:bCs w:val="false"/>
          <w:color w:val="222222"/>
          <w:sz w:val="21"/>
          <w:szCs w:val="21"/>
        </w:rPr>
        <w:t xml:space="preserve">Timing: BuildWatch and BuilderOS are both pre-launch waitlists as of this research — the category is not yet won, which leaves room to move if this is pursued in the next few months rather than treated as a someday project.</w:t>
      </w:r>
    </w:p>
    <w:p>
      <w:pPr>
        <w:pStyle w:val="ListParagraph"/>
        <w:numPr>
          <w:ilvl w:val="0"/>
          <w:numId w:val="2"/>
        </w:numPr>
        <w:spacing w:after="90" w:line="264"/>
      </w:pPr>
      <w:r>
        <w:rPr>
          <w:b w:val="false"/>
          <w:bCs w:val="false"/>
          <w:color w:val="222222"/>
          <w:sz w:val="21"/>
          <w:szCs w:val="21"/>
        </w:rPr>
        <w:t xml:space="preserve">A real professional network, already in hand: contacts for a lawyer, a registered surveyor, and an architect are secured — meaning title and document verification (the exact fraud vector none of the six competitors above visibly cover) is a deliverable capability today, not a future hire. This directly answers the sophisticated buyer's actual fear (forged paperwork), not just the naive one (an unfinished building).</w:t>
      </w:r>
    </w:p>
    <w:p>
      <w:pPr>
        <w:pStyle w:val="Heading1"/>
        <w:spacing w:after="160" w:before="360"/>
      </w:pPr>
      <w:r>
        <w:rPr>
          <w:b/>
          <w:bCs/>
          <w:color w:val="1F3A5F"/>
          <w:sz w:val="28"/>
          <w:szCs w:val="28"/>
        </w:rPr>
        <w:t xml:space="preserve">AI Value-Add</w:t>
      </w:r>
    </w:p>
    <w:p>
      <w:pPr>
        <w:spacing w:after="160" w:line="276"/>
      </w:pPr>
      <w:r>
        <w:rPr>
          <w:b w:val="false"/>
          <w:bCs w:val="false"/>
          <w:i w:val="false"/>
          <w:iCs w:val="false"/>
          <w:color w:val="222222"/>
          <w:sz w:val="21"/>
          <w:szCs w:val="21"/>
        </w:rPr>
        <w:t xml:space="preserve">Framed honestly: AI here means AI-assisted verification that augments a human field agent, not a replacement for one. In a market this trust-damaged, a human signature on a report still carries weight a model score alone will not — and any computer-vision model needs Nigeria-specific training data before it can be trusted to flag issues reliably.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50"/>
      </w:tblGrid>
      <w:tr>
        <w:trPr>
          <w:tblHeader/>
        </w:trPr>
        <w:tc>
          <w:tcPr>
            <w:tcW w:type="dxa" w:w="2400"/>
            <w:shd w:fill="1F3A5F" w:val="clear"/>
            <w:tcMar>
              <w:top w:type="dxa" w:w="100"/>
              <w:left w:type="dxa" w:w="100"/>
              <w:bottom w:type="dxa" w:w="100"/>
              <w:right w:type="dxa" w:w="100"/>
            </w:tcMar>
            <w:vAlign w:val="center"/>
          </w:tcPr>
          <w:p>
            <w:r>
              <w:rPr>
                <w:b/>
                <w:bCs/>
                <w:color w:val="FFFFFF"/>
                <w:sz w:val="19"/>
                <w:szCs w:val="19"/>
              </w:rPr>
              <w:t xml:space="preserve">AI Feature</w:t>
            </w:r>
          </w:p>
        </w:tc>
        <w:tc>
          <w:tcPr>
            <w:tcW w:type="dxa" w:w="4000"/>
            <w:shd w:fill="1F3A5F" w:val="clear"/>
            <w:tcMar>
              <w:top w:type="dxa" w:w="100"/>
              <w:left w:type="dxa" w:w="100"/>
              <w:bottom w:type="dxa" w:w="100"/>
              <w:right w:type="dxa" w:w="100"/>
            </w:tcMar>
            <w:vAlign w:val="center"/>
          </w:tcPr>
          <w:p>
            <w:r>
              <w:rPr>
                <w:b/>
                <w:bCs/>
                <w:color w:val="FFFFFF"/>
                <w:sz w:val="19"/>
                <w:szCs w:val="19"/>
              </w:rPr>
              <w:t xml:space="preserve">What It Does</w:t>
            </w:r>
          </w:p>
        </w:tc>
        <w:tc>
          <w:tcPr>
            <w:tcW w:type="dxa" w:w="2950"/>
            <w:shd w:fill="1F3A5F" w:val="clear"/>
            <w:tcMar>
              <w:top w:type="dxa" w:w="100"/>
              <w:left w:type="dxa" w:w="100"/>
              <w:bottom w:type="dxa" w:w="100"/>
              <w:right w:type="dxa" w:w="100"/>
            </w:tcMar>
            <w:vAlign w:val="center"/>
          </w:tcPr>
          <w:p>
            <w:r>
              <w:rPr>
                <w:b/>
                <w:bCs/>
                <w:color w:val="FFFFFF"/>
                <w:sz w:val="19"/>
                <w:szCs w:val="19"/>
              </w:rPr>
              <w:t xml:space="preserve">Why It Matters Here</w:t>
            </w:r>
          </w:p>
        </w:tc>
      </w:tr>
      <w:tr>
        <w:tc>
          <w:tcPr>
            <w:tcW w:type="dxa" w:w="2400"/>
            <w:shd w:fill="FFFFFF" w:val="clear"/>
            <w:tcMar>
              <w:top w:type="dxa" w:w="90"/>
              <w:left w:type="dxa" w:w="100"/>
              <w:bottom w:type="dxa" w:w="90"/>
              <w:right w:type="dxa" w:w="100"/>
            </w:tcMar>
            <w:vAlign w:val="center"/>
          </w:tcPr>
          <w:p>
            <w:r>
              <w:rPr>
                <w:color w:val="222222"/>
                <w:sz w:val="18"/>
                <w:szCs w:val="18"/>
              </w:rPr>
              <w:t xml:space="preserve">Automated report generation</w:t>
            </w:r>
          </w:p>
        </w:tc>
        <w:tc>
          <w:tcPr>
            <w:tcW w:type="dxa" w:w="4000"/>
            <w:shd w:fill="FFFFFF" w:val="clear"/>
            <w:tcMar>
              <w:top w:type="dxa" w:w="90"/>
              <w:left w:type="dxa" w:w="100"/>
              <w:bottom w:type="dxa" w:w="90"/>
              <w:right w:type="dxa" w:w="100"/>
            </w:tcMar>
            <w:vAlign w:val="center"/>
          </w:tcPr>
          <w:p>
            <w:r>
              <w:rPr>
                <w:color w:val="222222"/>
                <w:sz w:val="18"/>
                <w:szCs w:val="18"/>
              </w:rPr>
              <w:t xml:space="preserve">Turns a field agent's raw photos and voice/text notes into a clean, client-ready PDF in minutes, not hours</w:t>
            </w:r>
          </w:p>
        </w:tc>
        <w:tc>
          <w:tcPr>
            <w:tcW w:type="dxa" w:w="2950"/>
            <w:shd w:fill="FFFFFF" w:val="clear"/>
            <w:tcMar>
              <w:top w:type="dxa" w:w="90"/>
              <w:left w:type="dxa" w:w="100"/>
              <w:bottom w:type="dxa" w:w="90"/>
              <w:right w:type="dxa" w:w="100"/>
            </w:tcMar>
            <w:vAlign w:val="center"/>
          </w:tcPr>
          <w:p>
            <w:r>
              <w:rPr>
                <w:color w:val="222222"/>
                <w:sz w:val="18"/>
                <w:szCs w:val="18"/>
              </w:rPr>
              <w:t xml:space="preserve">Faster turnaround than any competitor found; lowers the labor cost per report, which is what protects margin at competitive pricing</w:t>
            </w:r>
          </w:p>
        </w:tc>
      </w:tr>
      <w:tr>
        <w:tc>
          <w:tcPr>
            <w:tcW w:type="dxa" w:w="2400"/>
            <w:shd w:fill="F2F2F2" w:val="clear"/>
            <w:tcMar>
              <w:top w:type="dxa" w:w="90"/>
              <w:left w:type="dxa" w:w="100"/>
              <w:bottom w:type="dxa" w:w="90"/>
              <w:right w:type="dxa" w:w="100"/>
            </w:tcMar>
            <w:vAlign w:val="center"/>
          </w:tcPr>
          <w:p>
            <w:r>
              <w:rPr>
                <w:color w:val="222222"/>
                <w:sz w:val="18"/>
                <w:szCs w:val="18"/>
              </w:rPr>
              <w:t xml:space="preserve">Computer-vision progress cross-check</w:t>
            </w:r>
          </w:p>
        </w:tc>
        <w:tc>
          <w:tcPr>
            <w:tcW w:type="dxa" w:w="4000"/>
            <w:shd w:fill="F2F2F2" w:val="clear"/>
            <w:tcMar>
              <w:top w:type="dxa" w:w="90"/>
              <w:left w:type="dxa" w:w="100"/>
              <w:bottom w:type="dxa" w:w="90"/>
              <w:right w:type="dxa" w:w="100"/>
            </w:tcMar>
            <w:vAlign w:val="center"/>
          </w:tcPr>
          <w:p>
            <w:r>
              <w:rPr>
                <w:color w:val="222222"/>
                <w:sz w:val="18"/>
                <w:szCs w:val="18"/>
              </w:rPr>
              <w:t xml:space="preserve">Object detection on submitted site photos flags inconsistencies — rebar spacing, missing materials, quantity vs. bill of quantities — as a second, independent check</w:t>
            </w:r>
          </w:p>
        </w:tc>
        <w:tc>
          <w:tcPr>
            <w:tcW w:type="dxa" w:w="2950"/>
            <w:shd w:fill="F2F2F2" w:val="clear"/>
            <w:tcMar>
              <w:top w:type="dxa" w:w="90"/>
              <w:left w:type="dxa" w:w="100"/>
              <w:bottom w:type="dxa" w:w="90"/>
              <w:right w:type="dxa" w:w="100"/>
            </w:tcMar>
            <w:vAlign w:val="center"/>
          </w:tcPr>
          <w:p>
            <w:r>
              <w:rPr>
                <w:color w:val="222222"/>
                <w:sz w:val="18"/>
                <w:szCs w:val="18"/>
              </w:rPr>
              <w:t xml:space="preserve">Directly reduces field-agent-collusion risk, the one structural risk no competitor's human-only model solves</w:t>
            </w:r>
          </w:p>
        </w:tc>
      </w:tr>
      <w:tr>
        <w:tc>
          <w:tcPr>
            <w:tcW w:type="dxa" w:w="2400"/>
            <w:shd w:fill="FFFFFF" w:val="clear"/>
            <w:tcMar>
              <w:top w:type="dxa" w:w="90"/>
              <w:left w:type="dxa" w:w="100"/>
              <w:bottom w:type="dxa" w:w="90"/>
              <w:right w:type="dxa" w:w="100"/>
            </w:tcMar>
            <w:vAlign w:val="center"/>
          </w:tcPr>
          <w:p>
            <w:r>
              <w:rPr>
                <w:color w:val="222222"/>
                <w:sz w:val="18"/>
                <w:szCs w:val="18"/>
              </w:rPr>
              <w:t xml:space="preserve">Cost-anomaly detection</w:t>
            </w:r>
          </w:p>
        </w:tc>
        <w:tc>
          <w:tcPr>
            <w:tcW w:type="dxa" w:w="4000"/>
            <w:shd w:fill="FFFFFF" w:val="clear"/>
            <w:tcMar>
              <w:top w:type="dxa" w:w="90"/>
              <w:left w:type="dxa" w:w="100"/>
              <w:bottom w:type="dxa" w:w="90"/>
              <w:right w:type="dxa" w:w="100"/>
            </w:tcMar>
            <w:vAlign w:val="center"/>
          </w:tcPr>
          <w:p>
            <w:r>
              <w:rPr>
                <w:color w:val="222222"/>
                <w:sz w:val="18"/>
                <w:szCs w:val="18"/>
              </w:rPr>
              <w:t xml:space="preserve">Compares reported spend against a regional cost-benchmark to auto-flag overbilling</w:t>
            </w:r>
          </w:p>
        </w:tc>
        <w:tc>
          <w:tcPr>
            <w:tcW w:type="dxa" w:w="2950"/>
            <w:shd w:fill="FFFFFF" w:val="clear"/>
            <w:tcMar>
              <w:top w:type="dxa" w:w="90"/>
              <w:left w:type="dxa" w:w="100"/>
              <w:bottom w:type="dxa" w:w="90"/>
              <w:right w:type="dxa" w:w="100"/>
            </w:tcMar>
            <w:vAlign w:val="center"/>
          </w:tcPr>
          <w:p>
            <w:r>
              <w:rPr>
                <w:color w:val="222222"/>
                <w:sz w:val="18"/>
                <w:szCs w:val="18"/>
              </w:rPr>
              <w:t xml:space="preserve">Matches the exact fraud pattern described in BuilderOS's own customer testimonials (claimed cost vs. actual spend mismatch)</w:t>
            </w:r>
          </w:p>
        </w:tc>
      </w:tr>
      <w:tr>
        <w:tc>
          <w:tcPr>
            <w:tcW w:type="dxa" w:w="2400"/>
            <w:shd w:fill="F2F2F2" w:val="clear"/>
            <w:tcMar>
              <w:top w:type="dxa" w:w="90"/>
              <w:left w:type="dxa" w:w="100"/>
              <w:bottom w:type="dxa" w:w="90"/>
              <w:right w:type="dxa" w:w="100"/>
            </w:tcMar>
            <w:vAlign w:val="center"/>
          </w:tcPr>
          <w:p>
            <w:r>
              <w:rPr>
                <w:color w:val="222222"/>
                <w:sz w:val="18"/>
                <w:szCs w:val="18"/>
              </w:rPr>
              <w:t xml:space="preserve">Document/ID verification</w:t>
            </w:r>
          </w:p>
        </w:tc>
        <w:tc>
          <w:tcPr>
            <w:tcW w:type="dxa" w:w="4000"/>
            <w:shd w:fill="F2F2F2" w:val="clear"/>
            <w:tcMar>
              <w:top w:type="dxa" w:w="90"/>
              <w:left w:type="dxa" w:w="100"/>
              <w:bottom w:type="dxa" w:w="90"/>
              <w:right w:type="dxa" w:w="100"/>
            </w:tcMar>
            <w:vAlign w:val="center"/>
          </w:tcPr>
          <w:p>
            <w:r>
              <w:rPr>
                <w:color w:val="222222"/>
                <w:sz w:val="18"/>
                <w:szCs w:val="18"/>
              </w:rPr>
              <w:t xml:space="preserve">AI-assisted check of Certificate of Occupancy, survey plans, and CAC contractor registration for tampering signals, before human legal review</w:t>
            </w:r>
          </w:p>
        </w:tc>
        <w:tc>
          <w:tcPr>
            <w:tcW w:type="dxa" w:w="2950"/>
            <w:shd w:fill="F2F2F2" w:val="clear"/>
            <w:tcMar>
              <w:top w:type="dxa" w:w="90"/>
              <w:left w:type="dxa" w:w="100"/>
              <w:bottom w:type="dxa" w:w="90"/>
              <w:right w:type="dxa" w:w="100"/>
            </w:tcMar>
            <w:vAlign w:val="center"/>
          </w:tcPr>
          <w:p>
            <w:r>
              <w:rPr>
                <w:color w:val="222222"/>
                <w:sz w:val="18"/>
                <w:szCs w:val="18"/>
              </w:rPr>
              <w:t xml:space="preserve">Speeds up and lowers the cost of the land-title-check line item specifically</w:t>
            </w:r>
          </w:p>
        </w:tc>
      </w:tr>
      <w:tr>
        <w:tc>
          <w:tcPr>
            <w:tcW w:type="dxa" w:w="2400"/>
            <w:shd w:fill="FFFFFF" w:val="clear"/>
            <w:tcMar>
              <w:top w:type="dxa" w:w="90"/>
              <w:left w:type="dxa" w:w="100"/>
              <w:bottom w:type="dxa" w:w="90"/>
              <w:right w:type="dxa" w:w="100"/>
            </w:tcMar>
            <w:vAlign w:val="center"/>
          </w:tcPr>
          <w:p>
            <w:r>
              <w:rPr>
                <w:color w:val="222222"/>
                <w:sz w:val="18"/>
                <w:szCs w:val="18"/>
              </w:rPr>
              <w:t xml:space="preserve">Natural-language client chatbot</w:t>
            </w:r>
          </w:p>
        </w:tc>
        <w:tc>
          <w:tcPr>
            <w:tcW w:type="dxa" w:w="4000"/>
            <w:shd w:fill="FFFFFF" w:val="clear"/>
            <w:tcMar>
              <w:top w:type="dxa" w:w="90"/>
              <w:left w:type="dxa" w:w="100"/>
              <w:bottom w:type="dxa" w:w="90"/>
              <w:right w:type="dxa" w:w="100"/>
            </w:tcMar>
            <w:vAlign w:val="center"/>
          </w:tcPr>
          <w:p>
            <w:r>
              <w:rPr>
                <w:color w:val="222222"/>
                <w:sz w:val="18"/>
                <w:szCs w:val="18"/>
              </w:rPr>
              <w:t xml:space="preserve">Client asks “what's the status of my roofing?” in plain English/Pidgin and gets an answer pulled from the latest report</w:t>
            </w:r>
          </w:p>
        </w:tc>
        <w:tc>
          <w:tcPr>
            <w:tcW w:type="dxa" w:w="2950"/>
            <w:shd w:fill="FFFFFF" w:val="clear"/>
            <w:tcMar>
              <w:top w:type="dxa" w:w="90"/>
              <w:left w:type="dxa" w:w="100"/>
              <w:bottom w:type="dxa" w:w="90"/>
              <w:right w:type="dxa" w:w="100"/>
            </w:tcMar>
            <w:vAlign w:val="center"/>
          </w:tcPr>
          <w:p>
            <w:r>
              <w:rPr>
                <w:color w:val="222222"/>
                <w:sz w:val="18"/>
                <w:szCs w:val="18"/>
              </w:rPr>
              <w:t xml:space="preserve">Lowers support overhead as client count grows, without adding headcount</w:t>
            </w:r>
          </w:p>
        </w:tc>
      </w:tr>
      <w:tr>
        <w:tc>
          <w:tcPr>
            <w:tcW w:type="dxa" w:w="2400"/>
            <w:shd w:fill="F2F2F2" w:val="clear"/>
            <w:tcMar>
              <w:top w:type="dxa" w:w="90"/>
              <w:left w:type="dxa" w:w="100"/>
              <w:bottom w:type="dxa" w:w="90"/>
              <w:right w:type="dxa" w:w="100"/>
            </w:tcMar>
            <w:vAlign w:val="center"/>
          </w:tcPr>
          <w:p>
            <w:r>
              <w:rPr>
                <w:color w:val="222222"/>
                <w:sz w:val="18"/>
                <w:szCs w:val="18"/>
              </w:rPr>
              <w:t xml:space="preserve">Satellite/NDVI crop snapshots (agriculture)</w:t>
            </w:r>
          </w:p>
        </w:tc>
        <w:tc>
          <w:tcPr>
            <w:tcW w:type="dxa" w:w="4000"/>
            <w:shd w:fill="F2F2F2" w:val="clear"/>
            <w:tcMar>
              <w:top w:type="dxa" w:w="90"/>
              <w:left w:type="dxa" w:w="100"/>
              <w:bottom w:type="dxa" w:w="90"/>
              <w:right w:type="dxa" w:w="100"/>
            </w:tcMar>
            <w:vAlign w:val="center"/>
          </w:tcPr>
          <w:p>
            <w:r>
              <w:rPr>
                <w:color w:val="222222"/>
                <w:sz w:val="18"/>
                <w:szCs w:val="18"/>
              </w:rPr>
              <w:t xml:space="preserve">Free-tier Sentinel Hub crop-health data layered alongside human farm visits</w:t>
            </w:r>
          </w:p>
        </w:tc>
        <w:tc>
          <w:tcPr>
            <w:tcW w:type="dxa" w:w="2950"/>
            <w:shd w:fill="F2F2F2" w:val="clear"/>
            <w:tcMar>
              <w:top w:type="dxa" w:w="90"/>
              <w:left w:type="dxa" w:w="100"/>
              <w:bottom w:type="dxa" w:w="90"/>
              <w:right w:type="dxa" w:w="100"/>
            </w:tcMar>
            <w:vAlign w:val="center"/>
          </w:tcPr>
          <w:p>
            <w:r>
              <w:rPr>
                <w:color w:val="222222"/>
                <w:sz w:val="18"/>
                <w:szCs w:val="18"/>
              </w:rPr>
              <w:t xml:space="preserve">Not used by Vantage Nigeria or any agriculture competitor found in this research</w:t>
            </w:r>
          </w:p>
        </w:tc>
      </w:tr>
    </w:tbl>
    <w:p>
      <w:pPr>
        <w:pStyle w:val="Heading1"/>
        <w:spacing w:after="160" w:before="360"/>
      </w:pPr>
      <w:r>
        <w:rPr>
          <w:b/>
          <w:bCs/>
          <w:color w:val="1F3A5F"/>
          <w:sz w:val="28"/>
          <w:szCs w:val="28"/>
        </w:rPr>
        <w:t xml:space="preserve">18-Month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1200"/>
        <w:gridCol w:w="5000"/>
        <w:gridCol w:w="1700"/>
      </w:tblGrid>
      <w:tr>
        <w:trPr>
          <w:tblHeader/>
        </w:trPr>
        <w:tc>
          <w:tcPr>
            <w:tcW w:type="dxa" w:w="1450"/>
            <w:shd w:fill="1F3A5F" w:val="clear"/>
            <w:tcMar>
              <w:top w:type="dxa" w:w="100"/>
              <w:left w:type="dxa" w:w="100"/>
              <w:bottom w:type="dxa" w:w="100"/>
              <w:right w:type="dxa" w:w="100"/>
            </w:tcMar>
            <w:vAlign w:val="center"/>
          </w:tcPr>
          <w:p>
            <w:r>
              <w:rPr>
                <w:b/>
                <w:bCs/>
                <w:color w:val="FFFFFF"/>
                <w:sz w:val="19"/>
                <w:szCs w:val="19"/>
              </w:rPr>
              <w:t xml:space="preserve">Phase</w:t>
            </w:r>
          </w:p>
        </w:tc>
        <w:tc>
          <w:tcPr>
            <w:tcW w:type="dxa" w:w="1200"/>
            <w:shd w:fill="1F3A5F" w:val="clear"/>
            <w:tcMar>
              <w:top w:type="dxa" w:w="100"/>
              <w:left w:type="dxa" w:w="100"/>
              <w:bottom w:type="dxa" w:w="100"/>
              <w:right w:type="dxa" w:w="100"/>
            </w:tcMar>
            <w:vAlign w:val="center"/>
          </w:tcPr>
          <w:p>
            <w:r>
              <w:rPr>
                <w:b/>
                <w:bCs/>
                <w:color w:val="FFFFFF"/>
                <w:sz w:val="19"/>
                <w:szCs w:val="19"/>
              </w:rPr>
              <w:t xml:space="preserve">Timeline</w:t>
            </w:r>
          </w:p>
        </w:tc>
        <w:tc>
          <w:tcPr>
            <w:tcW w:type="dxa" w:w="5000"/>
            <w:shd w:fill="1F3A5F" w:val="clear"/>
            <w:tcMar>
              <w:top w:type="dxa" w:w="100"/>
              <w:left w:type="dxa" w:w="100"/>
              <w:bottom w:type="dxa" w:w="100"/>
              <w:right w:type="dxa" w:w="100"/>
            </w:tcMar>
            <w:vAlign w:val="center"/>
          </w:tcPr>
          <w:p>
            <w:r>
              <w:rPr>
                <w:b/>
                <w:bCs/>
                <w:color w:val="FFFFFF"/>
                <w:sz w:val="19"/>
                <w:szCs w:val="19"/>
              </w:rPr>
              <w:t xml:space="preserve">Key Actions</w:t>
            </w:r>
          </w:p>
        </w:tc>
        <w:tc>
          <w:tcPr>
            <w:tcW w:type="dxa" w:w="1700"/>
            <w:shd w:fill="1F3A5F" w:val="clear"/>
            <w:tcMar>
              <w:top w:type="dxa" w:w="100"/>
              <w:left w:type="dxa" w:w="100"/>
              <w:bottom w:type="dxa" w:w="100"/>
              <w:right w:type="dxa" w:w="100"/>
            </w:tcMar>
            <w:vAlign w:val="center"/>
          </w:tcPr>
          <w:p>
            <w:r>
              <w:rPr>
                <w:b/>
                <w:bCs/>
                <w:color w:val="FFFFFF"/>
                <w:sz w:val="19"/>
                <w:szCs w:val="19"/>
              </w:rPr>
              <w:t xml:space="preserve">Milestone</w:t>
            </w:r>
          </w:p>
        </w:tc>
      </w:tr>
      <w:tr>
        <w:tc>
          <w:tcPr>
            <w:tcW w:type="dxa" w:w="1450"/>
            <w:shd w:fill="FFFFFF" w:val="clear"/>
            <w:tcMar>
              <w:top w:type="dxa" w:w="90"/>
              <w:left w:type="dxa" w:w="100"/>
              <w:bottom w:type="dxa" w:w="90"/>
              <w:right w:type="dxa" w:w="100"/>
            </w:tcMar>
            <w:vAlign w:val="center"/>
          </w:tcPr>
          <w:p>
            <w:r>
              <w:rPr>
                <w:color w:val="222222"/>
                <w:sz w:val="18"/>
                <w:szCs w:val="18"/>
              </w:rPr>
              <w:t xml:space="preserve">1 — Manual Validation (Property)</w:t>
            </w:r>
          </w:p>
        </w:tc>
        <w:tc>
          <w:tcPr>
            <w:tcW w:type="dxa" w:w="1200"/>
            <w:shd w:fill="FFFFFF" w:val="clear"/>
            <w:tcMar>
              <w:top w:type="dxa" w:w="90"/>
              <w:left w:type="dxa" w:w="100"/>
              <w:bottom w:type="dxa" w:w="90"/>
              <w:right w:type="dxa" w:w="100"/>
            </w:tcMar>
            <w:vAlign w:val="center"/>
          </w:tcPr>
          <w:p>
            <w:r>
              <w:rPr>
                <w:color w:val="222222"/>
                <w:sz w:val="18"/>
                <w:szCs w:val="18"/>
              </w:rPr>
              <w:t xml:space="preserve">Month 0-2</w:t>
            </w:r>
          </w:p>
        </w:tc>
        <w:tc>
          <w:tcPr>
            <w:tcW w:type="dxa" w:w="5000"/>
            <w:shd w:fill="FFFFFF" w:val="clear"/>
            <w:tcMar>
              <w:top w:type="dxa" w:w="90"/>
              <w:left w:type="dxa" w:w="100"/>
              <w:bottom w:type="dxa" w:w="90"/>
              <w:right w:type="dxa" w:w="100"/>
            </w:tcMar>
            <w:vAlign w:val="center"/>
          </w:tcPr>
          <w:p>
            <w:r>
              <w:rPr>
                <w:color w:val="222222"/>
                <w:sz w:val="18"/>
                <w:szCs w:val="18"/>
              </w:rPr>
              <w:t xml:space="preserve">Run the property-verification test ladder: warm interviews with existing diaspora contacts, the iConfam opt-in landing page (live at iconfam.com) driving real sign-ups, and a pre-sell (paid deposit) pilot on 2-3 real property purchases or builds in your network. Deliver reports by hand — no dashboard yet.</w:t>
            </w:r>
          </w:p>
        </w:tc>
        <w:tc>
          <w:tcPr>
            <w:tcW w:type="dxa" w:w="1700"/>
            <w:shd w:fill="FFFFFF" w:val="clear"/>
            <w:tcMar>
              <w:top w:type="dxa" w:w="90"/>
              <w:left w:type="dxa" w:w="100"/>
              <w:bottom w:type="dxa" w:w="90"/>
              <w:right w:type="dxa" w:w="100"/>
            </w:tcMar>
            <w:vAlign w:val="center"/>
          </w:tcPr>
          <w:p>
            <w:r>
              <w:rPr>
                <w:color w:val="222222"/>
                <w:sz w:val="18"/>
                <w:szCs w:val="18"/>
              </w:rPr>
              <w:t xml:space="preserve">3-5 paying pilot clients on the property/build side; proof the pre-sell converts before any code is written</w:t>
            </w:r>
          </w:p>
        </w:tc>
      </w:tr>
      <w:tr>
        <w:tc>
          <w:tcPr>
            <w:tcW w:type="dxa" w:w="1450"/>
            <w:shd w:fill="F2F2F2" w:val="clear"/>
            <w:tcMar>
              <w:top w:type="dxa" w:w="90"/>
              <w:left w:type="dxa" w:w="100"/>
              <w:bottom w:type="dxa" w:w="90"/>
              <w:right w:type="dxa" w:w="100"/>
            </w:tcMar>
            <w:vAlign w:val="center"/>
          </w:tcPr>
          <w:p>
            <w:r>
              <w:rPr>
                <w:color w:val="222222"/>
                <w:sz w:val="18"/>
                <w:szCs w:val="18"/>
              </w:rPr>
              <w:t xml:space="preserve">2 — MVP + First Real Clients</w:t>
            </w:r>
          </w:p>
        </w:tc>
        <w:tc>
          <w:tcPr>
            <w:tcW w:type="dxa" w:w="1200"/>
            <w:shd w:fill="F2F2F2" w:val="clear"/>
            <w:tcMar>
              <w:top w:type="dxa" w:w="90"/>
              <w:left w:type="dxa" w:w="100"/>
              <w:bottom w:type="dxa" w:w="90"/>
              <w:right w:type="dxa" w:w="100"/>
            </w:tcMar>
            <w:vAlign w:val="center"/>
          </w:tcPr>
          <w:p>
            <w:r>
              <w:rPr>
                <w:color w:val="222222"/>
                <w:sz w:val="18"/>
                <w:szCs w:val="18"/>
              </w:rPr>
              <w:t xml:space="preserve">Month 2-5</w:t>
            </w:r>
          </w:p>
        </w:tc>
        <w:tc>
          <w:tcPr>
            <w:tcW w:type="dxa" w:w="5000"/>
            <w:shd w:fill="F2F2F2" w:val="clear"/>
            <w:tcMar>
              <w:top w:type="dxa" w:w="90"/>
              <w:left w:type="dxa" w:w="100"/>
              <w:bottom w:type="dxa" w:w="90"/>
              <w:right w:type="dxa" w:w="100"/>
            </w:tcMar>
            <w:vAlign w:val="center"/>
          </w:tcPr>
          <w:p>
            <w:r>
              <w:rPr>
                <w:color w:val="222222"/>
                <w:sz w:val="18"/>
                <w:szCs w:val="18"/>
              </w:rPr>
              <w:t xml:space="preserve">Build the lean dashboard (same Next.js/Supabase pattern used elsewhere). Recruit 2-3 field agents in one region covering both build sites and property purchases. Formalize the property due-diligence checklist and the build milestone checklist.</w:t>
            </w:r>
          </w:p>
        </w:tc>
        <w:tc>
          <w:tcPr>
            <w:tcW w:type="dxa" w:w="1700"/>
            <w:shd w:fill="F2F2F2" w:val="clear"/>
            <w:tcMar>
              <w:top w:type="dxa" w:w="90"/>
              <w:left w:type="dxa" w:w="100"/>
              <w:bottom w:type="dxa" w:w="90"/>
              <w:right w:type="dxa" w:w="100"/>
            </w:tcMar>
            <w:vAlign w:val="center"/>
          </w:tcPr>
          <w:p>
            <w:r>
              <w:rPr>
                <w:color w:val="222222"/>
                <w:sz w:val="18"/>
                <w:szCs w:val="18"/>
              </w:rPr>
              <w:t xml:space="preserve">10-15 paying clients across property + build; first recurring subscription clients</w:t>
            </w:r>
          </w:p>
        </w:tc>
      </w:tr>
      <w:tr>
        <w:tc>
          <w:tcPr>
            <w:tcW w:type="dxa" w:w="1450"/>
            <w:shd w:fill="FFFFFF" w:val="clear"/>
            <w:tcMar>
              <w:top w:type="dxa" w:w="90"/>
              <w:left w:type="dxa" w:w="100"/>
              <w:bottom w:type="dxa" w:w="90"/>
              <w:right w:type="dxa" w:w="100"/>
            </w:tcMar>
            <w:vAlign w:val="center"/>
          </w:tcPr>
          <w:p>
            <w:r>
              <w:rPr>
                <w:color w:val="222222"/>
                <w:sz w:val="18"/>
                <w:szCs w:val="18"/>
              </w:rPr>
              <w:t xml:space="preserve">3 — Cross-Sell Into Agriculture</w:t>
            </w:r>
          </w:p>
        </w:tc>
        <w:tc>
          <w:tcPr>
            <w:tcW w:type="dxa" w:w="1200"/>
            <w:shd w:fill="FFFFFF" w:val="clear"/>
            <w:tcMar>
              <w:top w:type="dxa" w:w="90"/>
              <w:left w:type="dxa" w:w="100"/>
              <w:bottom w:type="dxa" w:w="90"/>
              <w:right w:type="dxa" w:w="100"/>
            </w:tcMar>
            <w:vAlign w:val="center"/>
          </w:tcPr>
          <w:p>
            <w:r>
              <w:rPr>
                <w:color w:val="222222"/>
                <w:sz w:val="18"/>
                <w:szCs w:val="18"/>
              </w:rPr>
              <w:t xml:space="preserve">Month 6-9</w:t>
            </w:r>
          </w:p>
        </w:tc>
        <w:tc>
          <w:tcPr>
            <w:tcW w:type="dxa" w:w="5000"/>
            <w:shd w:fill="FFFFFF" w:val="clear"/>
            <w:tcMar>
              <w:top w:type="dxa" w:w="90"/>
              <w:left w:type="dxa" w:w="100"/>
              <w:bottom w:type="dxa" w:w="90"/>
              <w:right w:type="dxa" w:w="100"/>
            </w:tcMar>
            <w:vAlign w:val="center"/>
          </w:tcPr>
          <w:p>
            <w:r>
              <w:rPr>
                <w:color w:val="222222"/>
                <w:sz w:val="18"/>
                <w:szCs w:val="18"/>
              </w:rPr>
              <w:t xml:space="preserve">Ask existing property/build clients directly whether they also have family farmland or farm investment interest — this is your cheapest possible customer acquisition for Phase 2. Pilot the AgriGuard checklist on 2-3 farms using the same field-agent network.</w:t>
            </w:r>
          </w:p>
        </w:tc>
        <w:tc>
          <w:tcPr>
            <w:tcW w:type="dxa" w:w="1700"/>
            <w:shd w:fill="FFFFFF" w:val="clear"/>
            <w:tcMar>
              <w:top w:type="dxa" w:w="90"/>
              <w:left w:type="dxa" w:w="100"/>
              <w:bottom w:type="dxa" w:w="90"/>
              <w:right w:type="dxa" w:w="100"/>
            </w:tcMar>
            <w:vAlign w:val="center"/>
          </w:tcPr>
          <w:p>
            <w:r>
              <w:rPr>
                <w:color w:val="222222"/>
                <w:sz w:val="18"/>
                <w:szCs w:val="18"/>
              </w:rPr>
              <w:t xml:space="preserve">First 5-10 agriculture clients sourced primarily from the existing client base, not new marketing spend</w:t>
            </w:r>
          </w:p>
        </w:tc>
      </w:tr>
      <w:tr>
        <w:tc>
          <w:tcPr>
            <w:tcW w:type="dxa" w:w="1450"/>
            <w:shd w:fill="F2F2F2" w:val="clear"/>
            <w:tcMar>
              <w:top w:type="dxa" w:w="90"/>
              <w:left w:type="dxa" w:w="100"/>
              <w:bottom w:type="dxa" w:w="90"/>
              <w:right w:type="dxa" w:w="100"/>
            </w:tcMar>
            <w:vAlign w:val="center"/>
          </w:tcPr>
          <w:p>
            <w:r>
              <w:rPr>
                <w:color w:val="222222"/>
                <w:sz w:val="18"/>
                <w:szCs w:val="18"/>
              </w:rPr>
              <w:t xml:space="preserve">4 — Agriculture Formal Launch + B2B Outreach</w:t>
            </w:r>
          </w:p>
        </w:tc>
        <w:tc>
          <w:tcPr>
            <w:tcW w:type="dxa" w:w="1200"/>
            <w:shd w:fill="F2F2F2" w:val="clear"/>
            <w:tcMar>
              <w:top w:type="dxa" w:w="90"/>
              <w:left w:type="dxa" w:w="100"/>
              <w:bottom w:type="dxa" w:w="90"/>
              <w:right w:type="dxa" w:w="100"/>
            </w:tcMar>
            <w:vAlign w:val="center"/>
          </w:tcPr>
          <w:p>
            <w:r>
              <w:rPr>
                <w:color w:val="222222"/>
                <w:sz w:val="18"/>
                <w:szCs w:val="18"/>
              </w:rPr>
              <w:t xml:space="preserve">Month 10-14</w:t>
            </w:r>
          </w:p>
        </w:tc>
        <w:tc>
          <w:tcPr>
            <w:tcW w:type="dxa" w:w="5000"/>
            <w:shd w:fill="F2F2F2" w:val="clear"/>
            <w:tcMar>
              <w:top w:type="dxa" w:w="90"/>
              <w:left w:type="dxa" w:w="100"/>
              <w:bottom w:type="dxa" w:w="90"/>
              <w:right w:type="dxa" w:w="100"/>
            </w:tcMar>
            <w:vAlign w:val="center"/>
          </w:tcPr>
          <w:p>
            <w:r>
              <w:rPr>
                <w:color w:val="222222"/>
                <w:sz w:val="18"/>
                <w:szCs w:val="18"/>
              </w:rPr>
              <w:t xml:space="preserve">Open agriculture as a fully marketed second vertical. Begin B2B outreach in parallel across both verticals: property developers/agents, and agri-lenders/cooperatives/agritech platforms needing independent verification.</w:t>
            </w:r>
          </w:p>
        </w:tc>
        <w:tc>
          <w:tcPr>
            <w:tcW w:type="dxa" w:w="1700"/>
            <w:shd w:fill="F2F2F2" w:val="clear"/>
            <w:tcMar>
              <w:top w:type="dxa" w:w="90"/>
              <w:left w:type="dxa" w:w="100"/>
              <w:bottom w:type="dxa" w:w="90"/>
              <w:right w:type="dxa" w:w="100"/>
            </w:tcMar>
            <w:vAlign w:val="center"/>
          </w:tcPr>
          <w:p>
            <w:r>
              <w:rPr>
                <w:color w:val="222222"/>
                <w:sz w:val="18"/>
                <w:szCs w:val="18"/>
              </w:rPr>
              <w:t xml:space="preserve">~$4K-5K/month revenue run-rate by Month 12 (see Income Projection); at least one signed B2B contract</w:t>
            </w:r>
          </w:p>
        </w:tc>
      </w:tr>
      <w:tr>
        <w:tc>
          <w:tcPr>
            <w:tcW w:type="dxa" w:w="1450"/>
            <w:shd w:fill="FFFFFF" w:val="clear"/>
            <w:tcMar>
              <w:top w:type="dxa" w:w="90"/>
              <w:left w:type="dxa" w:w="100"/>
              <w:bottom w:type="dxa" w:w="90"/>
              <w:right w:type="dxa" w:w="100"/>
            </w:tcMar>
            <w:vAlign w:val="center"/>
          </w:tcPr>
          <w:p>
            <w:r>
              <w:rPr>
                <w:color w:val="222222"/>
                <w:sz w:val="18"/>
                <w:szCs w:val="18"/>
              </w:rPr>
              <w:t xml:space="preserve">5 — Evaluate Land Title Standalone + Geographic Density</w:t>
            </w:r>
          </w:p>
        </w:tc>
        <w:tc>
          <w:tcPr>
            <w:tcW w:type="dxa" w:w="1200"/>
            <w:shd w:fill="FFFFFF" w:val="clear"/>
            <w:tcMar>
              <w:top w:type="dxa" w:w="90"/>
              <w:left w:type="dxa" w:w="100"/>
              <w:bottom w:type="dxa" w:w="90"/>
              <w:right w:type="dxa" w:w="100"/>
            </w:tcMar>
            <w:vAlign w:val="center"/>
          </w:tcPr>
          <w:p>
            <w:r>
              <w:rPr>
                <w:color w:val="222222"/>
                <w:sz w:val="18"/>
                <w:szCs w:val="18"/>
              </w:rPr>
              <w:t xml:space="preserve">Month 15-18</w:t>
            </w:r>
          </w:p>
        </w:tc>
        <w:tc>
          <w:tcPr>
            <w:tcW w:type="dxa" w:w="5000"/>
            <w:shd w:fill="FFFFFF" w:val="clear"/>
            <w:tcMar>
              <w:top w:type="dxa" w:w="90"/>
              <w:left w:type="dxa" w:w="100"/>
              <w:bottom w:type="dxa" w:w="90"/>
              <w:right w:type="dxa" w:w="100"/>
            </w:tcMar>
            <w:vAlign w:val="center"/>
          </w:tcPr>
          <w:p>
            <w:r>
              <w:rPr>
                <w:color w:val="222222"/>
                <w:sz w:val="18"/>
                <w:szCs w:val="18"/>
              </w:rPr>
              <w:t xml:space="preserve">Decide whether a stripped-down, lower-priced land title verification product is worth building as its own funnel. Deepen field-agent coverage in the 1-2 states with the highest client density rather than spreading thin.</w:t>
            </w:r>
          </w:p>
        </w:tc>
        <w:tc>
          <w:tcPr>
            <w:tcW w:type="dxa" w:w="1700"/>
            <w:shd w:fill="FFFFFF" w:val="clear"/>
            <w:tcMar>
              <w:top w:type="dxa" w:w="90"/>
              <w:left w:type="dxa" w:w="100"/>
              <w:bottom w:type="dxa" w:w="90"/>
              <w:right w:type="dxa" w:w="100"/>
            </w:tcMar>
            <w:vAlign w:val="center"/>
          </w:tcPr>
          <w:p>
            <w:r>
              <w:rPr>
                <w:color w:val="222222"/>
                <w:sz w:val="18"/>
                <w:szCs w:val="18"/>
              </w:rPr>
              <w:t xml:space="preserve">Positive unit economics per state/cluster; clear go/no-go on the Phase 3 title product</w:t>
            </w:r>
          </w:p>
        </w:tc>
      </w:tr>
    </w:tbl>
    <w:p>
      <w:pPr>
        <w:pStyle w:val="Heading1"/>
        <w:spacing w:after="160" w:before="360"/>
      </w:pPr>
      <w:r>
        <w:rPr>
          <w:b/>
          <w:bCs/>
          <w:color w:val="1F3A5F"/>
          <w:sz w:val="28"/>
          <w:szCs w:val="28"/>
        </w:rPr>
        <w:t xml:space="preserve">Concise Go-To-Market Plan</w:t>
      </w:r>
    </w:p>
    <w:p>
      <w:pPr>
        <w:pStyle w:val="Heading2"/>
        <w:spacing w:after="120" w:before="260"/>
      </w:pPr>
      <w:r>
        <w:rPr>
          <w:b/>
          <w:bCs/>
          <w:color w:val="2E6B34"/>
          <w:sz w:val="24"/>
          <w:szCs w:val="24"/>
        </w:rPr>
        <w:t xml:space="preserve">Positioning</w:t>
      </w:r>
    </w:p>
    <w:p>
      <w:pPr>
        <w:spacing w:after="160" w:line="276"/>
      </w:pPr>
      <w:r>
        <w:rPr>
          <w:b w:val="false"/>
          <w:bCs w:val="false"/>
          <w:i w:val="false"/>
          <w:iCs w:val="false"/>
          <w:color w:val="222222"/>
          <w:sz w:val="21"/>
          <w:szCs w:val="21"/>
        </w:rPr>
        <w:t xml:space="preserve">“One independent inspector for everything you're funding back home.” iConfam does not buy, build, sell, or invest in anything itself — it verifies, on the client's behalf, before their money moves. The same line that separates it from failed agric-investment platforms separates iConfam from fraudulent developers and agents: it never takes custody of client funds.</w:t>
      </w:r>
    </w:p>
    <w:p>
      <w:pPr>
        <w:pStyle w:val="Heading2"/>
        <w:spacing w:after="120" w:before="260"/>
      </w:pPr>
      <w:r>
        <w:rPr>
          <w:b/>
          <w:bCs/>
          <w:color w:val="2E6B34"/>
          <w:sz w:val="24"/>
          <w:szCs w:val="24"/>
        </w:rPr>
        <w:t xml:space="preserve">Lead Offer &amp; Channels</w:t>
      </w:r>
    </w:p>
    <w:p>
      <w:pPr>
        <w:pStyle w:val="ListParagraph"/>
        <w:numPr>
          <w:ilvl w:val="0"/>
          <w:numId w:val="2"/>
        </w:numPr>
        <w:spacing w:after="90" w:line="264"/>
      </w:pPr>
      <w:r>
        <w:rPr>
          <w:b w:val="false"/>
          <w:bCs w:val="false"/>
          <w:color w:val="222222"/>
          <w:sz w:val="21"/>
          <w:szCs w:val="21"/>
        </w:rPr>
        <w:t xml:space="preserve">Lead with Property Purchase Verification — the sharpest pain, the best-documented dollar pool, and the fastest path to a believable first sale.</w:t>
      </w:r>
    </w:p>
    <w:p>
      <w:pPr>
        <w:pStyle w:val="ListParagraph"/>
        <w:numPr>
          <w:ilvl w:val="0"/>
          <w:numId w:val="2"/>
        </w:numPr>
        <w:spacing w:after="90" w:line="264"/>
      </w:pPr>
      <w:r>
        <w:rPr>
          <w:b w:val="false"/>
          <w:bCs w:val="false"/>
          <w:color w:val="222222"/>
          <w:sz w:val="21"/>
          <w:szCs w:val="21"/>
        </w:rPr>
        <w:t xml:space="preserve">Primary channels: existing Diaspora Build Oversight contacts and pipeline; diaspora real-estate-focused Facebook/WhatsApp groups; NIDO chapters and church/mosque diaspora networks; content built around real, documented land-fraud stories.</w:t>
      </w:r>
    </w:p>
    <w:p>
      <w:pPr>
        <w:pStyle w:val="ListParagraph"/>
        <w:numPr>
          <w:ilvl w:val="0"/>
          <w:numId w:val="2"/>
        </w:numPr>
        <w:spacing w:after="90" w:line="264"/>
      </w:pPr>
      <w:r>
        <w:rPr>
          <w:b w:val="false"/>
          <w:bCs w:val="false"/>
          <w:color w:val="222222"/>
          <w:sz w:val="21"/>
          <w:szCs w:val="21"/>
        </w:rPr>
        <w:t xml:space="preserve">Cross-sell agriculture only into the existing client base at first (Phase 3 of the roadmap) rather than marketing it separately until Phase 1 is proven — this is the single biggest cost saving in the merged plan versus running two ventures.</w:t>
      </w:r>
    </w:p>
    <w:p>
      <w:pPr>
        <w:pStyle w:val="ListParagraph"/>
        <w:numPr>
          <w:ilvl w:val="0"/>
          <w:numId w:val="2"/>
        </w:numPr>
        <w:spacing w:after="90" w:line="264"/>
      </w:pPr>
      <w:r>
        <w:rPr>
          <w:b w:val="false"/>
          <w:bCs w:val="false"/>
          <w:color w:val="222222"/>
          <w:sz w:val="21"/>
          <w:szCs w:val="21"/>
        </w:rPr>
        <w:t xml:space="preserve">B2B outreach (property developers/agents wanting a trust seal; agri-lenders and cooperatives wanting independent verification) runs in parallel from Month 10 once the consumer side has proof points and sample reports to show.</w:t>
      </w:r>
    </w:p>
    <w:p>
      <w:pPr>
        <w:pStyle w:val="Heading2"/>
        <w:spacing w:after="120" w:before="260"/>
      </w:pPr>
      <w:r>
        <w:rPr>
          <w:b/>
          <w:bCs/>
          <w:color w:val="2E6B34"/>
          <w:sz w:val="24"/>
          <w:szCs w:val="24"/>
        </w:rPr>
        <w:t xml:space="preserve">Validating Before Building</w:t>
      </w:r>
    </w:p>
    <w:p>
      <w:pPr>
        <w:spacing w:after="160" w:line="276"/>
      </w:pPr>
      <w:r>
        <w:rPr>
          <w:b w:val="false"/>
          <w:bCs w:val="false"/>
          <w:i w:val="false"/>
          <w:iCs w:val="false"/>
          <w:color w:val="222222"/>
          <w:sz w:val="21"/>
          <w:szCs w:val="21"/>
        </w:rPr>
        <w:t xml:space="preserve">Apply the same test ladder already scoped for AgriGuard to the property vertical first, since it is now the lead offer: (1) warm-list interviews asking specifically about land-fraud fears or experiences, (2) a simple landing page tracking real sign-ups from organic diaspora-group posts, (3) a paid deposit pre-sell on 2-3 real transactions before any dashboard exists, (4) a hand-run concierge pilot tracking time-to-serve and renewal interest, and (5) cold B2B outreach to a handful of developers/agents in parallel. Do not proceed to dashboard-building or paid marketing spend until step 3 produces real payment.</w:t>
      </w:r>
    </w:p>
    <w:p>
      <w:pPr>
        <w:spacing w:after="160" w:line="276"/>
      </w:pPr>
      <w:r>
        <w:rPr>
          <w:b w:val="false"/>
          <w:bCs w:val="false"/>
          <w:i w:val="false"/>
          <w:iCs w:val="false"/>
          <w:color w:val="222222"/>
          <w:sz w:val="21"/>
          <w:szCs w:val="21"/>
        </w:rPr>
        <w:t xml:space="preserve">Pricing is deliberately kept off the opt-in landing page itself. The page's only job is capturing genuine interest with as little friction as possible; asking someone to react to a price, or to say whether they'd pay, before a real conversation has happened produces a weak, hypothetical signal (people say yes to imagined purchases far more easily than they follow through on real ones). The actual price and the actual deposit ask both belong in the live follow-up conversation with each opted-in lead — that is where step 3 of the ladder really happens.</w:t>
      </w:r>
    </w:p>
    <w:p>
      <w:pPr>
        <w:pStyle w:val="Heading1"/>
        <w:spacing w:after="160" w:before="360"/>
      </w:pPr>
      <w:r>
        <w:rPr>
          <w:b/>
          <w:bCs/>
          <w:color w:val="1F3A5F"/>
          <w:sz w:val="28"/>
          <w:szCs w:val="28"/>
        </w:rPr>
        <w:t xml:space="preserve">Risk 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1300"/>
        <w:gridCol w:w="5000"/>
      </w:tblGrid>
      <w:tr>
        <w:trPr>
          <w:tblHeader/>
        </w:trPr>
        <w:tc>
          <w:tcPr>
            <w:tcW w:type="dxa" w:w="3050"/>
            <w:shd w:fill="1F3A5F" w:val="clear"/>
            <w:tcMar>
              <w:top w:type="dxa" w:w="100"/>
              <w:left w:type="dxa" w:w="100"/>
              <w:bottom w:type="dxa" w:w="100"/>
              <w:right w:type="dxa" w:w="100"/>
            </w:tcMar>
            <w:vAlign w:val="center"/>
          </w:tcPr>
          <w:p>
            <w:r>
              <w:rPr>
                <w:b/>
                <w:bCs/>
                <w:color w:val="FFFFFF"/>
                <w:sz w:val="19"/>
                <w:szCs w:val="19"/>
              </w:rPr>
              <w:t xml:space="preserve">Risk</w:t>
            </w:r>
          </w:p>
        </w:tc>
        <w:tc>
          <w:tcPr>
            <w:tcW w:type="dxa" w:w="1300"/>
            <w:shd w:fill="1F3A5F" w:val="clear"/>
            <w:tcMar>
              <w:top w:type="dxa" w:w="100"/>
              <w:left w:type="dxa" w:w="100"/>
              <w:bottom w:type="dxa" w:w="100"/>
              <w:right w:type="dxa" w:w="100"/>
            </w:tcMar>
            <w:vAlign w:val="center"/>
          </w:tcPr>
          <w:p>
            <w:r>
              <w:rPr>
                <w:b/>
                <w:bCs/>
                <w:color w:val="FFFFFF"/>
                <w:sz w:val="19"/>
                <w:szCs w:val="19"/>
              </w:rPr>
              <w:t xml:space="preserve">Likelihood</w:t>
            </w:r>
          </w:p>
        </w:tc>
        <w:tc>
          <w:tcPr>
            <w:tcW w:type="dxa" w:w="5000"/>
            <w:shd w:fill="1F3A5F" w:val="clear"/>
            <w:tcMar>
              <w:top w:type="dxa" w:w="100"/>
              <w:left w:type="dxa" w:w="100"/>
              <w:bottom w:type="dxa" w:w="100"/>
              <w:right w:type="dxa" w:w="100"/>
            </w:tcMar>
            <w:vAlign w:val="center"/>
          </w:tcPr>
          <w:p>
            <w:r>
              <w:rPr>
                <w:b/>
                <w:bCs/>
                <w:color w:val="FFFFFF"/>
                <w:sz w:val="19"/>
                <w:szCs w:val="19"/>
              </w:rPr>
              <w:t xml:space="preserve">Mitigation</w:t>
            </w:r>
          </w:p>
        </w:tc>
      </w:tr>
      <w:tr>
        <w:tc>
          <w:tcPr>
            <w:tcW w:type="dxa" w:w="3050"/>
            <w:shd w:fill="FFFFFF" w:val="clear"/>
            <w:tcMar>
              <w:top w:type="dxa" w:w="90"/>
              <w:left w:type="dxa" w:w="100"/>
              <w:bottom w:type="dxa" w:w="90"/>
              <w:right w:type="dxa" w:w="100"/>
            </w:tcMar>
            <w:vAlign w:val="center"/>
          </w:tcPr>
          <w:p>
            <w:r>
              <w:rPr>
                <w:color w:val="222222"/>
                <w:sz w:val="18"/>
                <w:szCs w:val="18"/>
              </w:rPr>
              <w:t xml:space="preserve">Property vertical cannibalizes focus from Diaspora Build Oversight's existing plan rather than accelerating it</w:t>
            </w:r>
          </w:p>
        </w:tc>
        <w:tc>
          <w:tcPr>
            <w:tcW w:type="dxa" w:w="1300"/>
            <w:shd w:fill="FFFFFF" w:val="clear"/>
            <w:tcMar>
              <w:top w:type="dxa" w:w="90"/>
              <w:left w:type="dxa" w:w="100"/>
              <w:bottom w:type="dxa" w:w="90"/>
              <w:right w:type="dxa" w:w="100"/>
            </w:tcMar>
            <w:vAlign w:val="center"/>
          </w:tcPr>
          <w:p>
            <w:r>
              <w:rPr>
                <w:color w:val="222222"/>
                <w:sz w:val="18"/>
                <w:szCs w:val="18"/>
              </w:rPr>
              <w:t xml:space="preserve">Low-Medium</w:t>
            </w:r>
          </w:p>
        </w:tc>
        <w:tc>
          <w:tcPr>
            <w:tcW w:type="dxa" w:w="5000"/>
            <w:shd w:fill="FFFFFF" w:val="clear"/>
            <w:tcMar>
              <w:top w:type="dxa" w:w="90"/>
              <w:left w:type="dxa" w:w="100"/>
              <w:bottom w:type="dxa" w:w="90"/>
              <w:right w:type="dxa" w:w="100"/>
            </w:tcMar>
            <w:vAlign w:val="center"/>
          </w:tcPr>
          <w:p>
            <w:r>
              <w:rPr>
                <w:color w:val="222222"/>
                <w:sz w:val="18"/>
                <w:szCs w:val="18"/>
              </w:rPr>
              <w:t xml:space="preserve">Treat this document as a supersession, not an addition — retire the standalone AgriGuard-only and Build-Oversight-only sequencing once this plan is adopted, so there is one roadmap, not three.</w:t>
            </w:r>
          </w:p>
        </w:tc>
      </w:tr>
      <w:tr>
        <w:tc>
          <w:tcPr>
            <w:tcW w:type="dxa" w:w="3050"/>
            <w:shd w:fill="F2F2F2" w:val="clear"/>
            <w:tcMar>
              <w:top w:type="dxa" w:w="90"/>
              <w:left w:type="dxa" w:w="100"/>
              <w:bottom w:type="dxa" w:w="90"/>
              <w:right w:type="dxa" w:w="100"/>
            </w:tcMar>
            <w:vAlign w:val="center"/>
          </w:tcPr>
          <w:p>
            <w:r>
              <w:rPr>
                <w:color w:val="222222"/>
                <w:sz w:val="18"/>
                <w:szCs w:val="18"/>
              </w:rPr>
              <w:t xml:space="preserve">Diaspora clients still confuse verification-as-a-service with an investment platform or a fund</w:t>
            </w:r>
          </w:p>
        </w:tc>
        <w:tc>
          <w:tcPr>
            <w:tcW w:type="dxa" w:w="1300"/>
            <w:shd w:fill="F2F2F2" w:val="clear"/>
            <w:tcMar>
              <w:top w:type="dxa" w:w="90"/>
              <w:left w:type="dxa" w:w="100"/>
              <w:bottom w:type="dxa" w:w="90"/>
              <w:right w:type="dxa" w:w="100"/>
            </w:tcMar>
            <w:vAlign w:val="center"/>
          </w:tcPr>
          <w:p>
            <w:r>
              <w:rPr>
                <w:color w:val="222222"/>
                <w:sz w:val="18"/>
                <w:szCs w:val="18"/>
              </w:rPr>
              <w:t xml:space="preserve">Medium</w:t>
            </w:r>
          </w:p>
        </w:tc>
        <w:tc>
          <w:tcPr>
            <w:tcW w:type="dxa" w:w="5000"/>
            <w:shd w:fill="F2F2F2" w:val="clear"/>
            <w:tcMar>
              <w:top w:type="dxa" w:w="90"/>
              <w:left w:type="dxa" w:w="100"/>
              <w:bottom w:type="dxa" w:w="90"/>
              <w:right w:type="dxa" w:w="100"/>
            </w:tcMar>
            <w:vAlign w:val="center"/>
          </w:tcPr>
          <w:p>
            <w:r>
              <w:rPr>
                <w:color w:val="222222"/>
                <w:sz w:val="18"/>
                <w:szCs w:val="18"/>
              </w:rPr>
              <w:t xml:space="preserve">Repeat, in every piece of marketing and in the service agreement itself, that iConfam never takes custody of client funds — across all verticals, not just agriculture.</w:t>
            </w:r>
          </w:p>
        </w:tc>
      </w:tr>
      <w:tr>
        <w:tc>
          <w:tcPr>
            <w:tcW w:type="dxa" w:w="3050"/>
            <w:shd w:fill="FFFFFF" w:val="clear"/>
            <w:tcMar>
              <w:top w:type="dxa" w:w="90"/>
              <w:left w:type="dxa" w:w="100"/>
              <w:bottom w:type="dxa" w:w="90"/>
              <w:right w:type="dxa" w:w="100"/>
            </w:tcMar>
            <w:vAlign w:val="center"/>
          </w:tcPr>
          <w:p>
            <w:r>
              <w:rPr>
                <w:color w:val="222222"/>
                <w:sz w:val="18"/>
                <w:szCs w:val="18"/>
              </w:rPr>
              <w:t xml:space="preserve">Field agents lack cross-vertical expertise (a build inspector may not be a farm inspector)</w:t>
            </w:r>
          </w:p>
        </w:tc>
        <w:tc>
          <w:tcPr>
            <w:tcW w:type="dxa" w:w="1300"/>
            <w:shd w:fill="FFFFFF" w:val="clear"/>
            <w:tcMar>
              <w:top w:type="dxa" w:w="90"/>
              <w:left w:type="dxa" w:w="100"/>
              <w:bottom w:type="dxa" w:w="90"/>
              <w:right w:type="dxa" w:w="100"/>
            </w:tcMar>
            <w:vAlign w:val="center"/>
          </w:tcPr>
          <w:p>
            <w:r>
              <w:rPr>
                <w:color w:val="222222"/>
                <w:sz w:val="18"/>
                <w:szCs w:val="18"/>
              </w:rPr>
              <w:t xml:space="preserve">Medium</w:t>
            </w:r>
          </w:p>
        </w:tc>
        <w:tc>
          <w:tcPr>
            <w:tcW w:type="dxa" w:w="5000"/>
            <w:shd w:fill="FFFFFF" w:val="clear"/>
            <w:tcMar>
              <w:top w:type="dxa" w:w="90"/>
              <w:left w:type="dxa" w:w="100"/>
              <w:bottom w:type="dxa" w:w="90"/>
              <w:right w:type="dxa" w:w="100"/>
            </w:tcMar>
            <w:vAlign w:val="center"/>
          </w:tcPr>
          <w:p>
            <w:r>
              <w:rPr>
                <w:color w:val="222222"/>
                <w:sz w:val="18"/>
                <w:szCs w:val="18"/>
              </w:rPr>
              <w:t xml:space="preserve">Recruit and train agents per checklist/vertical even where they share a region; do not assume one agent can credibly verify both a foundation pour and a maize crop.</w:t>
            </w:r>
          </w:p>
        </w:tc>
      </w:tr>
      <w:tr>
        <w:tc>
          <w:tcPr>
            <w:tcW w:type="dxa" w:w="3050"/>
            <w:shd w:fill="F2F2F2" w:val="clear"/>
            <w:tcMar>
              <w:top w:type="dxa" w:w="90"/>
              <w:left w:type="dxa" w:w="100"/>
              <w:bottom w:type="dxa" w:w="90"/>
              <w:right w:type="dxa" w:w="100"/>
            </w:tcMar>
            <w:vAlign w:val="center"/>
          </w:tcPr>
          <w:p>
            <w:r>
              <w:rPr>
                <w:color w:val="222222"/>
                <w:sz w:val="18"/>
                <w:szCs w:val="18"/>
              </w:rPr>
              <w:t xml:space="preserve">Cross-sell into agriculture underperforms because property/build clients don't have farm assets</w:t>
            </w:r>
          </w:p>
        </w:tc>
        <w:tc>
          <w:tcPr>
            <w:tcW w:type="dxa" w:w="1300"/>
            <w:shd w:fill="F2F2F2" w:val="clear"/>
            <w:tcMar>
              <w:top w:type="dxa" w:w="90"/>
              <w:left w:type="dxa" w:w="100"/>
              <w:bottom w:type="dxa" w:w="90"/>
              <w:right w:type="dxa" w:w="100"/>
            </w:tcMar>
            <w:vAlign w:val="center"/>
          </w:tcPr>
          <w:p>
            <w:r>
              <w:rPr>
                <w:color w:val="222222"/>
                <w:sz w:val="18"/>
                <w:szCs w:val="18"/>
              </w:rPr>
              <w:t xml:space="preserve">Medium</w:t>
            </w:r>
          </w:p>
        </w:tc>
        <w:tc>
          <w:tcPr>
            <w:tcW w:type="dxa" w:w="5000"/>
            <w:shd w:fill="F2F2F2" w:val="clear"/>
            <w:tcMar>
              <w:top w:type="dxa" w:w="90"/>
              <w:left w:type="dxa" w:w="100"/>
              <w:bottom w:type="dxa" w:w="90"/>
              <w:right w:type="dxa" w:w="100"/>
            </w:tcMar>
            <w:vAlign w:val="center"/>
          </w:tcPr>
          <w:p>
            <w:r>
              <w:rPr>
                <w:color w:val="222222"/>
                <w:sz w:val="18"/>
                <w:szCs w:val="18"/>
              </w:rPr>
              <w:t xml:space="preserve">Validate this explicitly in Phase 1 client conversations before counting on it in the Phase 3 roadmap; if the overlap is low, agriculture may need its own light marketing push after all.</w:t>
            </w:r>
          </w:p>
        </w:tc>
      </w:tr>
      <w:tr>
        <w:tc>
          <w:tcPr>
            <w:tcW w:type="dxa" w:w="3050"/>
            <w:shd w:fill="FFFFFF" w:val="clear"/>
            <w:tcMar>
              <w:top w:type="dxa" w:w="90"/>
              <w:left w:type="dxa" w:w="100"/>
              <w:bottom w:type="dxa" w:w="90"/>
              <w:right w:type="dxa" w:w="100"/>
            </w:tcMar>
            <w:vAlign w:val="center"/>
          </w:tcPr>
          <w:p>
            <w:r>
              <w:rPr>
                <w:color w:val="222222"/>
                <w:sz w:val="18"/>
                <w:szCs w:val="18"/>
              </w:rPr>
              <w:t xml:space="preserve">Professional network (lawyer, surveyor, architect) is names/contacts but not yet a tested, on-demand working relationship</w:t>
            </w:r>
          </w:p>
        </w:tc>
        <w:tc>
          <w:tcPr>
            <w:tcW w:type="dxa" w:w="1300"/>
            <w:shd w:fill="FFFFFF" w:val="clear"/>
            <w:tcMar>
              <w:top w:type="dxa" w:w="90"/>
              <w:left w:type="dxa" w:w="100"/>
              <w:bottom w:type="dxa" w:w="90"/>
              <w:right w:type="dxa" w:w="100"/>
            </w:tcMar>
            <w:vAlign w:val="center"/>
          </w:tcPr>
          <w:p>
            <w:r>
              <w:rPr>
                <w:color w:val="222222"/>
                <w:sz w:val="18"/>
                <w:szCs w:val="18"/>
              </w:rPr>
              <w:t xml:space="preserve">Medium</w:t>
            </w:r>
          </w:p>
        </w:tc>
        <w:tc>
          <w:tcPr>
            <w:tcW w:type="dxa" w:w="5000"/>
            <w:shd w:fill="FFFFFF" w:val="clear"/>
            <w:tcMar>
              <w:top w:type="dxa" w:w="90"/>
              <w:left w:type="dxa" w:w="100"/>
              <w:bottom w:type="dxa" w:w="90"/>
              <w:right w:type="dxa" w:w="100"/>
            </w:tcMar>
            <w:vAlign w:val="center"/>
          </w:tcPr>
          <w:p>
            <w:r>
              <w:rPr>
                <w:color w:val="222222"/>
                <w:sz w:val="18"/>
                <w:szCs w:val="18"/>
              </w:rPr>
              <w:t xml:space="preserve">Confirm each contact is actually available and willing to do per-client, on-demand work before quoting the title-verification claim to a real paying client — a secured contact is not the same as a proven workflow.</w:t>
            </w:r>
          </w:p>
        </w:tc>
      </w:tr>
    </w:tbl>
    <w:p>
      <w:pPr>
        <w:pStyle w:val="Heading1"/>
        <w:spacing w:after="160" w:before="360"/>
      </w:pPr>
      <w:r>
        <w:rPr>
          <w:b/>
          <w:bCs/>
          <w:color w:val="1F3A5F"/>
          <w:sz w:val="28"/>
          <w:szCs w:val="28"/>
        </w:rPr>
        <w:t xml:space="preserve">First 30 Days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3A5F" w:val="clear"/>
            <w:tcMar>
              <w:top w:type="dxa" w:w="100"/>
              <w:left w:type="dxa" w:w="100"/>
              <w:bottom w:type="dxa" w:w="100"/>
              <w:right w:type="dxa" w:w="100"/>
            </w:tcMar>
            <w:vAlign w:val="center"/>
          </w:tcPr>
          <w:p>
            <w:r>
              <w:rPr>
                <w:b/>
                <w:bCs/>
                <w:color w:val="FFFFFF"/>
                <w:sz w:val="19"/>
                <w:szCs w:val="19"/>
              </w:rPr>
              <w:t xml:space="preserve">Week</w:t>
            </w:r>
          </w:p>
        </w:tc>
        <w:tc>
          <w:tcPr>
            <w:tcW w:type="dxa" w:w="8450"/>
            <w:shd w:fill="1F3A5F" w:val="clear"/>
            <w:tcMar>
              <w:top w:type="dxa" w:w="100"/>
              <w:left w:type="dxa" w:w="100"/>
              <w:bottom w:type="dxa" w:w="100"/>
              <w:right w:type="dxa" w:w="100"/>
            </w:tcMar>
            <w:vAlign w:val="center"/>
          </w:tcPr>
          <w:p>
            <w:r>
              <w:rPr>
                <w:b/>
                <w:bCs/>
                <w:color w:val="FFFFFF"/>
                <w:sz w:val="19"/>
                <w:szCs w:val="19"/>
              </w:rPr>
              <w:t xml:space="preserve">Action</w:t>
            </w:r>
          </w:p>
        </w:tc>
      </w:tr>
      <w:tr>
        <w:tc>
          <w:tcPr>
            <w:tcW w:type="dxa" w:w="900"/>
            <w:shd w:fill="FFFFFF" w:val="clear"/>
            <w:tcMar>
              <w:top w:type="dxa" w:w="90"/>
              <w:left w:type="dxa" w:w="100"/>
              <w:bottom w:type="dxa" w:w="90"/>
              <w:right w:type="dxa" w:w="100"/>
            </w:tcMar>
            <w:vAlign w:val="center"/>
          </w:tcPr>
          <w:p>
            <w:r>
              <w:rPr>
                <w:color w:val="222222"/>
                <w:sz w:val="18"/>
                <w:szCs w:val="18"/>
              </w:rPr>
              <w:t xml:space="preserve">1</w:t>
            </w:r>
          </w:p>
        </w:tc>
        <w:tc>
          <w:tcPr>
            <w:tcW w:type="dxa" w:w="8450"/>
            <w:shd w:fill="FFFFFF" w:val="clear"/>
            <w:tcMar>
              <w:top w:type="dxa" w:w="90"/>
              <w:left w:type="dxa" w:w="100"/>
              <w:bottom w:type="dxa" w:w="90"/>
              <w:right w:type="dxa" w:w="100"/>
            </w:tcMar>
            <w:vAlign w:val="center"/>
          </w:tcPr>
          <w:p>
            <w:r>
              <w:rPr>
                <w:color w:val="222222"/>
                <w:sz w:val="18"/>
                <w:szCs w:val="18"/>
              </w:rPr>
              <w:t xml:space="preserve">Retire the two separate roadmaps in your own planning; adopt this merged sequencing. Draft the property due-diligence checklist (title check, seller verification, physical condition, red-flag list).</w:t>
            </w:r>
          </w:p>
        </w:tc>
      </w:tr>
      <w:tr>
        <w:tc>
          <w:tcPr>
            <w:tcW w:type="dxa" w:w="900"/>
            <w:shd w:fill="F2F2F2" w:val="clear"/>
            <w:tcMar>
              <w:top w:type="dxa" w:w="90"/>
              <w:left w:type="dxa" w:w="100"/>
              <w:bottom w:type="dxa" w:w="90"/>
              <w:right w:type="dxa" w:w="100"/>
            </w:tcMar>
            <w:vAlign w:val="center"/>
          </w:tcPr>
          <w:p>
            <w:r>
              <w:rPr>
                <w:color w:val="222222"/>
                <w:sz w:val="18"/>
                <w:szCs w:val="18"/>
              </w:rPr>
              <w:t xml:space="preserve">2</w:t>
            </w:r>
          </w:p>
        </w:tc>
        <w:tc>
          <w:tcPr>
            <w:tcW w:type="dxa" w:w="8450"/>
            <w:shd w:fill="F2F2F2" w:val="clear"/>
            <w:tcMar>
              <w:top w:type="dxa" w:w="90"/>
              <w:left w:type="dxa" w:w="100"/>
              <w:bottom w:type="dxa" w:w="90"/>
              <w:right w:type="dxa" w:w="100"/>
            </w:tcMar>
            <w:vAlign w:val="center"/>
          </w:tcPr>
          <w:p>
            <w:r>
              <w:rPr>
                <w:color w:val="222222"/>
                <w:sz w:val="18"/>
                <w:szCs w:val="18"/>
              </w:rPr>
              <w:t xml:space="preserve">Run 10-15 warm-list interviews across your existing diaspora contacts (including anyone already discussed for Diaspora Build Oversight) — ask specifically about land-fraud fears or past experience, and about family farmland in the same conversation. Share the iConfam landing page link (iconfam.com) directly with warm contacts as part of these conversations, not as a cold post yet.</w:t>
            </w:r>
          </w:p>
        </w:tc>
      </w:tr>
      <w:tr>
        <w:tc>
          <w:tcPr>
            <w:tcW w:type="dxa" w:w="900"/>
            <w:shd w:fill="FFFFFF" w:val="clear"/>
            <w:tcMar>
              <w:top w:type="dxa" w:w="90"/>
              <w:left w:type="dxa" w:w="100"/>
              <w:bottom w:type="dxa" w:w="90"/>
              <w:right w:type="dxa" w:w="100"/>
            </w:tcMar>
            <w:vAlign w:val="center"/>
          </w:tcPr>
          <w:p>
            <w:r>
              <w:rPr>
                <w:color w:val="222222"/>
                <w:sz w:val="18"/>
                <w:szCs w:val="18"/>
              </w:rPr>
              <w:t xml:space="preserve">3</w:t>
            </w:r>
          </w:p>
        </w:tc>
        <w:tc>
          <w:tcPr>
            <w:tcW w:type="dxa" w:w="8450"/>
            <w:shd w:fill="FFFFFF" w:val="clear"/>
            <w:tcMar>
              <w:top w:type="dxa" w:w="90"/>
              <w:left w:type="dxa" w:w="100"/>
              <w:bottom w:type="dxa" w:w="90"/>
              <w:right w:type="dxa" w:w="100"/>
            </w:tcMar>
            <w:vAlign w:val="center"/>
          </w:tcPr>
          <w:p>
            <w:r>
              <w:rPr>
                <w:color w:val="222222"/>
                <w:sz w:val="18"/>
                <w:szCs w:val="18"/>
              </w:rPr>
              <w:t xml:space="preserve">Identify 2-3 real, in-progress property purchases or builds in your network willing to be paid pilot clients. Pitch the discounted “founding client” deposit rate. Confirm with the lawyer, surveyor, and architect contacts that they can actually turn around a title/document check on a real, short timeline — a secured contact is not the same as a proven turnaround.</w:t>
            </w:r>
          </w:p>
        </w:tc>
      </w:tr>
      <w:tr>
        <w:tc>
          <w:tcPr>
            <w:tcW w:type="dxa" w:w="900"/>
            <w:shd w:fill="F2F2F2" w:val="clear"/>
            <w:tcMar>
              <w:top w:type="dxa" w:w="90"/>
              <w:left w:type="dxa" w:w="100"/>
              <w:bottom w:type="dxa" w:w="90"/>
              <w:right w:type="dxa" w:w="100"/>
            </w:tcMar>
            <w:vAlign w:val="center"/>
          </w:tcPr>
          <w:p>
            <w:r>
              <w:rPr>
                <w:color w:val="222222"/>
                <w:sz w:val="18"/>
                <w:szCs w:val="18"/>
              </w:rPr>
              <w:t xml:space="preserve">4</w:t>
            </w:r>
          </w:p>
        </w:tc>
        <w:tc>
          <w:tcPr>
            <w:tcW w:type="dxa" w:w="8450"/>
            <w:shd w:fill="F2F2F2" w:val="clear"/>
            <w:tcMar>
              <w:top w:type="dxa" w:w="90"/>
              <w:left w:type="dxa" w:w="100"/>
              <w:bottom w:type="dxa" w:w="90"/>
              <w:right w:type="dxa" w:w="100"/>
            </w:tcMar>
            <w:vAlign w:val="center"/>
          </w:tcPr>
          <w:p>
            <w:r>
              <w:rPr>
                <w:color w:val="222222"/>
                <w:sz w:val="18"/>
                <w:szCs w:val="18"/>
              </w:rPr>
              <w:t xml:space="preserve">Deliver the first 1-2 pilot reports by hand, including a real title/document check through the professional network, not just a physical visit. Note what took the longest, what the client asked follow-up questions about, and whether they'd pay full price next time — this decides whether Phase 2 (MVP dashboard) is justified.</w:t>
            </w:r>
          </w:p>
        </w:tc>
      </w:tr>
    </w:tbl>
    <w:p>
      <w:pPr>
        <w:pStyle w:val="Heading1"/>
        <w:spacing w:after="160" w:before="360"/>
      </w:pPr>
      <w:r>
        <w:rPr>
          <w:b/>
          <w:bCs/>
          <w:color w:val="1F3A5F"/>
          <w:sz w:val="28"/>
          <w:szCs w:val="28"/>
        </w:rPr>
        <w:t xml:space="preserve">Final Word</w:t>
      </w:r>
    </w:p>
    <w:p>
      <w:pPr>
        <w:spacing w:after="160" w:line="276"/>
      </w:pPr>
      <w:r>
        <w:rPr>
          <w:b w:val="false"/>
          <w:bCs w:val="false"/>
          <w:i w:val="false"/>
          <w:iCs w:val="false"/>
          <w:color w:val="222222"/>
          <w:sz w:val="21"/>
          <w:szCs w:val="21"/>
        </w:rPr>
        <w:t xml:space="preserve">The instinct to sequence property and build ahead of agriculture is the right one, and it is the same instinct that has driven every other venture in this portfolio: existing relationships and better-documented pain beat a broader but thinner opportunity. Property verification is not a new venture bolted onto the agriculture idea — it is the original Diaspora Build Oversight concept, sharpened into the platform's lead offer, with agriculture now sitting behind it as the second vertical the same infrastructure was always capable of supporting. Start with one property or build client. Agriculture follows once that one client pays.</w:t>
      </w:r>
    </w:p>
    <w:p>
      <w:pPr>
        <w:spacing w:before="200"/>
        <w:jc w:val="center"/>
      </w:pPr>
      <w:r>
        <w:rPr>
          <w:i/>
          <w:iCs/>
          <w:color w:val="666666"/>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iConfam — Unified Venture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2026-09-14T02:36:39.879Z</dcterms:created>
  <dcterms:modified xsi:type="dcterms:W3CDTF">2026-09-14T02:36:39.888Z</dcterms:modified>
</cp:coreProperties>
</file>

<file path=docProps/custom.xml><?xml version="1.0" encoding="utf-8"?>
<Properties xmlns="http://schemas.openxmlformats.org/officeDocument/2006/custom-properties" xmlns:vt="http://schemas.openxmlformats.org/officeDocument/2006/docPropsVTypes"/>
</file>