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B9" w:rsidRDefault="00F713DA" w:rsidP="009F1BB9">
      <w:pPr>
        <w:pStyle w:val="Heading1"/>
        <w:spacing w:line="252" w:lineRule="auto"/>
        <w:ind w:right="6732"/>
        <w:rPr>
          <w:lang w:val="id-ID"/>
        </w:rPr>
      </w:pPr>
      <w:proofErr w:type="gramStart"/>
      <w:r>
        <w:t>Topic :</w:t>
      </w:r>
      <w:proofErr w:type="gramEnd"/>
      <w:r>
        <w:t xml:space="preserve"> </w:t>
      </w:r>
      <w:r w:rsidR="009F1BB9">
        <w:t xml:space="preserve">SDN-based </w:t>
      </w:r>
      <w:r w:rsidR="009F1BB9">
        <w:rPr>
          <w:i/>
        </w:rPr>
        <w:t xml:space="preserve">plastic </w:t>
      </w:r>
      <w:r w:rsidR="009F1BB9">
        <w:rPr>
          <w:i/>
          <w:lang w:val="id-ID"/>
        </w:rPr>
        <w:t xml:space="preserve">  </w:t>
      </w:r>
      <w:r w:rsidR="009F1BB9">
        <w:rPr>
          <w:i/>
          <w:spacing w:val="-3"/>
        </w:rPr>
        <w:t xml:space="preserve">architecture </w:t>
      </w:r>
      <w:r w:rsidR="009F1BB9">
        <w:t>for 5G networks</w:t>
      </w:r>
    </w:p>
    <w:p w:rsidR="004359E5" w:rsidRDefault="00F713DA" w:rsidP="009F1BB9">
      <w:pPr>
        <w:pStyle w:val="Heading1"/>
        <w:tabs>
          <w:tab w:val="center" w:pos="1494"/>
        </w:tabs>
        <w:spacing w:line="252" w:lineRule="auto"/>
        <w:ind w:right="6732"/>
      </w:pPr>
      <w:proofErr w:type="gramStart"/>
      <w:r>
        <w:t>Scope :</w:t>
      </w:r>
      <w:proofErr w:type="gramEnd"/>
      <w:r w:rsidR="009F1BB9">
        <w:tab/>
      </w:r>
    </w:p>
    <w:p w:rsidR="009F1BB9" w:rsidRPr="009F1BB9" w:rsidRDefault="009F1BB9" w:rsidP="009F1BB9">
      <w:pPr>
        <w:pStyle w:val="Title"/>
        <w:spacing w:line="235" w:lineRule="auto"/>
        <w:rPr>
          <w:b w:val="0"/>
          <w:sz w:val="24"/>
          <w:szCs w:val="24"/>
        </w:rPr>
      </w:pPr>
      <w:proofErr w:type="gramStart"/>
      <w:r w:rsidRPr="009F1BB9">
        <w:rPr>
          <w:b w:val="0"/>
          <w:sz w:val="24"/>
          <w:szCs w:val="24"/>
        </w:rPr>
        <w:t>architecture</w:t>
      </w:r>
      <w:proofErr w:type="gramEnd"/>
      <w:r w:rsidRPr="009F1BB9">
        <w:rPr>
          <w:b w:val="0"/>
          <w:sz w:val="24"/>
          <w:szCs w:val="24"/>
        </w:rPr>
        <w:t xml:space="preserve">, </w:t>
      </w:r>
      <w:r w:rsidRPr="009F1BB9">
        <w:rPr>
          <w:b w:val="0"/>
          <w:w w:val="95"/>
          <w:sz w:val="24"/>
          <w:szCs w:val="24"/>
        </w:rPr>
        <w:t>functions, procedures and backward compatibility</w:t>
      </w:r>
    </w:p>
    <w:p w:rsidR="004359E5" w:rsidRDefault="004359E5">
      <w:pPr>
        <w:pStyle w:val="BodyText"/>
        <w:spacing w:before="8"/>
        <w:ind w:left="0"/>
        <w:jc w:val="left"/>
        <w:rPr>
          <w:rFonts w:ascii="Times New Roman"/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37"/>
        <w:gridCol w:w="7719"/>
      </w:tblGrid>
      <w:tr w:rsidR="004359E5">
        <w:trPr>
          <w:trHeight w:val="546"/>
        </w:trPr>
        <w:tc>
          <w:tcPr>
            <w:tcW w:w="1637" w:type="dxa"/>
          </w:tcPr>
          <w:p w:rsidR="004359E5" w:rsidRDefault="00F713DA">
            <w:pPr>
              <w:pStyle w:val="TableParagraph"/>
            </w:pPr>
            <w:r>
              <w:t>Title</w:t>
            </w:r>
          </w:p>
        </w:tc>
        <w:tc>
          <w:tcPr>
            <w:tcW w:w="7719" w:type="dxa"/>
          </w:tcPr>
          <w:p w:rsidR="009F1BB9" w:rsidRPr="009F1BB9" w:rsidRDefault="009F1BB9" w:rsidP="009F1BB9">
            <w:pPr>
              <w:pStyle w:val="Title"/>
              <w:spacing w:line="235" w:lineRule="auto"/>
              <w:rPr>
                <w:sz w:val="24"/>
                <w:szCs w:val="24"/>
              </w:rPr>
            </w:pPr>
            <w:r w:rsidRPr="009F1BB9">
              <w:rPr>
                <w:sz w:val="24"/>
                <w:szCs w:val="24"/>
              </w:rPr>
              <w:t xml:space="preserve">SDN-based 5G mobile networks: architecture, </w:t>
            </w:r>
            <w:r w:rsidRPr="009F1BB9">
              <w:rPr>
                <w:w w:val="95"/>
                <w:sz w:val="24"/>
                <w:szCs w:val="24"/>
              </w:rPr>
              <w:t>functions, procedures and backward compatibility</w:t>
            </w:r>
          </w:p>
          <w:p w:rsidR="004359E5" w:rsidRDefault="004359E5">
            <w:pPr>
              <w:pStyle w:val="TableParagraph"/>
              <w:ind w:left="106"/>
            </w:pPr>
          </w:p>
        </w:tc>
      </w:tr>
      <w:tr w:rsidR="004359E5">
        <w:trPr>
          <w:trHeight w:val="278"/>
        </w:trPr>
        <w:tc>
          <w:tcPr>
            <w:tcW w:w="1637" w:type="dxa"/>
          </w:tcPr>
          <w:p w:rsidR="004359E5" w:rsidRDefault="00F713DA">
            <w:pPr>
              <w:pStyle w:val="TableParagraph"/>
            </w:pPr>
            <w:r>
              <w:rPr>
                <w:w w:val="105"/>
              </w:rPr>
              <w:t>Type</w:t>
            </w:r>
          </w:p>
        </w:tc>
        <w:tc>
          <w:tcPr>
            <w:tcW w:w="7719" w:type="dxa"/>
          </w:tcPr>
          <w:p w:rsidR="004359E5" w:rsidRDefault="00F713DA">
            <w:pPr>
              <w:pStyle w:val="TableParagraph"/>
              <w:ind w:left="106"/>
            </w:pPr>
            <w:r>
              <w:t>- Computer Science</w:t>
            </w:r>
          </w:p>
        </w:tc>
      </w:tr>
      <w:tr w:rsidR="004359E5">
        <w:trPr>
          <w:trHeight w:val="546"/>
        </w:trPr>
        <w:tc>
          <w:tcPr>
            <w:tcW w:w="1637" w:type="dxa"/>
          </w:tcPr>
          <w:p w:rsidR="004359E5" w:rsidRDefault="00F713DA">
            <w:pPr>
              <w:pStyle w:val="TableParagraph"/>
              <w:tabs>
                <w:tab w:val="left" w:pos="1354"/>
              </w:tabs>
              <w:spacing w:before="9"/>
            </w:pPr>
            <w:r>
              <w:rPr>
                <w:w w:val="105"/>
              </w:rPr>
              <w:t>Volume</w:t>
            </w:r>
            <w:r>
              <w:rPr>
                <w:w w:val="105"/>
              </w:rPr>
              <w:tab/>
              <w:t>&amp;</w:t>
            </w:r>
          </w:p>
          <w:p w:rsidR="004359E5" w:rsidRDefault="00F713DA">
            <w:pPr>
              <w:pStyle w:val="TableParagraph"/>
              <w:spacing w:before="21" w:line="246" w:lineRule="exact"/>
            </w:pPr>
            <w:r>
              <w:t>Page</w:t>
            </w:r>
          </w:p>
        </w:tc>
        <w:tc>
          <w:tcPr>
            <w:tcW w:w="7719" w:type="dxa"/>
          </w:tcPr>
          <w:p w:rsidR="004359E5" w:rsidRDefault="00F713DA">
            <w:pPr>
              <w:pStyle w:val="TableParagraph"/>
              <w:spacing w:before="9"/>
            </w:pPr>
            <w:r>
              <w:rPr>
                <w:w w:val="89"/>
              </w:rPr>
              <w:t>-</w:t>
            </w:r>
          </w:p>
        </w:tc>
      </w:tr>
      <w:tr w:rsidR="004359E5">
        <w:trPr>
          <w:trHeight w:val="275"/>
        </w:trPr>
        <w:tc>
          <w:tcPr>
            <w:tcW w:w="1637" w:type="dxa"/>
          </w:tcPr>
          <w:p w:rsidR="004359E5" w:rsidRDefault="00F713DA">
            <w:pPr>
              <w:pStyle w:val="TableParagraph"/>
              <w:spacing w:before="9" w:line="246" w:lineRule="exact"/>
            </w:pPr>
            <w:r>
              <w:t>Year</w:t>
            </w:r>
          </w:p>
        </w:tc>
        <w:tc>
          <w:tcPr>
            <w:tcW w:w="7719" w:type="dxa"/>
          </w:tcPr>
          <w:p w:rsidR="004359E5" w:rsidRDefault="00F713DA">
            <w:pPr>
              <w:pStyle w:val="TableParagraph"/>
              <w:spacing w:before="9" w:line="246" w:lineRule="exact"/>
              <w:ind w:left="106"/>
            </w:pPr>
            <w:r>
              <w:t>2015</w:t>
            </w:r>
          </w:p>
        </w:tc>
      </w:tr>
      <w:tr w:rsidR="004359E5">
        <w:trPr>
          <w:trHeight w:val="405"/>
        </w:trPr>
        <w:tc>
          <w:tcPr>
            <w:tcW w:w="1637" w:type="dxa"/>
          </w:tcPr>
          <w:p w:rsidR="004359E5" w:rsidRDefault="00F713DA">
            <w:pPr>
              <w:pStyle w:val="TableParagraph"/>
            </w:pPr>
            <w:r>
              <w:t>Author</w:t>
            </w:r>
          </w:p>
        </w:tc>
        <w:tc>
          <w:tcPr>
            <w:tcW w:w="7719" w:type="dxa"/>
          </w:tcPr>
          <w:p w:rsidR="009F1BB9" w:rsidRDefault="009F1BB9" w:rsidP="009F1BB9">
            <w:pPr>
              <w:spacing w:before="49"/>
              <w:ind w:left="108"/>
              <w:rPr>
                <w:rFonts w:ascii="Arial Black"/>
                <w:sz w:val="20"/>
              </w:rPr>
            </w:pPr>
            <w:r>
              <w:rPr>
                <w:rFonts w:ascii="Arial Black"/>
                <w:w w:val="95"/>
                <w:sz w:val="20"/>
              </w:rPr>
              <w:t xml:space="preserve">R. </w:t>
            </w:r>
            <w:proofErr w:type="spellStart"/>
            <w:r>
              <w:rPr>
                <w:rFonts w:ascii="Arial Black"/>
                <w:w w:val="95"/>
                <w:sz w:val="20"/>
              </w:rPr>
              <w:t>Trivisonno</w:t>
            </w:r>
            <w:proofErr w:type="spellEnd"/>
            <w:r>
              <w:rPr>
                <w:rFonts w:ascii="Arial Black"/>
                <w:w w:val="95"/>
                <w:sz w:val="20"/>
                <w:vertAlign w:val="superscript"/>
              </w:rPr>
              <w:t>*</w:t>
            </w:r>
            <w:r>
              <w:rPr>
                <w:rFonts w:ascii="Arial Black"/>
                <w:w w:val="95"/>
                <w:sz w:val="20"/>
              </w:rPr>
              <w:t xml:space="preserve">, R. </w:t>
            </w:r>
            <w:proofErr w:type="spellStart"/>
            <w:r>
              <w:rPr>
                <w:rFonts w:ascii="Arial Black"/>
                <w:w w:val="95"/>
                <w:sz w:val="20"/>
              </w:rPr>
              <w:t>Guerzoni</w:t>
            </w:r>
            <w:proofErr w:type="spellEnd"/>
            <w:r>
              <w:rPr>
                <w:rFonts w:ascii="Arial Black"/>
                <w:w w:val="95"/>
                <w:sz w:val="20"/>
              </w:rPr>
              <w:t xml:space="preserve">, I. </w:t>
            </w:r>
            <w:proofErr w:type="spellStart"/>
            <w:r>
              <w:rPr>
                <w:rFonts w:ascii="Arial Black"/>
                <w:w w:val="95"/>
                <w:sz w:val="20"/>
              </w:rPr>
              <w:t>Vaishnavi</w:t>
            </w:r>
            <w:proofErr w:type="spellEnd"/>
            <w:r>
              <w:rPr>
                <w:rFonts w:ascii="Arial Black"/>
                <w:w w:val="95"/>
                <w:sz w:val="20"/>
              </w:rPr>
              <w:t xml:space="preserve"> and D. </w:t>
            </w:r>
            <w:proofErr w:type="spellStart"/>
            <w:r>
              <w:rPr>
                <w:rFonts w:ascii="Arial Black"/>
                <w:w w:val="95"/>
                <w:sz w:val="20"/>
              </w:rPr>
              <w:t>Soldani</w:t>
            </w:r>
            <w:proofErr w:type="spellEnd"/>
          </w:p>
          <w:p w:rsidR="004359E5" w:rsidRDefault="004359E5">
            <w:pPr>
              <w:pStyle w:val="TableParagraph"/>
            </w:pPr>
          </w:p>
        </w:tc>
      </w:tr>
      <w:tr w:rsidR="004359E5">
        <w:trPr>
          <w:trHeight w:val="414"/>
        </w:trPr>
        <w:tc>
          <w:tcPr>
            <w:tcW w:w="1637" w:type="dxa"/>
          </w:tcPr>
          <w:p w:rsidR="004359E5" w:rsidRDefault="00F713DA">
            <w:pPr>
              <w:pStyle w:val="TableParagraph"/>
              <w:spacing w:before="9"/>
            </w:pPr>
            <w:r>
              <w:t>Reviewer</w:t>
            </w:r>
          </w:p>
        </w:tc>
        <w:tc>
          <w:tcPr>
            <w:tcW w:w="7719" w:type="dxa"/>
          </w:tcPr>
          <w:p w:rsidR="004359E5" w:rsidRPr="009F1BB9" w:rsidRDefault="00F713DA">
            <w:pPr>
              <w:pStyle w:val="TableParagraph"/>
              <w:spacing w:before="9"/>
              <w:rPr>
                <w:lang w:val="id-ID"/>
              </w:rPr>
            </w:pPr>
            <w:r>
              <w:t xml:space="preserve"> </w:t>
            </w:r>
            <w:proofErr w:type="spellStart"/>
            <w:r>
              <w:t>Yussi</w:t>
            </w:r>
            <w:proofErr w:type="spellEnd"/>
            <w:r>
              <w:t xml:space="preserve"> </w:t>
            </w:r>
            <w:proofErr w:type="spellStart"/>
            <w:r>
              <w:t>Kurniasih</w:t>
            </w:r>
            <w:proofErr w:type="spellEnd"/>
          </w:p>
        </w:tc>
      </w:tr>
      <w:tr w:rsidR="004359E5">
        <w:trPr>
          <w:trHeight w:val="417"/>
        </w:trPr>
        <w:tc>
          <w:tcPr>
            <w:tcW w:w="1637" w:type="dxa"/>
          </w:tcPr>
          <w:p w:rsidR="004359E5" w:rsidRDefault="00F713DA">
            <w:pPr>
              <w:pStyle w:val="TableParagraph"/>
            </w:pPr>
            <w:r>
              <w:t>Date</w:t>
            </w:r>
          </w:p>
        </w:tc>
        <w:tc>
          <w:tcPr>
            <w:tcW w:w="7719" w:type="dxa"/>
          </w:tcPr>
          <w:p w:rsidR="004359E5" w:rsidRDefault="00F713DA">
            <w:pPr>
              <w:pStyle w:val="TableParagraph"/>
            </w:pPr>
            <w:r>
              <w:rPr>
                <w:w w:val="89"/>
              </w:rPr>
              <w:t>-</w:t>
            </w:r>
          </w:p>
        </w:tc>
      </w:tr>
    </w:tbl>
    <w:p w:rsidR="004359E5" w:rsidRDefault="004359E5">
      <w:pPr>
        <w:pStyle w:val="BodyText"/>
        <w:spacing w:before="0"/>
        <w:ind w:left="0"/>
        <w:jc w:val="left"/>
        <w:rPr>
          <w:rFonts w:ascii="Times New Roman"/>
          <w:b/>
          <w:sz w:val="26"/>
        </w:rPr>
      </w:pPr>
    </w:p>
    <w:p w:rsidR="004359E5" w:rsidRDefault="00F713DA">
      <w:pPr>
        <w:spacing w:before="175"/>
        <w:ind w:left="120"/>
        <w:rPr>
          <w:rFonts w:ascii="Times New Roman"/>
          <w:b/>
        </w:rPr>
      </w:pPr>
      <w:r>
        <w:rPr>
          <w:rFonts w:ascii="Times New Roman"/>
          <w:b/>
          <w:w w:val="105"/>
        </w:rPr>
        <w:t>Introduce</w:t>
      </w:r>
    </w:p>
    <w:p w:rsidR="00436404" w:rsidRDefault="00436404" w:rsidP="00436404">
      <w:pPr>
        <w:pStyle w:val="BodyText"/>
        <w:spacing w:before="0" w:line="360" w:lineRule="auto"/>
        <w:ind w:left="108" w:right="38" w:firstLine="179"/>
      </w:pPr>
      <w:proofErr w:type="gramStart"/>
      <w:r>
        <w:t>functions</w:t>
      </w:r>
      <w:proofErr w:type="gramEnd"/>
      <w:r>
        <w:t xml:space="preserve"> and procedures have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‘de</w:t>
      </w:r>
      <w:r>
        <w:rPr>
          <w:spacing w:val="-10"/>
        </w:rPr>
        <w:t xml:space="preserve"> </w:t>
      </w:r>
      <w:r>
        <w:t>facto’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5G, which is expected to be the ‘Nervous System’ of the Dig- ital Society and Digital Economy </w:t>
      </w:r>
      <w:hyperlink w:anchor="_bookmark26" w:history="1">
        <w:r>
          <w:t>([13]).</w:t>
        </w:r>
      </w:hyperlink>
      <w:r>
        <w:t xml:space="preserve"> Extremely low </w:t>
      </w:r>
      <w:r>
        <w:rPr>
          <w:spacing w:val="-3"/>
        </w:rPr>
        <w:t xml:space="preserve">latency, </w:t>
      </w:r>
      <w:r>
        <w:t xml:space="preserve">ultra-high reliability and scalability are the most stringent performance targets that need to be reached to </w:t>
      </w:r>
      <w:proofErr w:type="spellStart"/>
      <w:r>
        <w:t>realise</w:t>
      </w:r>
      <w:proofErr w:type="spellEnd"/>
      <w:r>
        <w:t xml:space="preserve"> this vision. Beyond this, flexibility and </w:t>
      </w:r>
      <w:r>
        <w:rPr>
          <w:spacing w:val="-3"/>
        </w:rPr>
        <w:t xml:space="preserve">backward </w:t>
      </w:r>
      <w:r>
        <w:t xml:space="preserve">compatibility are fundamental features of the novel SDN- based 5G architecture, which has thus the potential to be </w:t>
      </w:r>
      <w:proofErr w:type="spellStart"/>
      <w:r>
        <w:t>standardised</w:t>
      </w:r>
      <w:proofErr w:type="spellEnd"/>
      <w:r>
        <w:t xml:space="preserve"> by relevant </w:t>
      </w:r>
      <w:proofErr w:type="spellStart"/>
      <w:r>
        <w:t>organisations</w:t>
      </w:r>
      <w:proofErr w:type="spellEnd"/>
      <w:r>
        <w:t xml:space="preserve"> as the next </w:t>
      </w:r>
      <w:proofErr w:type="spellStart"/>
      <w:r>
        <w:t>gener</w:t>
      </w:r>
      <w:proofErr w:type="spellEnd"/>
      <w:r>
        <w:t xml:space="preserve">- </w:t>
      </w:r>
      <w:proofErr w:type="spellStart"/>
      <w:r>
        <w:t>ation</w:t>
      </w:r>
      <w:proofErr w:type="spellEnd"/>
      <w:r>
        <w:t xml:space="preserve"> infrastructure, supporting compelling services and enabling a plethora of new sustainable business</w:t>
      </w:r>
      <w:r>
        <w:rPr>
          <w:spacing w:val="-22"/>
        </w:rPr>
        <w:t xml:space="preserve"> </w:t>
      </w:r>
      <w:r>
        <w:t>models.</w:t>
      </w:r>
    </w:p>
    <w:p w:rsidR="00F713DA" w:rsidRDefault="00F713DA" w:rsidP="00F713DA">
      <w:pPr>
        <w:pStyle w:val="BodyText"/>
        <w:spacing w:before="0" w:line="360" w:lineRule="auto"/>
        <w:ind w:left="108" w:right="38" w:firstLine="179"/>
        <w:rPr>
          <w:lang w:val="id-ID"/>
        </w:rPr>
      </w:pPr>
    </w:p>
    <w:p w:rsidR="00436404" w:rsidRDefault="00436404" w:rsidP="00F713DA">
      <w:pPr>
        <w:pStyle w:val="BodyText"/>
        <w:spacing w:before="0" w:line="360" w:lineRule="auto"/>
        <w:ind w:left="108" w:right="38" w:firstLine="179"/>
      </w:pPr>
      <w:r>
        <w:t>Future developments of the presented work, ongoing at the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paper,</w:t>
      </w:r>
      <w:r>
        <w:rPr>
          <w:spacing w:val="-12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 xml:space="preserve">showing how the proposed architecture applies to key 5G services such as </w:t>
      </w:r>
      <w:proofErr w:type="spellStart"/>
      <w:r>
        <w:t>IoT</w:t>
      </w:r>
      <w:proofErr w:type="spellEnd"/>
      <w:r>
        <w:t xml:space="preserve"> and </w:t>
      </w:r>
      <w:r>
        <w:rPr>
          <w:spacing w:val="-7"/>
        </w:rPr>
        <w:t xml:space="preserve">V2V, </w:t>
      </w:r>
      <w:r>
        <w:t>and a proof of concept aiming at</w:t>
      </w:r>
      <w:r>
        <w:rPr>
          <w:spacing w:val="22"/>
        </w:rPr>
        <w:t xml:space="preserve"> </w:t>
      </w:r>
      <w:r>
        <w:t>an</w:t>
      </w:r>
      <w:r w:rsidR="00F713DA">
        <w:rPr>
          <w:lang w:val="id-ID"/>
        </w:rPr>
        <w:t xml:space="preserve"> </w:t>
      </w:r>
      <w:r>
        <w:t>empirical</w:t>
      </w:r>
      <w:r>
        <w:rPr>
          <w:spacing w:val="-12"/>
        </w:rPr>
        <w:t xml:space="preserve"> </w:t>
      </w:r>
      <w:r>
        <w:t>demonstration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can achieve the expected performance</w:t>
      </w:r>
      <w:r>
        <w:rPr>
          <w:spacing w:val="-9"/>
        </w:rPr>
        <w:t xml:space="preserve"> </w:t>
      </w:r>
      <w:r>
        <w:t>targets.</w:t>
      </w:r>
    </w:p>
    <w:p w:rsidR="00F713DA" w:rsidRDefault="00F713DA" w:rsidP="00436404">
      <w:pPr>
        <w:pStyle w:val="BodyText"/>
        <w:spacing w:before="0" w:line="360" w:lineRule="auto"/>
        <w:ind w:left="108" w:right="104" w:firstLine="179"/>
        <w:rPr>
          <w:lang w:val="id-ID"/>
        </w:rPr>
      </w:pPr>
    </w:p>
    <w:p w:rsidR="00436404" w:rsidRDefault="00436404" w:rsidP="00436404">
      <w:pPr>
        <w:pStyle w:val="BodyText"/>
        <w:spacing w:before="0" w:line="360" w:lineRule="auto"/>
        <w:ind w:left="108" w:right="104" w:firstLine="179"/>
      </w:pPr>
      <w:r>
        <w:t xml:space="preserve">Ultimately, we would like to state clearly that the views expressed herein are solely those of the authors and do </w:t>
      </w:r>
      <w:r>
        <w:rPr>
          <w:spacing w:val="-4"/>
        </w:rPr>
        <w:t xml:space="preserve">not </w:t>
      </w:r>
      <w:r>
        <w:t>necessarily represent the ones of their affiliate.</w:t>
      </w:r>
    </w:p>
    <w:p w:rsidR="004359E5" w:rsidRDefault="004359E5" w:rsidP="00436404">
      <w:pPr>
        <w:pStyle w:val="BodyText"/>
        <w:spacing w:before="0" w:line="360" w:lineRule="auto"/>
        <w:ind w:right="121"/>
      </w:pPr>
    </w:p>
    <w:sectPr w:rsidR="004359E5" w:rsidSect="00436404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F2FD6"/>
    <w:multiLevelType w:val="hybridMultilevel"/>
    <w:tmpl w:val="DFC0719A"/>
    <w:lvl w:ilvl="0" w:tplc="87624598">
      <w:start w:val="1"/>
      <w:numFmt w:val="decimal"/>
      <w:lvlText w:val="%1."/>
      <w:lvlJc w:val="left"/>
      <w:pPr>
        <w:ind w:left="340" w:hanging="221"/>
      </w:pPr>
      <w:rPr>
        <w:rFonts w:ascii="Georgia" w:eastAsia="Georgia" w:hAnsi="Georgia" w:cs="Georgia" w:hint="default"/>
        <w:w w:val="92"/>
        <w:sz w:val="22"/>
        <w:szCs w:val="22"/>
        <w:lang w:val="en-US" w:eastAsia="en-US" w:bidi="ar-SA"/>
      </w:rPr>
    </w:lvl>
    <w:lvl w:ilvl="1" w:tplc="3264707A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5420BE2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BC466F5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53E8602E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29E0031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27764298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9DAB134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C6DEDAE6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59E5"/>
    <w:rsid w:val="00035917"/>
    <w:rsid w:val="004359E5"/>
    <w:rsid w:val="00436404"/>
    <w:rsid w:val="00707091"/>
    <w:rsid w:val="009F1BB9"/>
    <w:rsid w:val="00F7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9E5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4359E5"/>
    <w:pPr>
      <w:spacing w:before="81"/>
      <w:ind w:left="1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9E5"/>
    <w:pPr>
      <w:spacing w:before="218"/>
      <w:ind w:left="120"/>
      <w:jc w:val="both"/>
    </w:pPr>
  </w:style>
  <w:style w:type="paragraph" w:styleId="ListParagraph">
    <w:name w:val="List Paragraph"/>
    <w:basedOn w:val="Normal"/>
    <w:uiPriority w:val="1"/>
    <w:qFormat/>
    <w:rsid w:val="004359E5"/>
    <w:pPr>
      <w:spacing w:before="223"/>
      <w:ind w:left="340" w:hanging="221"/>
    </w:pPr>
  </w:style>
  <w:style w:type="paragraph" w:customStyle="1" w:styleId="TableParagraph">
    <w:name w:val="Table Paragraph"/>
    <w:basedOn w:val="Normal"/>
    <w:uiPriority w:val="1"/>
    <w:qFormat/>
    <w:rsid w:val="004359E5"/>
    <w:pPr>
      <w:spacing w:before="7"/>
      <w:ind w:left="107"/>
    </w:pPr>
  </w:style>
  <w:style w:type="paragraph" w:styleId="Title">
    <w:name w:val="Title"/>
    <w:basedOn w:val="Normal"/>
    <w:link w:val="TitleChar"/>
    <w:uiPriority w:val="1"/>
    <w:qFormat/>
    <w:rsid w:val="009F1BB9"/>
    <w:pPr>
      <w:spacing w:before="154"/>
      <w:ind w:left="108"/>
    </w:pPr>
    <w:rPr>
      <w:rFonts w:ascii="Verdana" w:eastAsia="Verdana" w:hAnsi="Verdana" w:cs="Verdana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9F1BB9"/>
    <w:rPr>
      <w:rFonts w:ascii="Verdana" w:eastAsia="Verdana" w:hAnsi="Verdana" w:cs="Verdana"/>
      <w:b/>
      <w:bCs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user</dc:creator>
  <cp:lastModifiedBy>User</cp:lastModifiedBy>
  <cp:revision>4</cp:revision>
  <dcterms:created xsi:type="dcterms:W3CDTF">2019-12-07T01:32:00Z</dcterms:created>
  <dcterms:modified xsi:type="dcterms:W3CDTF">2019-12-07T01:59:00Z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LastSaved">
    <vt:filetime>2019-12-07T00:00:00Z</vt:filetime>
  </property>
</Properties>
</file>