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2551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40000" cy="5167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ds-geo-bl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5167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20"/>
          </w:tcPr>
          <w:p>
            <w:pPr>
              <w:jc w:val="right"/>
            </w:pPr>
            <w:r>
              <w:rPr>
                <w:b/>
                <w:color w:val="171414"/>
                <w:sz w:val="40"/>
              </w:rPr>
              <w:t>Traffic Digital Solutions</w:t>
            </w:r>
          </w:p>
          <w:p>
            <w:pPr>
              <w:jc w:val="right"/>
            </w:pPr>
            <w:r>
              <w:rPr>
                <w:color w:val="838081"/>
                <w:sz w:val="18"/>
              </w:rPr>
              <w:t>AI-Powered Content &amp; SEO Platform</w:t>
              <w:br/>
            </w:r>
            <w:r>
              <w:rPr>
                <w:color w:val="838081"/>
                <w:sz w:val="16"/>
              </w:rPr>
              <w:t>Commercial Registration: XXXXX  |  Tax ID: XXXXX</w:t>
              <w:br/>
            </w:r>
            <w:r>
              <w:rPr>
                <w:color w:val="838081"/>
                <w:sz w:val="16"/>
              </w:rPr>
              <w:t>Villa 125, Axis 80, 5th Settlement, Cairo, Egypt</w:t>
              <w:br/>
            </w:r>
            <w:r>
              <w:rPr>
                <w:color w:val="838081"/>
                <w:sz w:val="16"/>
              </w:rPr>
              <w:t>webdevelopment@trafficdigitalsolutions.com  |  trafficdigitalsolutions.com</w:t>
            </w:r>
          </w:p>
        </w:tc>
      </w:tr>
    </w:tbl>
    <w:p>
      <w:pPr>
        <w:spacing w:before="40" w:after="40"/>
        <w:pBdr>
          <w:bottom w:val="single" w:sz="20" w:space="1" w:color="FCB900"/>
        </w:pBdr>
      </w:pPr>
    </w:p>
    <w:p>
      <w:pPr>
        <w:spacing w:before="360" w:after="40"/>
        <w:jc w:val="center"/>
      </w:pPr>
      <w:r>
        <w:rPr>
          <w:rFonts w:ascii="Calibri Light" w:hAnsi="Calibri Light"/>
          <w:b/>
          <w:color w:val="171414"/>
          <w:sz w:val="52"/>
        </w:rPr>
        <w:t>PROFESSIONAL SERVICES QUOTATION</w:t>
      </w:r>
    </w:p>
    <w:p>
      <w:pPr>
        <w:spacing w:after="120"/>
        <w:jc w:val="center"/>
      </w:pPr>
      <w:r>
        <w:rPr>
          <w:color w:val="838081"/>
          <w:sz w:val="18"/>
        </w:rPr>
        <w:t>Quotation No: {NUMBER}     |     Issued: {ISSUE_DATE}     |     Valid Until: {VALID_UNTIL}</w:t>
      </w:r>
    </w:p>
    <w:p>
      <w:pPr>
        <w:spacing w:before="40" w:after="40"/>
        <w:pBdr>
          <w:bottom w:val="single" w:sz="12" w:space="1" w:color="FCB900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PREPARED FOR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{CLIENT_ADDRESS}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{CLIENT_EMAIL}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PROJECT DETAILS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Project: {PROJECT_NAME}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Description: {PROJECT_DESC}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Start Date: {START_DATE}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Duration: {DURATION}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PAYMENT &amp; CURRENCY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Currency: {CURRENCY}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Payment Terms: {PAYMENT_TERMS}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Tax: {TAX_TREATMENT}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5"/>
              </w:rPr>
              <w:t>DELIVERY METHOD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Format: Digital Delivery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Schedule: {DELIVERY_SCHEDULE}</w:t>
            </w:r>
          </w:p>
          <w:p>
            <w:pPr>
              <w:spacing w:after="20"/>
            </w:pPr>
            <w:r>
              <w:rPr>
                <w:color w:val="171414"/>
                <w:sz w:val="20"/>
              </w:rPr>
              <w:t>Handover: {HANDOVER_METHOD}</w:t>
            </w:r>
          </w:p>
        </w:tc>
      </w:tr>
    </w:tbl>
    <w:p>
      <w:pPr>
        <w:spacing w:before="40" w:after="40"/>
        <w:pBdr>
          <w:bottom w:val="single" w:sz="10" w:space="1" w:color="FCB900"/>
        </w:pBdr>
      </w:pP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1.  PROJECT OVERVIEW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{PROJECT_OVERVIEW}</w:t>
      </w:r>
    </w:p>
    <w:p>
      <w:pPr>
        <w:spacing w:after="80"/>
      </w:pPr>
      <w:r>
        <w:rPr>
          <w:b/>
          <w:color w:val="142444"/>
          <w:sz w:val="19"/>
        </w:rPr>
        <w:t>Key Objectives: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{OBJECTIVE_1}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{OBJECTIVE_2}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{OBJECTIVE_3}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2.  SCOPE OF SERVICES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The following services are included in this engagement: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AI-Powered Content Generation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Automated creation of SEO-optimized articles tailored to your brand voice, target keywords, and audience. Each article follows our proprietary EEAT Content Framework for quality, topical authority, and long-term ranking performance.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SEO Optimization Pipeline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on-page SEO including meta tags, headings, keyword placement, internal linking, schema markup, readability scoring, and content structure optimization.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Multi-Platform Publishing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Direct API-based publishing to Shopify, WordPress, Webflow, or Ghost. Includes scheduled publishing with an integrated approval workflow.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Google Search Console Integration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Real-time search performance tracking: impressions, clicks, CTR, and average position. Full sync and analysis of your search presence.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Analytics &amp; Reporting Dashboard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Real-time dashboard with metric cards, performance charts, top queries table, and exportable monthly reports.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Multi-Language Content Support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Content generation and SEO in up to 13 languages: English, Arabic, French, German, Spanish, Portuguese, Italian, Russian, Turkish, Japanese, Chinese, Korean, and Dutch.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3.  EXCLUSIONS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The following are explicitly not included unless separately agreed in writing: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Website design, development, or hosting services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Graphic design or brand identity creation (except AI-generated article images)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Manual content writing, editing, or proofreading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Paid advertising management (Google Ads, Social Media Ads)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Domain registration, email hosting, or SSL certificates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Third-party software licenses or subscriptions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Video production, animation, or photography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4.  TIMELINE &amp; MILESTONES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before="120" w:after="40"/>
      </w:pPr>
      <w:r>
        <w:rPr>
          <w:b/>
          <w:color w:val="142444"/>
          <w:sz w:val="20"/>
        </w:rPr>
        <w:t xml:space="preserve">  Phase 1 — Setup &amp; Onboarding</w:t>
      </w:r>
      <w:r>
        <w:rPr>
          <w:b/>
          <w:color w:val="FCB900"/>
          <w:sz w:val="18"/>
        </w:rPr>
        <w:t xml:space="preserve">  —  Days 1-5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Account creation, platform configuration, API integrations, brand profile setup, keyword research initialization, and test run.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2 — First Content Batch</w:t>
      </w:r>
      <w:r>
        <w:rPr>
          <w:b/>
          <w:color w:val="FCB900"/>
          <w:sz w:val="18"/>
        </w:rPr>
        <w:t xml:space="preserve">  —  Days 6-12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Initial content generation (up to 5 articles), review and revision cycle, and publishing pipeline validation.</w:t>
      </w:r>
    </w:p>
    <w:p>
      <w:pPr>
        <w:spacing w:before="120" w:after="40"/>
      </w:pPr>
      <w:r>
        <w:rPr>
          <w:b/>
          <w:color w:val="142444"/>
          <w:sz w:val="20"/>
        </w:rPr>
        <w:t xml:space="preserve">  Phase 3 — Ongoing Delivery</w:t>
      </w:r>
      <w:r>
        <w:rPr>
          <w:b/>
          <w:color w:val="FCB900"/>
          <w:sz w:val="18"/>
        </w:rPr>
        <w:t xml:space="preserve">  —  Weekly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Scheduled content generation per agreed cadence with continuous optimization and monthly performance reporting.</w:t>
      </w:r>
    </w:p>
    <w:p>
      <w:pPr>
        <w:spacing w:after="120" w:line="276" w:lineRule="auto"/>
      </w:pPr>
      <w:r>
        <w:rPr>
          <w:b w:val="0"/>
          <w:i/>
          <w:color w:val="3D3B3B"/>
          <w:sz w:val="19"/>
        </w:rPr>
        <w:t>Total estimated duration: {DURATION} from start date. Timeline may be adjusted based on client feedback cycles and scope changes.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5.  CLIENT RESPONSIBILITIES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120" w:line="276" w:lineRule="auto"/>
      </w:pPr>
      <w:r>
        <w:rPr>
          <w:b w:val="0"/>
          <w:i w:val="0"/>
          <w:color w:val="3D3B3B"/>
          <w:sz w:val="20"/>
        </w:rPr>
        <w:t>To ensure successful delivery, you agree to: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Provide API access to your CMS platforms (Shopify, WordPress, etc.)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Share brand guidelines, target keywords, and content preferences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Review and approve generated content within 3 business days of delivery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Provide timely feedback on content quality and strategic direction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Maintain a valid payment method and adhere to agreed payment terms</w:t>
      </w:r>
    </w:p>
    <w:p>
      <w:pPr>
        <w:spacing w:after="40"/>
        <w:ind w:left="283"/>
      </w:pPr>
      <w:r>
        <w:rPr>
          <w:color w:val="3D3B3B"/>
          <w:sz w:val="19"/>
        </w:rPr>
        <w:t xml:space="preserve">  •  Designate a point of contact for day-to-day coordination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6.  INVESTMENT &amp; PRICING</w:t>
      </w:r>
    </w:p>
    <w:p>
      <w:pPr>
        <w:spacing w:before="40" w:after="40"/>
        <w:pBdr>
          <w:bottom w:val="single" w:sz="8" w:space="1" w:color="FCB9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819"/>
            <w:shd w:fill="171414"/>
          </w:tcPr>
          <w:p>
            <w:pPr>
              <w:spacing w:before="40" w:after="40"/>
              <w:jc w:val="left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113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QTY</w:t>
            </w:r>
          </w:p>
        </w:tc>
        <w:tc>
          <w:tcPr>
            <w:tcW w:type="dxa" w:w="1701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UNIT PRICE</w:t>
            </w:r>
          </w:p>
        </w:tc>
        <w:tc>
          <w:tcPr>
            <w:tcW w:type="dxa" w:w="1984"/>
            <w:shd w:fill="171414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Setup &amp; Onboarding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{SETUP_PRICE}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{SETUP_TOTAL}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2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{PLAN_NAME} — {BILLING_CYCLE}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{PLAN_QTY}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{PLAN_UNIT_PRICE}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{PLAN_TOTAL}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3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Extra Article Pack (×{EXTRA_QTY})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{EXTRA_QTY}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{EXTRA_UNIT_PRICE}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{EXTRA_TOTAL}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>
              <w:rPr>
                <w:color w:val="3D3B3B"/>
                <w:sz w:val="17"/>
              </w:rPr>
              <w:t>4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>
              <w:rPr>
                <w:color w:val="3D3B3B"/>
                <w:sz w:val="17"/>
              </w:rPr>
              <w:t>Strategy Consulting ({CONSULT_HRS} hours)</w:t>
            </w:r>
          </w:p>
        </w:tc>
        <w:tc>
          <w:tcPr>
            <w:tcW w:type="dxa" w:w="1134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{CONSULT_HRS}</w:t>
            </w:r>
          </w:p>
        </w:tc>
        <w:tc>
          <w:tcPr>
            <w:tcW w:type="dxa" w:w="1701"/>
          </w:tcPr>
          <w:p>
            <w:pPr>
              <w:spacing w:before="40" w:after="40"/>
              <w:jc w:val="right"/>
            </w:pPr>
            <w:r>
              <w:rPr>
                <w:color w:val="3D3B3B"/>
                <w:sz w:val="17"/>
              </w:rPr>
              <w:t>{CONSULT_RATE}/hr</w:t>
            </w:r>
          </w:p>
        </w:tc>
        <w:tc>
          <w:tcPr>
            <w:tcW w:type="dxa" w:w="1984"/>
          </w:tcPr>
          <w:p>
            <w:pPr>
              <w:spacing w:before="40" w:after="40"/>
              <w:jc w:val="right"/>
            </w:pPr>
            <w:r>
              <w:rPr>
                <w:color w:val="171414"/>
                <w:sz w:val="17"/>
              </w:rPr>
              <w:t>{CONSULT_TOTAL}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Subtotal</w:t>
            </w:r>
          </w:p>
        </w:tc>
        <w:tc>
          <w:tcPr>
            <w:tcW w:type="dxa" w:w="1814"/>
          </w:tcPr>
          <w:p>
            <w:pPr>
              <w:spacing w:before="40" w:after="40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{SUBTOTAL}</w:t>
            </w:r>
          </w:p>
        </w:tc>
      </w:tr>
      <w:tr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b/>
                <w:color w:val="142444"/>
                <w:sz w:val="18"/>
              </w:rPr>
              <w:t>Discount ({DISCOUNT_PCT}%)</w:t>
            </w:r>
          </w:p>
        </w:tc>
        <w:tc>
          <w:tcPr>
            <w:tcW w:type="dxa" w:w="1814"/>
          </w:tcPr>
          <w:p>
            <w:pPr>
              <w:spacing w:before="40" w:after="40"/>
            </w:pPr>
          </w:p>
        </w:tc>
        <w:tc>
          <w:tcPr>
            <w:tcW w:type="dxa" w:w="1814"/>
          </w:tcPr>
          <w:p>
            <w:pPr>
              <w:spacing w:before="40" w:after="40"/>
              <w:jc w:val="right"/>
            </w:pPr>
            <w:r>
              <w:rPr>
                <w:color w:val="838081"/>
                <w:sz w:val="18"/>
              </w:rPr>
              <w:t>({DISCOUNT_AMOUNT})</w:t>
            </w:r>
          </w:p>
        </w:tc>
      </w:tr>
      <w:tr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</w:tcPr>
          <w:p>
            <w:pPr>
              <w:spacing w:before="120" w:after="80"/>
              <w:jc w:val="right"/>
            </w:pPr>
          </w:p>
        </w:tc>
        <w:tc>
          <w:tcPr>
            <w:tcW w:type="dxa" w:w="1814"/>
            <w:shd w:fill="171414"/>
          </w:tcPr>
          <w:p>
            <w:pPr>
              <w:spacing w:before="120" w:after="80"/>
              <w:jc w:val="right"/>
            </w:pPr>
            <w:r>
              <w:rPr>
                <w:b/>
                <w:color w:val="FFFFFF"/>
                <w:sz w:val="20"/>
              </w:rPr>
              <w:t>TOTAL DUE</w:t>
            </w:r>
          </w:p>
        </w:tc>
        <w:tc>
          <w:tcPr>
            <w:tcW w:type="dxa" w:w="1814"/>
          </w:tcPr>
          <w:p>
            <w:pPr>
              <w:spacing w:before="120" w:after="80"/>
            </w:pPr>
            <w:r>
              <w:rPr>
                <w:color w:val="838081"/>
                <w:sz w:val="18"/>
              </w:rPr>
              <w:t>{CURRENCY}</w:t>
            </w:r>
          </w:p>
        </w:tc>
        <w:tc>
          <w:tcPr>
            <w:tcW w:type="dxa" w:w="1814"/>
            <w:shd w:fill="FCB900"/>
          </w:tcPr>
          <w:p>
            <w:pPr>
              <w:spacing w:before="120" w:after="80"/>
              <w:jc w:val="right"/>
            </w:pPr>
            <w:r>
              <w:rPr>
                <w:b/>
                <w:color w:val="171414"/>
                <w:sz w:val="26"/>
              </w:rPr>
              <w:t>{GRAND_TOTAL}</w:t>
            </w:r>
          </w:p>
        </w:tc>
      </w:tr>
    </w:tbl>
    <w:p>
      <w:pPr>
        <w:spacing w:before="80"/>
      </w:pPr>
      <w:r>
        <w:rPr>
          <w:i/>
          <w:color w:val="838081"/>
          <w:sz w:val="16"/>
        </w:rPr>
        <w:t xml:space="preserve">VAT (14%) will be added where applicable. All prices in {CURRENCY} unless otherwise stated.  </w:t>
      </w:r>
      <w:r>
        <w:rPr>
          <w:b/>
          <w:color w:val="FCB900"/>
          <w:sz w:val="16"/>
        </w:rPr>
        <w:t>Quarterly prepaid plans include a 10% discount. Annual prepaid plans include a 15% discount.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7.  PAYMENT SCHEDULE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40"/>
      </w:pPr>
      <w:r>
        <w:rPr>
          <w:b/>
          <w:color w:val="142444"/>
          <w:sz w:val="20"/>
        </w:rPr>
        <w:t xml:space="preserve">  Option A — Full Upfront (Recommended)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100% upon signing. Best value.</w:t>
      </w:r>
    </w:p>
    <w:p>
      <w:pPr>
        <w:spacing w:after="40"/>
      </w:pPr>
      <w:r>
        <w:rPr>
          <w:b/>
          <w:color w:val="142444"/>
          <w:sz w:val="20"/>
        </w:rPr>
        <w:t xml:space="preserve">  Option B — 50/50 Split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50% upon signing, 50% upon delivery confirmation.</w:t>
      </w:r>
    </w:p>
    <w:p>
      <w:pPr>
        <w:spacing w:after="40"/>
      </w:pPr>
      <w:r>
        <w:rPr>
          <w:b/>
          <w:color w:val="142444"/>
          <w:sz w:val="20"/>
        </w:rPr>
        <w:t xml:space="preserve">  Option C — 30/70 Split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30% deposit upon signing, 70% within 15 days of completion.</w:t>
      </w:r>
    </w:p>
    <w:p>
      <w:pPr>
        <w:spacing w:after="40"/>
      </w:pPr>
      <w:r>
        <w:rPr>
          <w:b/>
          <w:color w:val="142444"/>
          <w:sz w:val="20"/>
        </w:rPr>
        <w:t xml:space="preserve">  Option D — Net 15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within 15 days of invoice date.</w:t>
      </w:r>
    </w:p>
    <w:p>
      <w:pPr>
        <w:spacing w:after="40"/>
      </w:pPr>
      <w:r>
        <w:rPr>
          <w:b/>
          <w:color w:val="142444"/>
          <w:sz w:val="20"/>
        </w:rPr>
        <w:t xml:space="preserve">  Option E — Net 30</w:t>
      </w:r>
    </w:p>
    <w:p>
      <w:pPr>
        <w:spacing w:after="80" w:line="276" w:lineRule="auto"/>
      </w:pPr>
      <w:r>
        <w:rPr>
          <w:b w:val="0"/>
          <w:i w:val="0"/>
          <w:color w:val="3D3B3B"/>
          <w:sz w:val="19"/>
        </w:rPr>
        <w:t>Full payment within 30 days of invoice date.</w:t>
      </w:r>
    </w:p>
    <w:p>
      <w:pPr>
        <w:spacing w:after="120" w:line="276" w:lineRule="auto"/>
      </w:pPr>
      <w:r>
        <w:rPr>
          <w:b/>
          <w:i w:val="0"/>
          <w:color w:val="171414"/>
          <w:sz w:val="20"/>
        </w:rPr>
        <w:t>Selected Payment Terms: {SELECTED_PAYMENT_TERMS}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8.  TERMS &amp; CONDITIONS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before="100" w:after="40"/>
      </w:pPr>
      <w:r>
        <w:rPr>
          <w:b/>
          <w:color w:val="142444"/>
          <w:sz w:val="20"/>
        </w:rPr>
        <w:t xml:space="preserve">  1. Minimum Term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The initial commitment is a minimum of three (3) calendar months. After the initial term, the agreement auto-renews monthly unless either party gives 30 days' written cancellation notice.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2. Payment Terms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All fees are in the stated currency. Invoices are due according to the selected payment schedule. Late payments incur 2% monthly interest on overdue amounts. Services may be suspended if payment is more than 15 days past due.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3. Intellectual Property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You own all content generated specifically for your brand upon full payment. We retain ownership of our platform, algorithms, software, and methodologies.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4. Confidentiality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All non-public information shared during this engagement is strictly confidential and will not be disclosed to third parties without your consent.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5. Data Protection &amp; Security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We maintain industry-standard security measures including encryption (AES-256 at rest, TLS 1.3 in transit), access controls, and regular backups. Your data will be deleted within 90 days of contract termination, unless retention is required by law.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6. No Guarantee of Rankings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We deliver high-quality content and apply SEO best practices. However, search engine rankings depend on many factors beyond our control and are never guaranteed.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7. Limitation of Liability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Our total liability is capped at the total fees paid in the twelve (12) months preceding any claim. We are not liable for indirect, incidental, or consequential damages.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8. Termination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Either party may terminate for material breach with 15 days' written notice. If you terminate before the minimum term ends, the remaining balance for the minimum term becomes immediately due.</w:t>
      </w:r>
    </w:p>
    <w:p>
      <w:pPr>
        <w:spacing w:before="100" w:after="40"/>
      </w:pPr>
      <w:r>
        <w:rPr>
          <w:b/>
          <w:color w:val="142444"/>
          <w:sz w:val="20"/>
        </w:rPr>
        <w:t xml:space="preserve">  9. Governing Law &amp; Dispute Resolution</w:t>
      </w:r>
    </w:p>
    <w:p>
      <w:pPr>
        <w:spacing w:after="60" w:line="276" w:lineRule="auto"/>
      </w:pPr>
      <w:r>
        <w:rPr>
          <w:b w:val="0"/>
          <w:i w:val="0"/>
          <w:color w:val="3D3B3B"/>
          <w:sz w:val="19"/>
        </w:rPr>
        <w:t>This agreement is governed by {GOVERNING_LAW}. Disputes will first be resolved through good-faith negotiation, then mediation, and finally binding arbitration if necessary.</w:t>
      </w:r>
    </w:p>
    <w:p>
      <w:pPr>
        <w:spacing w:before="280" w:after="80"/>
      </w:pPr>
      <w:r>
        <w:rPr>
          <w:rFonts w:ascii="Calibri Light" w:hAnsi="Calibri Light"/>
          <w:b/>
          <w:color w:val="142444"/>
          <w:sz w:val="26"/>
        </w:rPr>
        <w:t>9.  ACCEPTANCE &amp; SIGNATURE</w:t>
      </w:r>
    </w:p>
    <w:p>
      <w:pPr>
        <w:spacing w:before="40" w:after="40"/>
        <w:pBdr>
          <w:bottom w:val="single" w:sz="8" w:space="1" w:color="FCB900"/>
        </w:pBdr>
      </w:pPr>
    </w:p>
    <w:p>
      <w:pPr>
        <w:spacing w:after="200" w:line="276" w:lineRule="auto"/>
      </w:pPr>
      <w:r>
        <w:rPr>
          <w:b w:val="0"/>
          <w:i w:val="0"/>
          <w:color w:val="3D3B3B"/>
          <w:sz w:val="19"/>
        </w:rPr>
        <w:t>By signing below, both parties acknowledge and agree to the terms of this quotation. This quotation becomes a legally binding agreement upon signature by both parties and is valid for 30 days from the issue date.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CLIENT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Stamp:</w:t>
            </w:r>
          </w:p>
        </w:tc>
        <w:tc>
          <w:tcPr>
            <w:tcW w:type="dxa" w:w="4536"/>
          </w:tcPr>
          <w:p>
            <w:pPr>
              <w:spacing w:after="80"/>
            </w:pPr>
            <w:r>
              <w:rPr>
                <w:b/>
                <w:color w:val="FCB900"/>
                <w:sz w:val="20"/>
              </w:rPr>
              <w:t>TRAFFIC DIGITAL SOLUTIONS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Name: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Title: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Date: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Signature: ______________________________</w:t>
            </w:r>
          </w:p>
          <w:p>
            <w:pPr>
              <w:spacing w:after="60"/>
            </w:pPr>
            <w:r>
              <w:rPr>
                <w:color w:val="3D3B3B"/>
                <w:sz w:val="19"/>
              </w:rPr>
              <w:t>Company Stamp:</w:t>
            </w:r>
          </w:p>
        </w:tc>
      </w:tr>
    </w:tbl>
    <w:p/>
    <w:p>
      <w:pPr>
        <w:spacing w:before="40" w:after="40"/>
        <w:pBdr>
          <w:bottom w:val="single" w:sz="6" w:space="1" w:color="838081"/>
        </w:pBdr>
      </w:pPr>
    </w:p>
    <w:p>
      <w:pPr>
        <w:spacing w:before="120"/>
        <w:jc w:val="center"/>
      </w:pPr>
      <w:r>
        <w:rPr>
          <w:color w:val="838081"/>
          <w:sz w:val="14"/>
        </w:rPr>
        <w:t>Traffic Digital Solutions  •  Villa 125, Axis 80, 5th Settlement, Cairo, Egypt</w:t>
        <w:br/>
      </w:r>
      <w:r>
        <w:rPr>
          <w:color w:val="838081"/>
          <w:sz w:val="14"/>
        </w:rPr>
        <w:t>webdevelopment@trafficdigitalsolutions.com  •  trafficdigitalsolutions.com  •  +201271112396</w:t>
        <w:br/>
      </w:r>
      <w:r>
        <w:rPr>
          <w:i/>
          <w:color w:val="838081"/>
          <w:sz w:val="14"/>
        </w:rPr>
        <w:t>Commercial Registration: XXXXX  |  Tax ID: XXXXX  |  Quotation No: {NUMBER}</w:t>
      </w:r>
    </w:p>
    <w:sectPr w:rsidR="00FC693F" w:rsidRPr="0006063C" w:rsidSect="00034616">
      <w:pgSz w:w="11906" w:h="16838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D3B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