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2551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40000" cy="5167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ds-geo-blac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5167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20"/>
          </w:tcPr>
          <w:p>
            <w:pPr>
              <w:jc w:val="right"/>
            </w:pPr>
            <w:r>
              <w:rPr>
                <w:b/>
                <w:color w:val="171414"/>
                <w:sz w:val="40"/>
              </w:rPr>
              <w:t>TDS GEO</w:t>
            </w:r>
          </w:p>
          <w:p>
            <w:pPr>
              <w:jc w:val="right"/>
            </w:pPr>
            <w:r>
              <w:rPr>
                <w:color w:val="838081"/>
                <w:sz w:val="18"/>
              </w:rPr>
              <w:t>AI-Powered Content &amp; SEO Platform</w:t>
              <w:br/>
            </w:r>
            <w:r>
              <w:rPr>
                <w:color w:val="838081"/>
                <w:sz w:val="16"/>
              </w:rPr>
              <w:t>Commercial Reg: XXXXX  |  Tax ID: XXXXX</w:t>
              <w:br/>
            </w:r>
            <w:r>
              <w:rPr>
                <w:color w:val="838081"/>
                <w:sz w:val="16"/>
              </w:rPr>
              <w:t>hello@tdsgeo.com  |  tdsgeo.com</w:t>
            </w:r>
          </w:p>
        </w:tc>
      </w:tr>
    </w:tbl>
    <w:p>
      <w:pPr>
        <w:spacing w:before="80" w:after="80"/>
        <w:pBdr>
          <w:bottom w:val="single" w:sz="20" w:space="1" w:color="FCB900"/>
        </w:pBdr>
      </w:pPr>
    </w:p>
    <w:p>
      <w:pPr>
        <w:spacing w:before="400" w:after="40"/>
        <w:jc w:val="center"/>
      </w:pPr>
      <w:r>
        <w:rPr>
          <w:rFonts w:ascii="Calibri Light" w:hAnsi="Calibri Light"/>
          <w:b/>
          <w:color w:val="171414"/>
          <w:sz w:val="52"/>
        </w:rPr>
        <w:t>PROFESSIONAL SERVICES QUOTATION</w:t>
      </w:r>
    </w:p>
    <w:p>
      <w:pPr>
        <w:spacing w:after="80"/>
        <w:jc w:val="center"/>
      </w:pPr>
      <w:r>
        <w:rPr>
          <w:color w:val="838081"/>
          <w:sz w:val="28"/>
        </w:rPr>
        <w:t>عرض خدمات احترافي</w:t>
      </w:r>
    </w:p>
    <w:p>
      <w:pPr>
        <w:spacing w:after="160"/>
        <w:jc w:val="center"/>
      </w:pPr>
      <w:r>
        <w:rPr>
          <w:color w:val="838081"/>
          <w:sz w:val="18"/>
        </w:rPr>
        <w:t>Quotation No: QUO-{NUMBER}     |     Issued: {ISSUE_DATE}     |     Valid Until: {VALID_UNTIL}</w:t>
      </w:r>
    </w:p>
    <w:p>
      <w:pPr>
        <w:spacing w:before="80" w:after="80"/>
        <w:pBdr>
          <w:bottom w:val="single" w:sz="14" w:space="1" w:color="FCB9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PREPARED FOR / معدة لـ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{CLIENT_NAME}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{CLIENT_ADDRESS}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{CLIENT_CONTACT}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{CLIENT_EMAIL}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BILLING DETAILS / تفاصيل الفوترة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Currency: {CURRENCY}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Payment Terms: {PAYMENT_TERMS}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Tax Treatment: {TAX_TREATMENT}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PROJECT / المشروع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{PROJECT_NAME}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{PROJECT_DESCRIPTION}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Start Date: {START_DATE}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Duration: {DURATION}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DELIVERY / التسليم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Format: {DELIVERY_FORMAT}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Schedule: {DELIVERY_SCHEDULE}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Handover: {HANDOVER_METHOD}</w:t>
            </w:r>
          </w:p>
        </w:tc>
      </w:tr>
    </w:tbl>
    <w:p>
      <w:pPr>
        <w:spacing w:before="80" w:after="80"/>
        <w:pBdr>
          <w:bottom w:val="single" w:sz="10" w:space="1" w:color="FCB900"/>
        </w:pBdr>
      </w:pPr>
    </w:p>
    <w:p>
      <w:pPr>
        <w:spacing w:before="320" w:after="120"/>
      </w:pPr>
      <w:r>
        <w:rPr>
          <w:rFonts w:ascii="Calibri Light" w:hAnsi="Calibri Light"/>
          <w:b/>
          <w:color w:val="142444"/>
          <w:sz w:val="26"/>
        </w:rPr>
        <w:t>1.  PROJECT OVERVIEW</w:t>
      </w:r>
      <w:r>
        <w:rPr>
          <w:i/>
          <w:color w:val="838081"/>
          <w:sz w:val="18"/>
        </w:rPr>
        <w:br/>
        <w:t>نظرة عامة على المشروع</w:t>
      </w:r>
    </w:p>
    <w:p>
      <w:pPr>
        <w:spacing w:before="80" w:after="8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{PROJECT_OVERVIEW_TEXT}</w:t>
      </w:r>
    </w:p>
    <w:p>
      <w:pPr>
        <w:spacing w:after="80"/>
      </w:pPr>
      <w:r>
        <w:rPr>
          <w:b/>
          <w:color w:val="142444"/>
          <w:sz w:val="19"/>
        </w:rPr>
        <w:t>Objectives / الأهداف: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{OBJECTIVE_1}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{OBJECTIVE_2}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{OBJECTIVE_3}</w:t>
      </w:r>
    </w:p>
    <w:p>
      <w:pPr>
        <w:spacing w:before="320" w:after="120"/>
      </w:pPr>
      <w:r>
        <w:rPr>
          <w:rFonts w:ascii="Calibri Light" w:hAnsi="Calibri Light"/>
          <w:b/>
          <w:color w:val="142444"/>
          <w:sz w:val="26"/>
        </w:rPr>
        <w:t>2.  SCOPE OF SERVICES</w:t>
      </w:r>
      <w:r>
        <w:rPr>
          <w:i/>
          <w:color w:val="838081"/>
          <w:sz w:val="18"/>
        </w:rPr>
        <w:br/>
        <w:t>نطاق الخدمات</w:t>
      </w:r>
    </w:p>
    <w:p>
      <w:pPr>
        <w:spacing w:before="80" w:after="8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We will deliver the following services as part of this engagement:</w:t>
      </w:r>
    </w:p>
    <w:p>
      <w:pPr>
        <w:spacing w:before="160" w:after="40"/>
      </w:pPr>
      <w:r>
        <w:rPr>
          <w:b/>
          <w:color w:val="142444"/>
          <w:sz w:val="20"/>
        </w:rPr>
        <w:t xml:space="preserve">  AI-Powered Content Generation</w:t>
      </w:r>
    </w:p>
    <w:p>
      <w:pPr>
        <w:spacing w:after="120" w:line="276" w:lineRule="auto"/>
      </w:pPr>
      <w:r>
        <w:rPr>
          <w:b w:val="0"/>
          <w:i w:val="0"/>
          <w:color w:val="3D3B3B"/>
          <w:sz w:val="19"/>
        </w:rPr>
        <w:t>Automated creation of SEO-optimized articles tailored to your brand voice, target keywords, and audience. Each article follows our EEAT Content Framework for quality and topical authority.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توليد محتوى آلي بجودة احترافية محسّن لمحركات البحث ومتوافق مع صوت علامتك التجارية وجمهورك المستهدف.</w:t>
      </w:r>
    </w:p>
    <w:p>
      <w:pPr>
        <w:spacing w:before="160" w:after="40"/>
      </w:pPr>
      <w:r>
        <w:rPr>
          <w:b/>
          <w:color w:val="142444"/>
          <w:sz w:val="20"/>
        </w:rPr>
        <w:t xml:space="preserve">  SEO Optimization Pipeline</w:t>
      </w:r>
    </w:p>
    <w:p>
      <w:pPr>
        <w:spacing w:after="120" w:line="276" w:lineRule="auto"/>
      </w:pPr>
      <w:r>
        <w:rPr>
          <w:b w:val="0"/>
          <w:i w:val="0"/>
          <w:color w:val="3D3B3B"/>
          <w:sz w:val="19"/>
        </w:rPr>
        <w:t>Full on-page SEO including meta tags, headings, keyword placement, internal linking, schema markup, and readability scoring.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تحسين شامل لمحركات البحث يشمل البيانات الوصفية والعناوين والكلمات المفتاحية والربط الداخلي وترميز المخطط.</w:t>
      </w:r>
    </w:p>
    <w:p>
      <w:pPr>
        <w:spacing w:before="160" w:after="40"/>
      </w:pPr>
      <w:r>
        <w:rPr>
          <w:b/>
          <w:color w:val="142444"/>
          <w:sz w:val="20"/>
        </w:rPr>
        <w:t xml:space="preserve">  Multi-Platform Publishing</w:t>
      </w:r>
    </w:p>
    <w:p>
      <w:pPr>
        <w:spacing w:after="120" w:line="276" w:lineRule="auto"/>
      </w:pPr>
      <w:r>
        <w:rPr>
          <w:b w:val="0"/>
          <w:i w:val="0"/>
          <w:color w:val="3D3B3B"/>
          <w:sz w:val="19"/>
        </w:rPr>
        <w:t>Direct publishing to Shopify, WordPress, Webflow, or Ghost via API integration. Scheduled publishing with approval workflow.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نشر مباشر على منصات متعددة عبر واجهة API مع جدولة النشر وسير عمل الموافقة.</w:t>
      </w:r>
    </w:p>
    <w:p>
      <w:pPr>
        <w:spacing w:before="160" w:after="40"/>
      </w:pPr>
      <w:r>
        <w:rPr>
          <w:b/>
          <w:color w:val="142444"/>
          <w:sz w:val="20"/>
        </w:rPr>
        <w:t xml:space="preserve">  Google Search Console Integration</w:t>
      </w:r>
    </w:p>
    <w:p>
      <w:pPr>
        <w:spacing w:after="120" w:line="276" w:lineRule="auto"/>
      </w:pPr>
      <w:r>
        <w:rPr>
          <w:b w:val="0"/>
          <w:i w:val="0"/>
          <w:color w:val="3D3B3B"/>
          <w:sz w:val="19"/>
        </w:rPr>
        <w:t>Performance tracking: impressions, clicks, CTR, and position data. Sync and analyze your search presence in real-time.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تتبع أداء البحث: مرات الظهور والنقرات ونسبة النقر إلى الظهور والترتيب مع مزامنة وتحليل آني.</w:t>
      </w:r>
    </w:p>
    <w:p>
      <w:pPr>
        <w:spacing w:before="160" w:after="40"/>
      </w:pPr>
      <w:r>
        <w:rPr>
          <w:b/>
          <w:color w:val="142444"/>
          <w:sz w:val="20"/>
        </w:rPr>
        <w:t xml:space="preserve">  Analytics Dashboard</w:t>
      </w:r>
    </w:p>
    <w:p>
      <w:pPr>
        <w:spacing w:after="120" w:line="276" w:lineRule="auto"/>
      </w:pPr>
      <w:r>
        <w:rPr>
          <w:b w:val="0"/>
          <w:i w:val="0"/>
          <w:color w:val="3D3B3B"/>
          <w:sz w:val="19"/>
        </w:rPr>
        <w:t>Real-time reporting dashboard with metric cards, charts, top queries table, and exportable reports.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لوحة تحليلات آنية ببطاقات المقاييس والرسوم البيانية وجدول أفضل الاستعلامات وتقارير قابلة للتصدير.</w:t>
      </w:r>
    </w:p>
    <w:p>
      <w:pPr>
        <w:spacing w:before="160" w:after="40"/>
      </w:pPr>
      <w:r>
        <w:rPr>
          <w:b/>
          <w:color w:val="142444"/>
          <w:sz w:val="20"/>
        </w:rPr>
        <w:t xml:space="preserve">  Multi-Language Support (Up to 13 Languages)</w:t>
      </w:r>
    </w:p>
    <w:p>
      <w:pPr>
        <w:spacing w:after="120" w:line="276" w:lineRule="auto"/>
      </w:pPr>
      <w:r>
        <w:rPr>
          <w:b w:val="0"/>
          <w:i w:val="0"/>
          <w:color w:val="3D3B3B"/>
          <w:sz w:val="19"/>
        </w:rPr>
        <w:t>Content generation and SEO optimization in Arabic, English, French, German, Spanish, Portuguese, Italian, Russian, Turkish, Japanese, Chinese, Korean, and Dutch.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توليد المحتوى وتحسين محركات البحث بـ ١٣ لغة تشمل العربية والإنجليزية والفرنسية والألمانية واليابانية والصينية وغيرها.</w:t>
      </w:r>
    </w:p>
    <w:p>
      <w:pPr>
        <w:spacing w:before="320" w:after="120"/>
      </w:pPr>
      <w:r>
        <w:rPr>
          <w:rFonts w:ascii="Calibri Light" w:hAnsi="Calibri Light"/>
          <w:b/>
          <w:color w:val="142444"/>
          <w:sz w:val="26"/>
        </w:rPr>
        <w:t>3.  EXCLUSIONS</w:t>
      </w:r>
      <w:r>
        <w:rPr>
          <w:i/>
          <w:color w:val="838081"/>
          <w:sz w:val="18"/>
        </w:rPr>
        <w:br/>
        <w:t>ما لا يشملہ العرض</w:t>
      </w:r>
    </w:p>
    <w:p>
      <w:pPr>
        <w:spacing w:before="80" w:after="8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The following are explicitly NOT included unless separately agreed in writing: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Website design, development, or hosting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Graphic design or branding (except AI-generated article images)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Manual content writing, editing, or proofreading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Paid advertising management (Google Ads, Social Ads)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Domain registration or email hosting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Third-party software licenses or subscriptions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Video production or editing</w:t>
      </w:r>
    </w:p>
    <w:p>
      <w:pPr>
        <w:spacing w:before="320" w:after="120"/>
      </w:pPr>
      <w:r>
        <w:rPr>
          <w:rFonts w:ascii="Calibri Light" w:hAnsi="Calibri Light"/>
          <w:b/>
          <w:color w:val="142444"/>
          <w:sz w:val="26"/>
        </w:rPr>
        <w:t>4.  TIMELINE &amp; MILESTONES</w:t>
      </w:r>
      <w:r>
        <w:rPr>
          <w:i/>
          <w:color w:val="838081"/>
          <w:sz w:val="18"/>
        </w:rPr>
        <w:br/>
        <w:t>الجدول الزمني والمراحل</w:t>
      </w:r>
    </w:p>
    <w:p>
      <w:pPr>
        <w:spacing w:before="80" w:after="80"/>
        <w:pBdr>
          <w:bottom w:val="single" w:sz="8" w:space="1" w:color="FCB900"/>
        </w:pBdr>
      </w:pPr>
    </w:p>
    <w:p>
      <w:pPr>
        <w:spacing w:before="120" w:after="40"/>
      </w:pPr>
      <w:r>
        <w:rPr>
          <w:b/>
          <w:color w:val="142444"/>
          <w:sz w:val="20"/>
        </w:rPr>
        <w:t xml:space="preserve">  Phase 1: Setup &amp; Onboarding</w:t>
      </w:r>
      <w:r>
        <w:rPr>
          <w:b/>
          <w:color w:val="FCB900"/>
          <w:sz w:val="18"/>
        </w:rPr>
        <w:t xml:space="preserve">  —  Days 1-5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Account creation, platform configuration, API integrations, brand profile setup, keyword research initialization.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Phase 2: First Content Batch</w:t>
      </w:r>
      <w:r>
        <w:rPr>
          <w:b/>
          <w:color w:val="FCB900"/>
          <w:sz w:val="18"/>
        </w:rPr>
        <w:t xml:space="preserve">  —  Days 6-12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Initial content generation (up to 5 articles), review &amp; revision cycle, publishing pipeline test.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Phase 3: Ongoing Delivery</w:t>
      </w:r>
      <w:r>
        <w:rPr>
          <w:b/>
          <w:color w:val="FCB900"/>
          <w:sz w:val="18"/>
        </w:rPr>
        <w:t xml:space="preserve">  —  Weekly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Scheduled content generation per agreed cadence, continuous optimization, monthly performance reports.</w:t>
      </w:r>
    </w:p>
    <w:p>
      <w:pPr>
        <w:spacing w:after="120" w:line="276" w:lineRule="auto"/>
      </w:pPr>
      <w:r>
        <w:rPr>
          <w:b w:val="0"/>
          <w:i/>
          <w:color w:val="3D3B3B"/>
          <w:sz w:val="19"/>
        </w:rPr>
        <w:t>Total estimated duration: {DURATION} from start date. Timeline may be adjusted based on client feedback cycles and scope changes.</w:t>
      </w:r>
    </w:p>
    <w:p>
      <w:pPr>
        <w:spacing w:before="320" w:after="120"/>
      </w:pPr>
      <w:r>
        <w:rPr>
          <w:rFonts w:ascii="Calibri Light" w:hAnsi="Calibri Light"/>
          <w:b/>
          <w:color w:val="142444"/>
          <w:sz w:val="26"/>
        </w:rPr>
        <w:t>5.  CLIENT RESPONSIBILITIES</w:t>
      </w:r>
      <w:r>
        <w:rPr>
          <w:i/>
          <w:color w:val="838081"/>
          <w:sz w:val="18"/>
        </w:rPr>
        <w:br/>
        <w:t>مسؤوليات العميل</w:t>
      </w:r>
    </w:p>
    <w:p>
      <w:pPr>
        <w:spacing w:before="80" w:after="8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To ensure successful delivery, the Client agrees to: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Provide API access to CMS platforms (Shopify, WordPress, etc.)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Share brand guidelines, target keywords, and content preferences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Review and approve generated content within 3 business days of delivery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Provide timely feedback on content quality and direction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Maintain a valid payment method and adhere to agreed payment terms</w:t>
      </w:r>
    </w:p>
    <w:p>
      <w:pPr>
        <w:spacing w:after="40" w:line="276" w:lineRule="auto"/>
        <w:ind w:left="283"/>
      </w:pPr>
      <w:r>
        <w:rPr>
          <w:color w:val="3D3B3B"/>
          <w:sz w:val="19"/>
        </w:rPr>
        <w:t xml:space="preserve">  •  Designate a point of contact for day-to-day coordination</w:t>
      </w:r>
    </w:p>
    <w:p>
      <w:pPr>
        <w:spacing w:before="320" w:after="120"/>
      </w:pPr>
      <w:r>
        <w:rPr>
          <w:rFonts w:ascii="Calibri Light" w:hAnsi="Calibri Light"/>
          <w:b/>
          <w:color w:val="142444"/>
          <w:sz w:val="26"/>
        </w:rPr>
        <w:t>6.  INVESTMENT &amp; PRICING</w:t>
      </w:r>
      <w:r>
        <w:rPr>
          <w:i/>
          <w:color w:val="838081"/>
          <w:sz w:val="18"/>
        </w:rPr>
        <w:br/>
        <w:t>الاستثمار والأسعار</w:t>
      </w:r>
    </w:p>
    <w:p>
      <w:pPr>
        <w:spacing w:before="80" w:after="80"/>
        <w:pBdr>
          <w:bottom w:val="single" w:sz="8" w:space="1" w:color="FCB90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7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819"/>
            <w:shd w:fill="171414"/>
          </w:tcPr>
          <w:p>
            <w:pPr>
              <w:spacing w:before="40" w:after="40"/>
              <w:jc w:val="left"/>
            </w:pPr>
            <w:r>
              <w:rPr>
                <w:b/>
                <w:color w:val="FFFFFF"/>
                <w:sz w:val="16"/>
              </w:rPr>
              <w:t>SERVICE / الخدمة</w:t>
            </w:r>
          </w:p>
        </w:tc>
        <w:tc>
          <w:tcPr>
            <w:tcW w:type="dxa" w:w="1134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QTY</w:t>
            </w:r>
          </w:p>
        </w:tc>
        <w:tc>
          <w:tcPr>
            <w:tcW w:type="dxa" w:w="1701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UNIT PRICE</w:t>
            </w:r>
          </w:p>
        </w:tc>
        <w:tc>
          <w:tcPr>
            <w:tcW w:type="dxa" w:w="1984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1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TDS GEO — Setup &amp; Onboarding</w:t>
              <w:br/>
              <w:t>الإعداد والتشغيل الأولي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{SETUP_PRICE}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{SETUP_TOTAL}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2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TDS GEO — {PLAN_NAME} ({BILLING_CYCLE})</w:t>
              <w:br/>
              <w:t>{PLAN_NAME_AR} — {BILLING_CYCLE_AR}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{PLAN_QTY}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{PLAN_UNIT_PRICE}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{PLAN_TOTAL}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3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Content — Extra Article Pack (×{EXTRA_QTY})</w:t>
              <w:br/>
              <w:t>حزمة مقالات إضافية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{EXTRA_QTY}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{EXTRA_UNIT_PRICE}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{EXTRA_TOTAL}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4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Consulting — Strategy Sessions ({CONSULT_HRS}h)</w:t>
              <w:br/>
              <w:t>جلسات استشارية استراتيجية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{CONSULT_HRS}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{CONSULT_RATE}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{CONSULT_TOTAL}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b/>
                <w:color w:val="142444"/>
                <w:sz w:val="18"/>
              </w:rPr>
              <w:t>Subtotal / المجموع الفرعي</w:t>
            </w: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color w:val="838081"/>
                <w:sz w:val="18"/>
              </w:rPr>
              <w:t>{SUBTOTAL}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b/>
                <w:color w:val="142444"/>
                <w:sz w:val="18"/>
              </w:rPr>
              <w:t>Discount / الخصم ({DISCOUNT_PCT}%)</w:t>
            </w: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color w:val="838081"/>
                <w:sz w:val="18"/>
              </w:rPr>
              <w:t>({DISCOUNT_AMOUNT})</w:t>
            </w:r>
          </w:p>
        </w:tc>
      </w:tr>
      <w:tr>
        <w:tc>
          <w:tcPr>
            <w:tcW w:type="dxa" w:w="1814"/>
          </w:tcPr>
          <w:p>
            <w:pPr>
              <w:spacing w:before="120" w:after="80"/>
              <w:jc w:val="right"/>
            </w:pPr>
          </w:p>
        </w:tc>
        <w:tc>
          <w:tcPr>
            <w:tcW w:type="dxa" w:w="1814"/>
          </w:tcPr>
          <w:p>
            <w:pPr>
              <w:spacing w:before="120" w:after="80"/>
              <w:jc w:val="right"/>
            </w:pPr>
          </w:p>
        </w:tc>
        <w:tc>
          <w:tcPr>
            <w:tcW w:type="dxa" w:w="1814"/>
            <w:shd w:fill="171414"/>
          </w:tcPr>
          <w:p>
            <w:pPr>
              <w:spacing w:before="120" w:after="80"/>
              <w:jc w:val="right"/>
            </w:pPr>
            <w:r>
              <w:rPr>
                <w:b/>
                <w:color w:val="FFFFFF"/>
                <w:sz w:val="20"/>
              </w:rPr>
              <w:t>TOTAL DUE / الإجمالي المستحق</w:t>
            </w:r>
          </w:p>
        </w:tc>
        <w:tc>
          <w:tcPr>
            <w:tcW w:type="dxa" w:w="1814"/>
          </w:tcPr>
          <w:p>
            <w:pPr>
              <w:spacing w:before="120" w:after="80"/>
            </w:pPr>
            <w:r>
              <w:rPr>
                <w:color w:val="838081"/>
                <w:sz w:val="18"/>
              </w:rPr>
              <w:t>{GRAND_TOTAL_CURRENCY}</w:t>
            </w:r>
          </w:p>
        </w:tc>
        <w:tc>
          <w:tcPr>
            <w:tcW w:type="dxa" w:w="1814"/>
            <w:shd w:fill="FCB900"/>
          </w:tcPr>
          <w:p>
            <w:pPr>
              <w:spacing w:before="120" w:after="80"/>
              <w:jc w:val="right"/>
            </w:pPr>
            <w:r>
              <w:rPr>
                <w:b/>
                <w:color w:val="171414"/>
                <w:sz w:val="26"/>
              </w:rPr>
              <w:t>{GRAND_TOTAL}</w:t>
            </w:r>
          </w:p>
        </w:tc>
      </w:tr>
    </w:tbl>
    <w:p>
      <w:pPr>
        <w:spacing w:before="80"/>
      </w:pPr>
      <w:r>
        <w:rPr>
          <w:i/>
          <w:color w:val="838081"/>
          <w:sz w:val="16"/>
        </w:rPr>
        <w:t xml:space="preserve">VAT (14%) will be added where applicable. All prices in {CURRENCY} unless otherwise stated.  </w:t>
      </w:r>
      <w:r>
        <w:rPr>
          <w:b/>
          <w:color w:val="FCB900"/>
          <w:sz w:val="16"/>
        </w:rPr>
        <w:t>Quarterly prepaid plans include a 10% discount.</w:t>
      </w:r>
    </w:p>
    <w:p>
      <w:pPr>
        <w:spacing w:before="320" w:after="120"/>
      </w:pPr>
      <w:r>
        <w:rPr>
          <w:rFonts w:ascii="Calibri Light" w:hAnsi="Calibri Light"/>
          <w:b/>
          <w:color w:val="142444"/>
          <w:sz w:val="26"/>
        </w:rPr>
        <w:t>7.  PAYMENT SCHEDULE</w:t>
      </w:r>
      <w:r>
        <w:rPr>
          <w:i/>
          <w:color w:val="838081"/>
          <w:sz w:val="18"/>
        </w:rPr>
        <w:br/>
        <w:t>جدول السداد</w:t>
      </w:r>
    </w:p>
    <w:p>
      <w:pPr>
        <w:spacing w:before="80" w:after="80"/>
        <w:pBdr>
          <w:bottom w:val="single" w:sz="8" w:space="1" w:color="FCB900"/>
        </w:pBdr>
      </w:pPr>
    </w:p>
    <w:p>
      <w:pPr>
        <w:spacing w:after="40"/>
      </w:pPr>
      <w:r>
        <w:rPr>
          <w:b/>
          <w:color w:val="142444"/>
          <w:sz w:val="20"/>
        </w:rPr>
        <w:t xml:space="preserve">  Option A — Upfront (Recommended)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100% upon signing. Best value — includes 10% discount on annual plans.</w:t>
      </w:r>
    </w:p>
    <w:p>
      <w:pPr>
        <w:spacing w:after="40"/>
      </w:pPr>
      <w:r>
        <w:rPr>
          <w:b/>
          <w:color w:val="142444"/>
          <w:sz w:val="20"/>
        </w:rPr>
        <w:t xml:space="preserve">  Option B — 50/50 Split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50% upon signing, 50% upon delivery confirmation.</w:t>
      </w:r>
    </w:p>
    <w:p>
      <w:pPr>
        <w:spacing w:after="40"/>
      </w:pPr>
      <w:r>
        <w:rPr>
          <w:b/>
          <w:color w:val="142444"/>
          <w:sz w:val="20"/>
        </w:rPr>
        <w:t xml:space="preserve">  Option C — 30/70 Split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30% deposit upon signing, 70% within 15 days of delivery completion.</w:t>
      </w:r>
    </w:p>
    <w:p>
      <w:pPr>
        <w:spacing w:after="40"/>
      </w:pPr>
      <w:r>
        <w:rPr>
          <w:b/>
          <w:color w:val="142444"/>
          <w:sz w:val="20"/>
        </w:rPr>
        <w:t xml:space="preserve">  Option D — Net 15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Full payment within 15 days of invoice date.</w:t>
      </w:r>
    </w:p>
    <w:p>
      <w:pPr>
        <w:spacing w:after="40"/>
      </w:pPr>
      <w:r>
        <w:rPr>
          <w:b/>
          <w:color w:val="142444"/>
          <w:sz w:val="20"/>
        </w:rPr>
        <w:t xml:space="preserve">  Option E — Net 30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Full payment within 30 days of invoice date.</w:t>
      </w:r>
    </w:p>
    <w:p>
      <w:pPr>
        <w:spacing w:after="120" w:line="276" w:lineRule="auto"/>
      </w:pPr>
      <w:r>
        <w:rPr>
          <w:b/>
          <w:i w:val="0"/>
          <w:color w:val="171414"/>
          <w:sz w:val="20"/>
        </w:rPr>
        <w:t>Selected Payment Terms: {SELECTED_PAYMENT_TERMS}</w:t>
      </w:r>
    </w:p>
    <w:p>
      <w:pPr>
        <w:spacing w:before="320" w:after="120"/>
      </w:pPr>
      <w:r>
        <w:rPr>
          <w:rFonts w:ascii="Calibri Light" w:hAnsi="Calibri Light"/>
          <w:b/>
          <w:color w:val="142444"/>
          <w:sz w:val="26"/>
        </w:rPr>
        <w:t>8.  TERMS &amp; CONDITIONS</w:t>
      </w:r>
      <w:r>
        <w:rPr>
          <w:i/>
          <w:color w:val="838081"/>
          <w:sz w:val="18"/>
        </w:rPr>
        <w:br/>
        <w:t>الشروط والأحكام</w:t>
      </w:r>
    </w:p>
    <w:p>
      <w:pPr>
        <w:spacing w:before="80" w:after="80"/>
        <w:pBdr>
          <w:bottom w:val="single" w:sz="8" w:space="1" w:color="FCB900"/>
        </w:pBdr>
      </w:pPr>
    </w:p>
    <w:p>
      <w:pPr>
        <w:spacing w:before="120" w:after="40"/>
      </w:pPr>
      <w:r>
        <w:rPr>
          <w:b/>
          <w:color w:val="142444"/>
          <w:sz w:val="20"/>
        </w:rPr>
        <w:t xml:space="preserve">  1. Term</w:t>
      </w:r>
    </w:p>
    <w:p>
      <w:pPr>
        <w:spacing w:after="40" w:line="276" w:lineRule="auto"/>
      </w:pPr>
      <w:r>
        <w:rPr>
          <w:b w:val="0"/>
          <w:i w:val="0"/>
          <w:color w:val="3D3B3B"/>
          <w:sz w:val="19"/>
        </w:rPr>
        <w:t>The initial term is a minimum of three (3) calendar months from the start date. After the initial term, the agreement auto-renews monthly unless either party provides 30 days' written cancellation notice.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المدة الأولية ثلاثة (3) أشهر ميلادية كحد أدنى. بعدها يتجدد العقد تلقائيًا شهريًا ما لم يخطر أي طرف الآخر كتابيًا قبل 30 يومًا.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2. Payment</w:t>
      </w:r>
    </w:p>
    <w:p>
      <w:pPr>
        <w:spacing w:after="40" w:line="276" w:lineRule="auto"/>
      </w:pPr>
      <w:r>
        <w:rPr>
          <w:b w:val="0"/>
          <w:i w:val="0"/>
          <w:color w:val="3D3B3B"/>
          <w:sz w:val="19"/>
        </w:rPr>
        <w:t>All fees are in the stated currency. Invoices are due per the agreed payment terms. Late payments incur 2% monthly interest on overdue amounts. Services may be suspended if payment is more than 15 days past due.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جميع الرسوم بالعملة المذكورة. الفواتير مستحقة حسب شروط الدفع المتفق عليها. التأخير في السداد يستحق فائدة شهرية 2٪.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3. Content Ownership</w:t>
      </w:r>
    </w:p>
    <w:p>
      <w:pPr>
        <w:spacing w:after="40" w:line="276" w:lineRule="auto"/>
      </w:pPr>
      <w:r>
        <w:rPr>
          <w:b w:val="0"/>
          <w:i w:val="0"/>
          <w:color w:val="3D3B3B"/>
          <w:sz w:val="19"/>
        </w:rPr>
        <w:t>You own all content generated specifically for your brand upon full payment. We retain ownership of our platform, algorithms, and methodologies.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أنت تملك جميع المحتويات المنشأة خصيصًا لعلامتك التجارية بعد السداد الكامل. نحن نحتفظ بملكية منصتنا وخوارزمياتنا.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4. Confidentiality</w:t>
      </w:r>
    </w:p>
    <w:p>
      <w:pPr>
        <w:spacing w:after="40" w:line="276" w:lineRule="auto"/>
      </w:pPr>
      <w:r>
        <w:rPr>
          <w:b w:val="0"/>
          <w:i w:val="0"/>
          <w:color w:val="3D3B3B"/>
          <w:sz w:val="19"/>
        </w:rPr>
        <w:t>All business information shared during this engagement is strictly confidential. We sign NDAs upon request.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جميع معلومات العمل المتبادلة سرية تامة. نوقع اتفاقيات السرية عند الطلب.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5. Data Protection</w:t>
      </w:r>
    </w:p>
    <w:p>
      <w:pPr>
        <w:spacing w:after="40" w:line="276" w:lineRule="auto"/>
      </w:pPr>
      <w:r>
        <w:rPr>
          <w:b w:val="0"/>
          <w:i w:val="0"/>
          <w:color w:val="3D3B3B"/>
          <w:sz w:val="19"/>
        </w:rPr>
        <w:t>We comply with applicable data protection laws (Egypt Law 151/2020, GDPR, UAE PDPL). Your data is encrypted, access-controlled, and deleted within 90 days of contract end.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نلتزم بقوانين حماية البيانات المعمول بها. بياناتك مشفرة ومحمية ويتم حذفها خلال 90 يومًا من انتهاء العقد.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6. No Guarantee of Rankings</w:t>
      </w:r>
    </w:p>
    <w:p>
      <w:pPr>
        <w:spacing w:after="40" w:line="276" w:lineRule="auto"/>
      </w:pPr>
      <w:r>
        <w:rPr>
          <w:b w:val="0"/>
          <w:i w:val="0"/>
          <w:color w:val="3D3B3B"/>
          <w:sz w:val="19"/>
        </w:rPr>
        <w:t>We deliver high-quality content and SEO best practices. However, search engine rankings depend on many factors beyond our control and are never guaranteed.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نقدم محتوى عالي الجودة وأفضل ممارسات تحسين محركات البحث. لكن ترتيب البحث يعتمد على عوامل خارجة عن إرادتنا.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7. Liability</w:t>
      </w:r>
    </w:p>
    <w:p>
      <w:pPr>
        <w:spacing w:after="40" w:line="276" w:lineRule="auto"/>
      </w:pPr>
      <w:r>
        <w:rPr>
          <w:b w:val="0"/>
          <w:i w:val="0"/>
          <w:color w:val="3D3B3B"/>
          <w:sz w:val="19"/>
        </w:rPr>
        <w:t>Our total liability is capped at the total fees paid in the 12 months preceding any claim. We are not liable for indirect or consequential damages.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مسؤوليتنا محدودة بإجمالي الرسوم المدفوعة في الـ 12 شهرًا السابقة. لسنا مسؤولين عن أضرار غير مباشرة.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8. Termination</w:t>
      </w:r>
    </w:p>
    <w:p>
      <w:pPr>
        <w:spacing w:after="40" w:line="276" w:lineRule="auto"/>
      </w:pPr>
      <w:r>
        <w:rPr>
          <w:b w:val="0"/>
          <w:i w:val="0"/>
          <w:color w:val="3D3B3B"/>
          <w:sz w:val="19"/>
        </w:rPr>
        <w:t>Either party may terminate for material breach with 15 days' written notice. Early termination before the minimum term ends requires payment of the remaining balance.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لأي طرف إنهاء العقد للإخلال الجوهري بإخطار كتابي مدته 15 يومًا. الإنهاء المبكر يستدعي سداد الرصيد المتبقي.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9. Governing Law &amp; Disputes</w:t>
      </w:r>
    </w:p>
    <w:p>
      <w:pPr>
        <w:spacing w:after="40" w:line="276" w:lineRule="auto"/>
      </w:pPr>
      <w:r>
        <w:rPr>
          <w:b w:val="0"/>
          <w:i w:val="0"/>
          <w:color w:val="3D3B3B"/>
          <w:sz w:val="19"/>
        </w:rPr>
        <w:t>This agreement is governed by the laws of {GOVERNING_LAW}. Disputes are resolved through amicable negotiation, then mediation, then binding arbitration if needed.</w:t>
      </w:r>
    </w:p>
    <w:p>
      <w:pPr>
        <w:spacing w:after="80" w:line="276" w:lineRule="auto"/>
      </w:pPr>
      <w:r>
        <w:rPr>
          <w:b w:val="0"/>
          <w:i/>
          <w:color w:val="838081"/>
          <w:sz w:val="18"/>
        </w:rPr>
        <w:t>يخضع هذا الاتفاق لقوانين {GOVERNING_LAW_AR}. تُحل النزاعات بالتفاوض ثم الوساطة ثم التحكيم الملزم إذا لزم الأمر.</w:t>
      </w:r>
    </w:p>
    <w:p>
      <w:pPr>
        <w:spacing w:before="320" w:after="120"/>
      </w:pPr>
      <w:r>
        <w:rPr>
          <w:rFonts w:ascii="Calibri Light" w:hAnsi="Calibri Light"/>
          <w:b/>
          <w:color w:val="142444"/>
          <w:sz w:val="26"/>
        </w:rPr>
        <w:t>9.  ACCEPTANCE &amp; SIGNATURE</w:t>
      </w:r>
      <w:r>
        <w:rPr>
          <w:i/>
          <w:color w:val="838081"/>
          <w:sz w:val="18"/>
        </w:rPr>
        <w:br/>
        <w:t>القبول والتوقيع</w:t>
      </w:r>
    </w:p>
    <w:p>
      <w:pPr>
        <w:spacing w:before="80" w:after="80"/>
        <w:pBdr>
          <w:bottom w:val="single" w:sz="8" w:space="1" w:color="FCB900"/>
        </w:pBdr>
      </w:pPr>
    </w:p>
    <w:p>
      <w:pPr>
        <w:spacing w:after="160"/>
      </w:pPr>
      <w:r>
        <w:rPr>
          <w:color w:val="3D3B3B"/>
          <w:sz w:val="19"/>
        </w:rPr>
        <w:t>By signing below, both parties acknowledge and agree to the terms of this quotation. This quotation becomes a legally binding agreement upon signature by both parties.</w:t>
        <w:br/>
        <w:br/>
        <w:t>بالتوقيع أدناه، يقر الطرفان ويوافقان على شروط عرض السعر هذا. يصبح عرض السعر هذا اتفاقًا ملزمًا قانونيًا عند توقيع الطرفين.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80"/>
            </w:pPr>
            <w:r>
              <w:rPr>
                <w:b/>
                <w:color w:val="FCB900"/>
                <w:sz w:val="20"/>
              </w:rPr>
              <w:t>CLIENT / العميل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Name / الاسم: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Title / المنصب: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Date / التاريخ: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Signature / التوقيع: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Company Stamp / ختم الشركة:</w:t>
            </w:r>
          </w:p>
        </w:tc>
        <w:tc>
          <w:tcPr>
            <w:tcW w:type="dxa" w:w="4536"/>
          </w:tcPr>
          <w:p>
            <w:pPr>
              <w:spacing w:after="80"/>
            </w:pPr>
            <w:r>
              <w:rPr>
                <w:b/>
                <w:color w:val="FCB900"/>
                <w:sz w:val="20"/>
              </w:rPr>
              <w:t>TDS GEO / المزود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Name / الاسم: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Title / المنصب: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Date / التاريخ: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Signature / التوقيع: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Company Stamp / ختم الشركة:</w:t>
            </w:r>
          </w:p>
        </w:tc>
      </w:tr>
    </w:tbl>
    <w:p/>
    <w:p>
      <w:pPr>
        <w:spacing w:before="80" w:after="80"/>
        <w:pBdr>
          <w:bottom w:val="single" w:sz="6" w:space="1" w:color="838081"/>
        </w:pBdr>
      </w:pPr>
    </w:p>
    <w:p>
      <w:pPr>
        <w:spacing w:before="120"/>
        <w:jc w:val="center"/>
      </w:pPr>
      <w:r>
        <w:rPr>
          <w:color w:val="838081"/>
          <w:sz w:val="14"/>
        </w:rPr>
        <w:t>TDS GEO  •  hello@tdsgeo.com  •  tdsgeo.com  •  Commercial Reg: XXXXX  •  Tax ID: XXXXX</w:t>
        <w:br/>
      </w:r>
      <w:r>
        <w:rPr>
          <w:i/>
          <w:color w:val="838081"/>
          <w:sz w:val="14"/>
        </w:rPr>
        <w:t xml:space="preserve">This quotation is a legally binding offer valid for 30 days from the issue date. </w:t>
      </w:r>
      <w:r>
        <w:rPr>
          <w:color w:val="838081"/>
          <w:sz w:val="14"/>
        </w:rPr>
        <w:t>Quotation No: {NUMBER}  |  Page 1 of 1</w:t>
      </w:r>
    </w:p>
    <w:sectPr w:rsidR="00FC693F" w:rsidRPr="0006063C" w:rsidSect="00034616">
      <w:pgSz w:w="11906" w:h="16838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D3B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