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71414"/>
                <w:sz w:val="36"/>
              </w:rPr>
              <w:t>Traffic Digital Solutions</w:t>
            </w:r>
          </w:p>
        </w:tc>
        <w:tc>
          <w:tcPr>
            <w:tcW w:type="dxa" w:w="6520"/>
          </w:tcPr>
          <w:p>
            <w:pPr>
              <w:jc w:val="right"/>
            </w:pPr>
            <w:r>
              <w:rPr>
                <w:color w:val="838081"/>
                <w:sz w:val="18"/>
              </w:rPr>
              <w:t>Odoo Implementation Partner</w:t>
              <w:br/>
            </w:r>
            <w:r>
              <w:rPr>
                <w:color w:val="838081"/>
                <w:sz w:val="16"/>
              </w:rPr>
              <w:t>Villa 125, Axis 80, 5th Settlement, Cairo, Egypt</w:t>
              <w:br/>
            </w:r>
            <w:r>
              <w:rPr>
                <w:color w:val="838081"/>
                <w:sz w:val="16"/>
              </w:rPr>
              <w:t>webdevelopment@trafficdigitalsolutions.com  |  trafficdigitalsolutions.com</w:t>
            </w:r>
          </w:p>
        </w:tc>
      </w:tr>
    </w:tbl>
    <w:p>
      <w:pPr>
        <w:spacing w:before="40" w:after="40"/>
        <w:pBdr>
          <w:bottom w:val="single" w:sz="20" w:space="1" w:color="FCB900"/>
        </w:pBdr>
      </w:pPr>
    </w:p>
    <w:p>
      <w:pPr>
        <w:spacing w:before="360" w:after="40"/>
        <w:jc w:val="center"/>
      </w:pPr>
      <w:r>
        <w:rPr>
          <w:rFonts w:ascii="Calibri Light" w:hAnsi="Calibri Light"/>
          <w:b/>
          <w:color w:val="171414"/>
          <w:sz w:val="52"/>
        </w:rPr>
        <w:t>ODEO IMPLEMENTATION QUOTATION</w:t>
      </w:r>
    </w:p>
    <w:p>
      <w:pPr>
        <w:spacing w:after="120"/>
        <w:jc w:val="center"/>
      </w:pPr>
      <w:r>
        <w:rPr>
          <w:color w:val="838081"/>
          <w:sz w:val="18"/>
        </w:rPr>
        <w:t>Quotation No: {NUMBER}     |     Issued: {ISSUE_DATE}     |     Valid Until: {VALID_UNTIL}</w:t>
      </w:r>
    </w:p>
    <w:p>
      <w:pPr>
        <w:spacing w:before="40" w:after="40"/>
        <w:pBdr>
          <w:bottom w:val="single" w:sz="12" w:space="1" w:color="FCB900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PREPARED FOR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{CLIENT_ADDRESS}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{CLIENT_EMAIL}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{CLIENT_PHONE}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PROJECT DETAILS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Project: {PROJECT_NAME}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Odoo Edition: {ODOO_EDITION}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Users: {USER_COUNT}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Start Date: {START_DATE}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Duration: {DURATION}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PAYMENT &amp; CURRENCY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Currency: {CURRENCY}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Payment Terms: {PAYMENT_TERMS}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Tax: {TAX_TREATMENT}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DELIVERY METHOD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Format: Cloud / On-Premise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Location: On-site / Remote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Handover: {HANDOVER_METHOD}</w:t>
            </w:r>
          </w:p>
        </w:tc>
      </w:tr>
    </w:tbl>
    <w:p>
      <w:pPr>
        <w:spacing w:before="40" w:after="40"/>
        <w:pBdr>
          <w:bottom w:val="single" w:sz="10" w:space="1" w:color="FCB900"/>
        </w:pBdr>
      </w:pP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1.  EXECUTIVE SUMMARY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{EXECUTIVE_SUMMARY}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2.  SCOPE OF WORK — ODOO MODULES &amp; SERVICES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We will implement, configure, and deploy the following Odoo modules and services for your organization: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Odoo Installation &amp; Server Setup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Sales &amp; CRM Module — Configuration &amp; Customization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Accounting &amp; Invoicing — Chart of Accounts, Tax Rules, Reports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Inventory &amp; Warehouse Management — Stock Locations, Transfers, Valuation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Purchasing &amp; Vendor Management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Human Resources — Employee Records, Contracts, Leaves, Payroll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Manufacturing / Bill of Materials (if applicable)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Website &amp; E-commerce Module — Storefront Setup &amp; Theme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Email Marketing &amp; Campaign Automation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Project Management &amp; Timesheets</w:t>
      </w:r>
    </w:p>
    <w:p/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Additional Services Included: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System Configuration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Odoo Online / On-Premise setup, user roles, security groups, email server configuration, and localized settings.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Data Migration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Secure import of master data (customers, vendors, products, chart of accounts, open invoices, inventory balances) from your existing system. Includes data cleansing and validation.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Customization &amp; Development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Custom fields, views, reports, and workflows tailored to your business processes. Any custom module development as specified in the requirements.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User Training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Hands-on training sessions for your team — up to {TRAINING_SESSIONS} group sessions covering all deployed modules.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Testing &amp; Quality Assurance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Module integration testing, user acceptance testing (UAT) support, and bug fixing during the implementation phase.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Go-Live Support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Dedicated support during the first {GO_LIVE_SUPPORT_DAYS} business days after go-live to ensure smooth operations.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3.  EXCLUSIONS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The following are explicitly not included unless separately agreed in writing: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Odoo Online subscription fees or Odoo Enterprise license costs (paid directly to Odoo S.A.)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Third-party Odoo apps or modules purchased from the Odoo App Store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Website content creation (copywriting, photography, video)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Custom mobile app development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Ongoing support and maintenance beyond the warranty period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Hardware, hosting infrastructure, or IT equipment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Graphic design or branding outside of Odoo website theme customization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4.  IMPLEMENTATION METHODOLOGY &amp; TIMELINE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before="120" w:after="40"/>
      </w:pPr>
      <w:r>
        <w:rPr>
          <w:b/>
          <w:color w:val="142444"/>
          <w:sz w:val="20"/>
        </w:rPr>
        <w:t xml:space="preserve">  Phase 1 — Discovery &amp; Requirements</w:t>
      </w:r>
      <w:r>
        <w:rPr>
          <w:b/>
          <w:color w:val="FCB900"/>
          <w:sz w:val="18"/>
        </w:rPr>
        <w:t xml:space="preserve">  —  Week 1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Business process analysis, requirements gathering, module selection finalization, and project plan approval.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2 — System Configuration</w:t>
      </w:r>
      <w:r>
        <w:rPr>
          <w:b/>
          <w:color w:val="FCB900"/>
          <w:sz w:val="18"/>
        </w:rPr>
        <w:t xml:space="preserve">  —  Weeks 2-3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Server setup, Odoo installation, module configuration, chart of accounts setup, email and workflow configuration.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3 — Data Migration</w:t>
      </w:r>
      <w:r>
        <w:rPr>
          <w:b/>
          <w:color w:val="FCB900"/>
          <w:sz w:val="18"/>
        </w:rPr>
        <w:t xml:space="preserve">  —  Weeks 3-4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Data extraction, cleansing, transformation, and import. Reconciliation and validation with your team.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4 — Customization &amp; Development</w:t>
      </w:r>
      <w:r>
        <w:rPr>
          <w:b/>
          <w:color w:val="FCB900"/>
          <w:sz w:val="18"/>
        </w:rPr>
        <w:t xml:space="preserve">  —  Weeks 4-6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Custom fields, views, reports, workflows, and any required module development. Iterative review cycles.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5 — Testing &amp; Training</w:t>
      </w:r>
      <w:r>
        <w:rPr>
          <w:b/>
          <w:color w:val="FCB900"/>
          <w:sz w:val="18"/>
        </w:rPr>
        <w:t xml:space="preserve">  —  Weeks 6-7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Integration testing, UAT, bug fixing, and user training sessions. Acceptance sign-off.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6 — Go-Live &amp; Hypercare</w:t>
      </w:r>
      <w:r>
        <w:rPr>
          <w:b/>
          <w:color w:val="FCB900"/>
          <w:sz w:val="18"/>
        </w:rPr>
        <w:t xml:space="preserve">  —  Week 8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Production deployment, go-live support, and hypercare period with dedicated assistance.</w:t>
      </w:r>
    </w:p>
    <w:p>
      <w:pPr>
        <w:spacing w:after="120" w:line="276" w:lineRule="auto"/>
      </w:pPr>
      <w:r>
        <w:rPr>
          <w:b w:val="0"/>
          <w:i/>
          <w:color w:val="3D3B3B"/>
          <w:sz w:val="19"/>
        </w:rPr>
        <w:t>Total estimated duration: {DURATION} from project kickoff. Timeline is based on timely client feedback and data availability.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5.  CLIENT RESPONSIBILITIES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To ensure successful delivery, you agree to: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Appoint a project manager and key stakeholders for each department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Provide timely access to existing data, templates, and business documentation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Make decisions on configuration and customization within agreed timelines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Provide test users and participate in UAT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Ensure availability for training sessions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Provide Odoo Online / Enterprise license credentials in a timely manner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Approve milestones and sign off on deliverables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6.  INVESTMENT &amp; PRICING</w:t>
      </w:r>
    </w:p>
    <w:p>
      <w:pPr>
        <w:spacing w:before="40" w:after="40"/>
        <w:pBdr>
          <w:bottom w:val="single" w:sz="8" w:space="1" w:color="FCB9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819"/>
            <w:shd w:fill="171414"/>
          </w:tcPr>
          <w:p>
            <w:pPr>
              <w:spacing w:before="40" w:after="40"/>
              <w:jc w:val="left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113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QTY</w:t>
            </w:r>
          </w:p>
        </w:tc>
        <w:tc>
          <w:tcPr>
            <w:tcW w:type="dxa" w:w="1701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UNIT PRICE</w:t>
            </w:r>
          </w:p>
        </w:tc>
        <w:tc>
          <w:tcPr>
            <w:tcW w:type="dxa" w:w="198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Odoo Installation &amp; Server Setup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{SETUP_PRICE}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{SETUP_TOTAL}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2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Core Modules Configuration ({NUM_MODULES} modules)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{MODULE_QTY}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{MODULE_UNIT_PRICE}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{MODULE_TOTAL}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3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Data Migration Services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{MIG_HOURS} hrs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{MIG_RATE}/hr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{MIG_TOTAL}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4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Customization &amp; Development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{DEV_HOURS} hrs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{DEV_RATE}/hr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{DEV_TOTAL}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5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User Training ({TRAINING_SESSIONS} sessions)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{TRAINING_QTY}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{TRAINING_UNIT_PRICE}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{TRAINING_TOTAL}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6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Project Management &amp; Coordination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{PM_HOURS} hrs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{PM_RATE}/hr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{PM_TOTAL}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Subtotal</w:t>
            </w:r>
          </w:p>
        </w:tc>
        <w:tc>
          <w:tcPr>
            <w:tcW w:type="dxa" w:w="1814"/>
          </w:tcPr>
          <w:p>
            <w:pPr>
              <w:spacing w:before="40" w:after="40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{SUBTOTAL}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Discount ({DISCOUNT_PCT}%)</w:t>
            </w:r>
          </w:p>
        </w:tc>
        <w:tc>
          <w:tcPr>
            <w:tcW w:type="dxa" w:w="1814"/>
          </w:tcPr>
          <w:p>
            <w:pPr>
              <w:spacing w:before="40" w:after="40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({DISCOUNT_AMOUNT})</w:t>
            </w:r>
          </w:p>
        </w:tc>
      </w:tr>
      <w:tr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  <w:shd w:fill="171414"/>
          </w:tcPr>
          <w:p>
            <w:pPr>
              <w:spacing w:before="120" w:after="80"/>
              <w:jc w:val="right"/>
            </w:pPr>
            <w:r>
              <w:rPr>
                <w:b/>
                <w:color w:val="FFFFFF"/>
                <w:sz w:val="20"/>
              </w:rPr>
              <w:t>TOTAL DUE</w:t>
            </w:r>
          </w:p>
        </w:tc>
        <w:tc>
          <w:tcPr>
            <w:tcW w:type="dxa" w:w="1814"/>
          </w:tcPr>
          <w:p>
            <w:pPr>
              <w:spacing w:before="120" w:after="80"/>
            </w:pPr>
            <w:r>
              <w:rPr>
                <w:color w:val="838081"/>
                <w:sz w:val="18"/>
              </w:rPr>
              <w:t>{CURRENCY}</w:t>
            </w:r>
          </w:p>
        </w:tc>
        <w:tc>
          <w:tcPr>
            <w:tcW w:type="dxa" w:w="1814"/>
            <w:shd w:fill="FCB900"/>
          </w:tcPr>
          <w:p>
            <w:pPr>
              <w:spacing w:before="120" w:after="80"/>
              <w:jc w:val="right"/>
            </w:pPr>
            <w:r>
              <w:rPr>
                <w:b/>
                <w:color w:val="171414"/>
                <w:sz w:val="26"/>
              </w:rPr>
              <w:t>{GRAND_TOTAL}</w:t>
            </w:r>
          </w:p>
        </w:tc>
      </w:tr>
    </w:tbl>
    <w:p/>
    <w:p>
      <w:pPr>
        <w:spacing w:after="40"/>
      </w:pPr>
      <w:r>
        <w:rPr>
          <w:b/>
          <w:color w:val="142444"/>
          <w:sz w:val="20"/>
        </w:rPr>
        <w:t>Post-Implementation Support &amp; Maintenance</w:t>
      </w:r>
    </w:p>
    <w:p>
      <w:pPr>
        <w:spacing w:after="40"/>
        <w:ind w:left="283"/>
      </w:pPr>
      <w:r>
        <w:rPr>
          <w:b/>
          <w:color w:val="142444"/>
          <w:sz w:val="19"/>
        </w:rPr>
        <w:t xml:space="preserve">  Bronze — Basic Support:  </w:t>
      </w:r>
      <w:r>
        <w:rPr>
          <w:color w:val="3D3B3B"/>
          <w:sz w:val="19"/>
        </w:rPr>
        <w:t>{BRONZE_SUPPORT_PRICE}/month — Email support, bug fixes, 48h response time.</w:t>
      </w:r>
    </w:p>
    <w:p>
      <w:pPr>
        <w:spacing w:after="40"/>
        <w:ind w:left="283"/>
      </w:pPr>
      <w:r>
        <w:rPr>
          <w:b/>
          <w:color w:val="142444"/>
          <w:sz w:val="19"/>
        </w:rPr>
        <w:t xml:space="preserve">  Silver — Standard Support:  </w:t>
      </w:r>
      <w:r>
        <w:rPr>
          <w:color w:val="3D3B3B"/>
          <w:sz w:val="19"/>
        </w:rPr>
        <w:t>{SILVER_SUPPORT_PRICE}/month — Email + phone support, bug fixes, minor changes, 24h response.</w:t>
      </w:r>
    </w:p>
    <w:p>
      <w:pPr>
        <w:spacing w:after="40"/>
        <w:ind w:left="283"/>
      </w:pPr>
      <w:r>
        <w:rPr>
          <w:b/>
          <w:color w:val="142444"/>
          <w:sz w:val="19"/>
        </w:rPr>
        <w:t xml:space="preserve">  Gold — Premium Support:  </w:t>
      </w:r>
      <w:r>
        <w:rPr>
          <w:color w:val="3D3B3B"/>
          <w:sz w:val="19"/>
        </w:rPr>
        <w:t>{GOLD_SUPPORT_PRICE}/month — All Silver + dedicated account manager, 8h response, quarterly business reviews.</w:t>
      </w:r>
    </w:p>
    <w:p>
      <w:pPr>
        <w:spacing w:after="120" w:line="276" w:lineRule="auto"/>
      </w:pPr>
      <w:r>
        <w:rPr>
          <w:b w:val="0"/>
          <w:i/>
          <w:color w:val="838081"/>
          <w:sz w:val="16"/>
        </w:rPr>
        <w:t>VAT (14%) will be added where applicable. All prices in {CURRENCY}.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7.  PAYMENT SCHEDULE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40"/>
      </w:pPr>
      <w:r>
        <w:rPr>
          <w:b/>
          <w:color w:val="142444"/>
          <w:sz w:val="20"/>
        </w:rPr>
        <w:t xml:space="preserve">  Milestone-Based (Recommended)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30% upon signing  |  30% upon UAT sign-off  |  30% upon go-live  |  10% upon 30-day post-go-live review</w:t>
      </w:r>
    </w:p>
    <w:p>
      <w:pPr>
        <w:spacing w:after="40"/>
      </w:pPr>
      <w:r>
        <w:rPr>
          <w:b/>
          <w:color w:val="142444"/>
          <w:sz w:val="20"/>
        </w:rPr>
        <w:t xml:space="preserve">  50/50 Split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50% upon signing, 50% upon successful go-live.</w:t>
      </w:r>
    </w:p>
    <w:p>
      <w:pPr>
        <w:spacing w:after="40"/>
      </w:pPr>
      <w:r>
        <w:rPr>
          <w:b/>
          <w:color w:val="142444"/>
          <w:sz w:val="20"/>
        </w:rPr>
        <w:t xml:space="preserve">  Monthly Installments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Equal monthly payments over the implementation period.</w:t>
      </w:r>
    </w:p>
    <w:p>
      <w:pPr>
        <w:spacing w:after="40"/>
      </w:pPr>
      <w:r>
        <w:rPr>
          <w:b/>
          <w:color w:val="142444"/>
          <w:sz w:val="20"/>
        </w:rPr>
        <w:t xml:space="preserve">  Net 30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within 30 days of final invoice.</w:t>
      </w:r>
    </w:p>
    <w:p>
      <w:pPr>
        <w:spacing w:after="40"/>
      </w:pPr>
      <w:r>
        <w:rPr>
          <w:b/>
          <w:color w:val="142444"/>
          <w:sz w:val="20"/>
        </w:rPr>
        <w:t xml:space="preserve">  Full Upfront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upon signing. Includes a 5% discount on the total project value.</w:t>
      </w:r>
    </w:p>
    <w:p>
      <w:pPr>
        <w:spacing w:after="120" w:line="276" w:lineRule="auto"/>
      </w:pPr>
      <w:r>
        <w:rPr>
          <w:b/>
          <w:i w:val="0"/>
          <w:color w:val="171414"/>
          <w:sz w:val="20"/>
        </w:rPr>
        <w:t>Selected Payment Terms: {SELECTED_PAYMENT_TERMS}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8.  TERMS &amp; CONDITIONS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before="100" w:after="40"/>
      </w:pPr>
      <w:r>
        <w:rPr>
          <w:b/>
          <w:color w:val="142444"/>
          <w:sz w:val="20"/>
        </w:rPr>
        <w:t xml:space="preserve">  1. Project Scope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The scope of work is defined in Section 2 above. Any additional work outside this scope will be billed separately at our standard hourly rate of {ADDITIONAL_WORK_RATE}/hour upon your written approval.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2. Payment Terms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Invoices are due according to the selected payment schedule. Late payments incur 2% monthly interest on overdue amounts. Work may be suspended if payment is more than 15 days past due.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3. Change Orders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Any changes to the agreed scope must be submitted via a formal change order and approved in writing by both parties. Work on change orders begins only after approval.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4. Intellectual Property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Upon full payment, you own all custom-developed code, configurations, and reports created specifically for this project. We retain ownership of our pre-existing methodologies, tools, and frameworks.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5. Confidentiality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All business information shared during this engagement is strictly confidential. We will sign an NDA if required.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6. Data Protection &amp; Security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We follow industry-standard security practices including encrypted data transfer, access controls, and secure handling of your business data in compliance with applicable data protection regulations.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7. Warranty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We warrant that all work will conform to the agreed specifications. Any defects reported within 30 days of go-live will be corrected at no additional charge.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8. Limitation of Liability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Our total liability is capped at the total fees paid under this quotation. We are not liable for indirect, incidental, or consequential damages, including loss of data or business interruption.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9. Termination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Either party may terminate for material breach with 15 days' written notice. In the event of termination, you will pay for all work completed up to the termination date.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10. Governing Law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This agreement is governed by {GOVERNING_LAW}. Both parties will first attempt to resolve disputes through good-faith negotiation.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9.  ACCEPTANCE &amp; SIGNATURE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200" w:line="276" w:lineRule="auto"/>
      </w:pPr>
      <w:r>
        <w:rPr>
          <w:b w:val="0"/>
          <w:i w:val="0"/>
          <w:color w:val="3D3B3B"/>
          <w:sz w:val="19"/>
        </w:rPr>
        <w:t>By signing below, both parties acknowledge and agree to the terms of this quotation. This quotation becomes a legally binding agreement upon signature by both parties and is valid for 30 days from the issue date.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CLIENT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Stamp:</w:t>
            </w:r>
          </w:p>
        </w:tc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TRAFFIC DIGITAL SOLUTIONS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Stamp:</w:t>
            </w:r>
          </w:p>
        </w:tc>
      </w:tr>
    </w:tbl>
    <w:p/>
    <w:p>
      <w:pPr>
        <w:spacing w:before="40" w:after="40"/>
        <w:pBdr>
          <w:bottom w:val="single" w:sz="6" w:space="1" w:color="838081"/>
        </w:pBdr>
      </w:pPr>
    </w:p>
    <w:p>
      <w:pPr>
        <w:spacing w:before="120"/>
        <w:jc w:val="center"/>
      </w:pPr>
      <w:r>
        <w:rPr>
          <w:color w:val="838081"/>
          <w:sz w:val="14"/>
        </w:rPr>
        <w:t>Traffic Digital Solutions  •  Villa 125, Axis 80, 5th Settlement, Cairo, Egypt</w:t>
        <w:br/>
      </w:r>
      <w:r>
        <w:rPr>
          <w:color w:val="838081"/>
          <w:sz w:val="14"/>
        </w:rPr>
        <w:t>webdevelopment@trafficdigitalsolutions.com  •  trafficdigitalsolutions.com  •  +201271112396</w:t>
        <w:br/>
      </w:r>
      <w:r>
        <w:rPr>
          <w:i/>
          <w:color w:val="838081"/>
          <w:sz w:val="14"/>
        </w:rPr>
        <w:t>Commercial Registration: XXXXX  |  Tax ID: XXXXX  |  Quotation No: {NUMBER}</w:t>
      </w:r>
    </w:p>
    <w:sectPr w:rsidR="00FC693F" w:rsidRPr="0006063C" w:rsidSect="00034616">
      <w:pgSz w:w="11906" w:h="16838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D3B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