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right"/>
        <w:bidi w:val="1"/>
      </w:pPr>
      <w:r>
        <w:rPr>
          <w:rFonts w:ascii="Noto Naskh Arabic" w:hAnsi="Noto Naskh Arabic" w:eastAsia="Noto Naskh Arabic" w:cs="Noto Naskh Arabic"/>
          <w:b w:val="0"/>
          <w:color w:val="263A31"/>
          <w:sz w:val="22"/>
          <w:szCs w:val="22"/>
          <w:bCs w:val="0"/>
          <w:rtl w:val="1"/>
          <w:lang w:bidi="ar-SY"/>
        </w:rPr>
      </w:r>
    </w:p>
    <w:p>
      <w:pPr>
        <w:spacing w:after="180"/>
        <w:jc w:val="right"/>
        <w:bidi w:val="1"/>
      </w:pPr>
      <w:r>
        <w:rPr>
          <w:rFonts w:ascii="Noto Naskh Arabic" w:hAnsi="Noto Naskh Arabic" w:eastAsia="Noto Naskh Arabic" w:cs="Noto Naskh Arabic"/>
          <w:b w:val="0"/>
          <w:color w:val="263A31"/>
          <w:sz w:val="22"/>
          <w:szCs w:val="22"/>
          <w:bCs w:val="0"/>
          <w:rtl w:val="1"/>
          <w:lang w:bidi="ar-SY"/>
        </w:rPr>
      </w:r>
    </w:p>
    <w:tbl>
      <w:tblPr>
        <w:tblW w:type="auto" w:w="0"/>
        <w:tblLayout w:type="fixed"/>
        <w:tblLook w:firstColumn="1" w:firstRow="1" w:lastColumn="0" w:lastRow="0" w:noHBand="0" w:noVBand="1" w:val="04A0"/>
      </w:tblPr>
      <w:tblGrid>
        <w:gridCol w:w="7200"/>
        <w:gridCol w:w="2448"/>
      </w:tblGrid>
      <w:tr>
        <w:tc>
          <w:tcPr>
            <w:tcW w:type="dxa" w:w="4824"/>
            <w:shd w:fill="123E32"/>
            <w:tcMar>
              <w:top w:w="20" w:type="dxa"/>
              <w:start w:w="30" w:type="dxa"/>
              <w:bottom w:w="20" w:type="dxa"/>
              <w:end w:w="30" w:type="dxa"/>
            </w:tcMar>
          </w:tcPr>
          <w:p>
            <w:pPr>
              <w:spacing w:after="0"/>
            </w:pPr>
            <w:r>
              <w:rPr>
                <w:rFonts w:ascii="Noto Naskh Arabic" w:hAnsi="Noto Naskh Arabic" w:eastAsia="Noto Naskh Arabic" w:cs="Noto Naskh Arabic"/>
                <w:b w:val="0"/>
                <w:color w:val="FFFFFF"/>
                <w:sz w:val="4"/>
                <w:szCs w:val="4"/>
                <w:bCs w:val="0"/>
                <w:rtl w:val="1"/>
                <w:lang w:bidi="ar-SY"/>
              </w:rPr>
              <w:t xml:space="preserve">  </w:t>
            </w:r>
          </w:p>
        </w:tc>
        <w:tc>
          <w:tcPr>
            <w:tcW w:type="dxa" w:w="4824"/>
            <w:shd w:fill="986E0B"/>
            <w:tcMar>
              <w:top w:w="20" w:type="dxa"/>
              <w:start w:w="30" w:type="dxa"/>
              <w:bottom w:w="20" w:type="dxa"/>
              <w:end w:w="30" w:type="dxa"/>
            </w:tcMar>
          </w:tcPr>
          <w:p>
            <w:pPr>
              <w:spacing w:after="0"/>
            </w:pPr>
            <w:r>
              <w:rPr>
                <w:rFonts w:ascii="Noto Naskh Arabic" w:hAnsi="Noto Naskh Arabic" w:eastAsia="Noto Naskh Arabic" w:cs="Noto Naskh Arabic"/>
                <w:b w:val="0"/>
                <w:color w:val="FFFFFF"/>
                <w:sz w:val="4"/>
                <w:szCs w:val="4"/>
                <w:bCs w:val="0"/>
                <w:rtl w:val="1"/>
                <w:lang w:bidi="ar-SY"/>
              </w:rPr>
              <w:t xml:space="preserve">  </w:t>
            </w:r>
          </w:p>
        </w:tc>
      </w:tr>
    </w:tbl>
    <w:p>
      <w:pPr>
        <w:spacing w:after="340"/>
        <w:jc w:val="right"/>
        <w:bidi w:val="1"/>
      </w:pPr>
      <w:r>
        <w:rPr>
          <w:rFonts w:ascii="Noto Naskh Arabic" w:hAnsi="Noto Naskh Arabic" w:eastAsia="Noto Naskh Arabic" w:cs="Noto Naskh Arabic"/>
          <w:b w:val="0"/>
          <w:color w:val="263A31"/>
          <w:sz w:val="22"/>
          <w:szCs w:val="22"/>
          <w:bCs w:val="0"/>
          <w:rtl w:val="1"/>
          <w:lang w:bidi="ar-SY"/>
        </w:rPr>
      </w:r>
    </w:p>
    <w:p>
      <w:pPr>
        <w:spacing w:after="280"/>
        <w:jc w:val="right"/>
        <w:bidi w:val="1"/>
      </w:pPr>
      <w:r>
        <w:rPr>
          <w:rFonts w:ascii="Noto Kufi Arabic" w:hAnsi="Noto Kufi Arabic" w:eastAsia="Noto Kufi Arabic" w:cs="Noto Kufi Arabic"/>
          <w:b/>
          <w:color w:val="986E0B"/>
          <w:sz w:val="20"/>
          <w:szCs w:val="21"/>
          <w:bCs w:val="1"/>
          <w:rtl w:val="1"/>
          <w:lang w:bidi="ar-SY"/>
        </w:rPr>
        <w:t>وثيقة تأسيس استراتيجية  |  الإصدار 3.0</w:t>
      </w:r>
    </w:p>
    <w:p>
      <w:pPr>
        <w:spacing w:after="80"/>
        <w:jc w:val="right"/>
        <w:bidi w:val="1"/>
      </w:pPr>
      <w:r>
        <w:rPr>
          <w:rFonts w:ascii="Noto Kufi Arabic" w:hAnsi="Noto Kufi Arabic" w:eastAsia="Noto Kufi Arabic" w:cs="Noto Kufi Arabic"/>
          <w:b/>
          <w:color w:val="123E32"/>
          <w:sz w:val="68"/>
          <w:szCs w:val="68"/>
          <w:bCs w:val="1"/>
          <w:rtl w:val="1"/>
          <w:lang w:bidi="ar-SY"/>
        </w:rPr>
        <w:t>مركز دراسات</w:t>
      </w:r>
    </w:p>
    <w:p>
      <w:pPr>
        <w:spacing w:after="180"/>
        <w:jc w:val="right"/>
        <w:bidi w:val="1"/>
      </w:pPr>
      <w:r>
        <w:rPr>
          <w:rFonts w:ascii="Noto Kufi Arabic" w:hAnsi="Noto Kufi Arabic" w:eastAsia="Noto Kufi Arabic" w:cs="Noto Kufi Arabic"/>
          <w:b/>
          <w:color w:val="123E32"/>
          <w:sz w:val="54"/>
          <w:szCs w:val="54"/>
          <w:bCs w:val="1"/>
          <w:rtl w:val="1"/>
          <w:lang w:bidi="ar-SY"/>
        </w:rPr>
        <w:t>وأبحاث الأيتام</w:t>
      </w:r>
    </w:p>
    <w:p>
      <w:pPr>
        <w:spacing w:after="380"/>
        <w:jc w:val="right"/>
        <w:bidi w:val="1"/>
      </w:pPr>
      <w:r>
        <w:rPr>
          <w:rFonts w:ascii="Noto Kufi Arabic" w:hAnsi="Noto Kufi Arabic" w:eastAsia="Noto Kufi Arabic" w:cs="Noto Kufi Arabic"/>
          <w:b w:val="0"/>
          <w:color w:val="986E0B"/>
          <w:sz w:val="24"/>
          <w:szCs w:val="24"/>
          <w:bCs w:val="0"/>
          <w:rtl w:val="1"/>
          <w:lang w:bidi="ar-SY"/>
        </w:rPr>
        <w:t>العلم في خدمة الكرامة والتمكين والمستقبل</w:t>
      </w:r>
    </w:p>
    <w:tbl>
      <w:tblPr>
        <w:tblW w:type="auto" w:w="0"/>
        <w:tblLayout w:type="fixed"/>
        <w:tblLook w:firstColumn="1" w:firstRow="1" w:lastColumn="0" w:lastRow="0" w:noHBand="0" w:noVBand="1" w:val="04A0"/>
      </w:tblPr>
      <w:tblGrid>
        <w:gridCol w:w="3216"/>
        <w:gridCol w:w="3216"/>
        <w:gridCol w:w="3216"/>
      </w:tblGrid>
      <w:tr>
        <w:tc>
          <w:tcPr>
            <w:tcW w:type="dxa" w:w="3216"/>
            <w:shd w:fill="EAF2E8"/>
            <w:tcMar>
              <w:top w:w="170" w:type="dxa"/>
              <w:start w:w="155" w:type="dxa"/>
              <w:bottom w:w="160" w:type="dxa"/>
              <w:end w:w="155" w:type="dxa"/>
            </w:tcMar>
          </w:tcPr>
          <w:p>
            <w:pPr>
              <w:jc w:val="right"/>
              <w:bidi w:val="1"/>
            </w:pPr>
            <w:r>
              <w:rPr>
                <w:rFonts w:ascii="Noto Kufi Arabic" w:hAnsi="Noto Kufi Arabic" w:eastAsia="Noto Kufi Arabic" w:cs="Noto Kufi Arabic"/>
                <w:b/>
                <w:color w:val="123E32"/>
                <w:sz w:val="24"/>
                <w:szCs w:val="24"/>
                <w:bCs w:val="1"/>
                <w:rtl w:val="1"/>
                <w:lang w:bidi="ar-SY"/>
              </w:rPr>
              <w:t>الأدلة</w:t>
            </w:r>
          </w:p>
          <w:p>
            <w:pPr>
              <w:jc w:val="right"/>
              <w:bidi w:val="1"/>
            </w:pPr>
            <w:r>
              <w:rPr>
                <w:rFonts w:ascii="Noto Naskh Arabic" w:hAnsi="Noto Naskh Arabic" w:eastAsia="Noto Naskh Arabic" w:cs="Noto Naskh Arabic"/>
                <w:b w:val="0"/>
                <w:color w:val="205947"/>
                <w:sz w:val="18"/>
                <w:szCs w:val="19"/>
                <w:bCs w:val="0"/>
                <w:rtl w:val="1"/>
                <w:lang w:bidi="ar-SY"/>
              </w:rPr>
              <w:t>بحوث وتقييمات</w:t>
            </w:r>
          </w:p>
        </w:tc>
        <w:tc>
          <w:tcPr>
            <w:tcW w:type="dxa" w:w="3216"/>
            <w:shd w:fill="FBF5E4"/>
            <w:tcMar>
              <w:top w:w="170" w:type="dxa"/>
              <w:start w:w="155" w:type="dxa"/>
              <w:bottom w:w="160" w:type="dxa"/>
              <w:end w:w="155" w:type="dxa"/>
            </w:tcMar>
          </w:tcPr>
          <w:p>
            <w:pPr>
              <w:jc w:val="right"/>
              <w:bidi w:val="1"/>
            </w:pPr>
            <w:r>
              <w:rPr>
                <w:rFonts w:ascii="Noto Kufi Arabic" w:hAnsi="Noto Kufi Arabic" w:eastAsia="Noto Kufi Arabic" w:cs="Noto Kufi Arabic"/>
                <w:b/>
                <w:color w:val="123E32"/>
                <w:sz w:val="24"/>
                <w:szCs w:val="24"/>
                <w:bCs w:val="1"/>
                <w:rtl w:val="1"/>
                <w:lang w:bidi="ar-SY"/>
              </w:rPr>
              <w:t>الذاكرة</w:t>
            </w:r>
          </w:p>
          <w:p>
            <w:pPr>
              <w:jc w:val="right"/>
              <w:bidi w:val="1"/>
            </w:pPr>
            <w:r>
              <w:rPr>
                <w:rFonts w:ascii="Noto Naskh Arabic" w:hAnsi="Noto Naskh Arabic" w:eastAsia="Noto Naskh Arabic" w:cs="Noto Naskh Arabic"/>
                <w:b w:val="0"/>
                <w:color w:val="205947"/>
                <w:sz w:val="18"/>
                <w:szCs w:val="19"/>
                <w:bCs w:val="0"/>
                <w:rtl w:val="1"/>
                <w:lang w:bidi="ar-SY"/>
              </w:rPr>
              <w:t>مكتبة وأرشيف</w:t>
            </w:r>
          </w:p>
        </w:tc>
        <w:tc>
          <w:tcPr>
            <w:tcW w:type="dxa" w:w="3216"/>
            <w:shd w:fill="EAF2E8"/>
            <w:tcMar>
              <w:top w:w="170" w:type="dxa"/>
              <w:start w:w="155" w:type="dxa"/>
              <w:bottom w:w="160" w:type="dxa"/>
              <w:end w:w="155" w:type="dxa"/>
            </w:tcMar>
          </w:tcPr>
          <w:p>
            <w:pPr>
              <w:jc w:val="right"/>
              <w:bidi w:val="1"/>
            </w:pPr>
            <w:r>
              <w:rPr>
                <w:rFonts w:ascii="Noto Kufi Arabic" w:hAnsi="Noto Kufi Arabic" w:eastAsia="Noto Kufi Arabic" w:cs="Noto Kufi Arabic"/>
                <w:b/>
                <w:color w:val="123E32"/>
                <w:sz w:val="24"/>
                <w:szCs w:val="24"/>
                <w:bCs w:val="1"/>
                <w:rtl w:val="1"/>
                <w:lang w:bidi="ar-SY"/>
              </w:rPr>
              <w:t>الأثر</w:t>
            </w:r>
          </w:p>
          <w:p>
            <w:pPr>
              <w:jc w:val="right"/>
              <w:bidi w:val="1"/>
            </w:pPr>
            <w:r>
              <w:rPr>
                <w:rFonts w:ascii="Noto Naskh Arabic" w:hAnsi="Noto Naskh Arabic" w:eastAsia="Noto Naskh Arabic" w:cs="Noto Naskh Arabic"/>
                <w:b w:val="0"/>
                <w:color w:val="205947"/>
                <w:sz w:val="18"/>
                <w:szCs w:val="19"/>
                <w:bCs w:val="0"/>
                <w:rtl w:val="1"/>
                <w:lang w:bidi="ar-SY"/>
              </w:rPr>
              <w:t>حماية وتمكين</w:t>
            </w:r>
          </w:p>
        </w:tc>
      </w:tr>
    </w:tbl>
    <w:p>
      <w:pPr>
        <w:spacing w:after="160"/>
        <w:jc w:val="right"/>
        <w:bidi w:val="1"/>
      </w:pPr>
      <w:r>
        <w:rPr>
          <w:rFonts w:ascii="Noto Naskh Arabic" w:hAnsi="Noto Naskh Arabic" w:eastAsia="Noto Naskh Arabic" w:cs="Noto Naskh Arabic"/>
          <w:b w:val="0"/>
          <w:color w:val="263A31"/>
          <w:sz w:val="22"/>
          <w:szCs w:val="22"/>
          <w:bCs w:val="0"/>
          <w:rtl w:val="1"/>
          <w:lang w:bidi="ar-SY"/>
        </w:rPr>
      </w:r>
    </w:p>
    <w:p>
      <w:pPr>
        <w:spacing w:after="160"/>
        <w:jc w:val="right"/>
        <w:bidi w:val="1"/>
      </w:pPr>
      <w:r>
        <w:rPr>
          <w:rFonts w:ascii="Noto Naskh Arabic" w:hAnsi="Noto Naskh Arabic" w:eastAsia="Noto Naskh Arabic" w:cs="Noto Naskh Arabic"/>
          <w:b w:val="0"/>
          <w:color w:val="263A31"/>
          <w:sz w:val="22"/>
          <w:szCs w:val="22"/>
          <w:bCs w:val="0"/>
          <w:rtl w:val="1"/>
          <w:lang w:bidi="ar-SY"/>
        </w:rPr>
      </w:r>
    </w:p>
    <w:p>
      <w:pPr>
        <w:spacing w:after="140"/>
        <w:jc w:val="right"/>
        <w:bidi w:val="1"/>
      </w:pPr>
      <w:r>
        <w:rPr>
          <w:rFonts w:ascii="Noto Kufi Arabic" w:hAnsi="Noto Kufi Arabic" w:eastAsia="Noto Kufi Arabic" w:cs="Noto Kufi Arabic"/>
          <w:b/>
          <w:color w:val="986E0B"/>
          <w:sz w:val="26"/>
          <w:szCs w:val="26"/>
          <w:bCs w:val="1"/>
          <w:rtl w:val="1"/>
          <w:lang w:bidi="ar-SY"/>
        </w:rPr>
        <w:t>المشروع المعرفي المؤسس: مكتبة محمد شندي الراوي</w:t>
      </w:r>
    </w:p>
    <w:p>
      <w:pPr>
        <w:spacing w:after="100"/>
        <w:jc w:val="right"/>
        <w:bidi w:val="1"/>
      </w:pPr>
      <w:r>
        <w:rPr>
          <w:rFonts w:ascii="Noto Naskh Arabic" w:hAnsi="Noto Naskh Arabic" w:eastAsia="Noto Naskh Arabic" w:cs="Noto Naskh Arabic"/>
          <w:b w:val="0"/>
          <w:color w:val="263A31"/>
          <w:sz w:val="23"/>
          <w:szCs w:val="24"/>
          <w:bCs w:val="0"/>
          <w:rtl w:val="1"/>
          <w:lang w:bidi="ar-SY"/>
        </w:rPr>
        <w:t>الشريك المؤسسي المقترح: جمعية الشام لرعاية وكفالة الأيتام</w:t>
      </w:r>
    </w:p>
    <w:p>
      <w:pPr>
        <w:spacing w:after="140"/>
        <w:jc w:val="right"/>
        <w:bidi w:val="1"/>
      </w:pPr>
      <w:r>
        <w:rPr>
          <w:rFonts w:ascii="Noto Naskh Arabic" w:hAnsi="Noto Naskh Arabic" w:eastAsia="Noto Naskh Arabic" w:cs="Noto Naskh Arabic"/>
          <w:b w:val="0"/>
          <w:color w:val="263A31"/>
          <w:sz w:val="22"/>
          <w:szCs w:val="22"/>
          <w:bCs w:val="0"/>
          <w:rtl w:val="1"/>
          <w:lang w:bidi="ar-SY"/>
        </w:rPr>
      </w:r>
    </w:p>
    <w:p>
      <w:pPr>
        <w:spacing w:after="140"/>
        <w:jc w:val="right"/>
        <w:bidi w:val="1"/>
      </w:pPr>
      <w:r>
        <w:rPr>
          <w:rFonts w:ascii="Noto Naskh Arabic" w:hAnsi="Noto Naskh Arabic" w:eastAsia="Noto Naskh Arabic" w:cs="Noto Naskh Arabic"/>
          <w:b w:val="0"/>
          <w:color w:val="263A31"/>
          <w:sz w:val="22"/>
          <w:szCs w:val="22"/>
          <w:bCs w:val="0"/>
          <w:rtl w:val="1"/>
          <w:lang w:bidi="ar-SY"/>
        </w:rPr>
      </w:r>
    </w:p>
    <w:p>
      <w:pPr>
        <w:spacing w:after="140"/>
        <w:jc w:val="right"/>
        <w:bidi w:val="1"/>
      </w:pPr>
      <w:r>
        <w:rPr>
          <w:rFonts w:ascii="Noto Naskh Arabic" w:hAnsi="Noto Naskh Arabic" w:eastAsia="Noto Naskh Arabic" w:cs="Noto Naskh Arabic"/>
          <w:b w:val="0"/>
          <w:color w:val="263A31"/>
          <w:sz w:val="22"/>
          <w:szCs w:val="22"/>
          <w:bCs w:val="0"/>
          <w:rtl w:val="1"/>
          <w:lang w:bidi="ar-SY"/>
        </w:rPr>
      </w:r>
    </w:p>
    <w:p>
      <w:pPr>
        <w:jc w:val="right"/>
        <w:bidi w:val="1"/>
      </w:pPr>
      <w:r>
        <w:rPr>
          <w:rFonts w:ascii="Noto Kufi Arabic" w:hAnsi="Noto Kufi Arabic" w:eastAsia="Noto Kufi Arabic" w:cs="Noto Kufi Arabic"/>
          <w:b w:val="0"/>
          <w:color w:val="637169"/>
          <w:sz w:val="19"/>
          <w:szCs w:val="19"/>
          <w:bCs w:val="0"/>
          <w:rtl w:val="1"/>
          <w:lang w:bidi="ar-SY"/>
        </w:rPr>
        <w:t>مقترح للتداول المهني والاعتماد المؤسسي بعد المراجعة</w:t>
      </w:r>
    </w:p>
    <w:p>
      <w:pPr>
        <w:pStyle w:val="Heading1"/>
        <w:jc w:val="right"/>
        <w:pageBreakBefore/>
        <w:bidi w:val="1"/>
        <w:pBdr>
          <w:bottom w:val="single" w:sz="11" w:color="986E0B" w:space="5"/>
        </w:pBdr>
      </w:pPr>
      <w:r>
        <w:rPr>
          <w:rFonts w:ascii="Noto Kufi Arabic" w:hAnsi="Noto Kufi Arabic" w:eastAsia="Noto Kufi Arabic" w:cs="Noto Kufi Arabic"/>
          <w:b/>
          <w:color w:val="123E32"/>
          <w:sz w:val="32"/>
          <w:szCs w:val="32"/>
          <w:bCs w:val="1"/>
          <w:rtl w:val="1"/>
          <w:lang w:bidi="ar-SY"/>
        </w:rPr>
        <w:t>01  |  دليل قراءة الوثيقة وخريطة القرار</w:t>
      </w:r>
    </w:p>
    <w:p>
      <w:pPr>
        <w:jc w:val="right"/>
        <w:bidi w:val="1"/>
      </w:pPr>
      <w:r>
        <w:rPr>
          <w:rFonts w:ascii="Noto Naskh Arabic" w:hAnsi="Noto Naskh Arabic" w:eastAsia="Noto Naskh Arabic" w:cs="Noto Naskh Arabic"/>
          <w:b w:val="0"/>
          <w:color w:val="263A31"/>
          <w:sz w:val="22"/>
          <w:szCs w:val="22"/>
          <w:bCs w:val="0"/>
          <w:rtl w:val="1"/>
          <w:lang w:bidi="ar-SY"/>
        </w:rPr>
        <w:t>هذه الدراسة قابلة للتداول أمام مجلس إدارة جمعية الشام، والمؤسسين، والشركاء الأكاديميين، والمانحين. وهي تقدم إطارًا تأسيسيًا وحلولًا تنفيذية تدريجية، ولا تُعد نظامًا داخليًا نافذًا أو تعهدًا قانونيًا أو ماليًا.</w:t>
      </w:r>
    </w:p>
    <w:tbl>
      <w:tblPr>
        <w:tblW w:type="auto" w:w="0"/>
        <w:jc w:val="center"/>
        <w:tblLayout w:type="fixed"/>
        <w:tblLook w:firstColumn="1" w:firstRow="1" w:lastColumn="0" w:lastRow="0" w:noHBand="0" w:noVBand="1" w:val="04A0"/>
      </w:tblPr>
      <w:tblGrid>
        <w:gridCol w:w="2016"/>
        <w:gridCol w:w="4896"/>
        <w:gridCol w:w="2736"/>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المسار</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ما الذي سيجده القارئ؟</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سؤال القرار</w:t>
            </w:r>
          </w:p>
        </w:tc>
      </w:tr>
      <w:tr>
        <w:trPr>
          <w:cantSplit/>
        </w:trPr>
        <w:tc>
          <w:tcPr>
            <w:tcW w:type="dxa" w:w="20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الهوية والأثر</w:t>
            </w:r>
          </w:p>
        </w:tc>
        <w:tc>
          <w:tcPr>
            <w:tcW w:type="dxa" w:w="48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الرؤية والرسالة والأهداف، فلسفة الحماية والتمكين، مسارات الدراسات.</w:t>
            </w:r>
          </w:p>
        </w:tc>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لماذا المركز، وما القيمة التي يضيفها؟</w:t>
            </w:r>
          </w:p>
        </w:tc>
      </w:tr>
      <w:tr>
        <w:trPr>
          <w:cantSplit/>
        </w:trPr>
        <w:tc>
          <w:tcPr>
            <w:tcW w:type="dxa" w:w="201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المشروعات الدائمة</w:t>
            </w:r>
          </w:p>
        </w:tc>
        <w:tc>
          <w:tcPr>
            <w:tcW w:type="dxa" w:w="489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مكتبة محمد شندي الراوي، الأرشيف التاريخي، المرصد، مجلة المركز.</w:t>
            </w:r>
          </w:p>
        </w:tc>
        <w:tc>
          <w:tcPr>
            <w:tcW w:type="dxa" w:w="27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ما الأصل الذي سيبقى بعد المؤسسين؟</w:t>
            </w:r>
          </w:p>
        </w:tc>
      </w:tr>
      <w:tr>
        <w:trPr>
          <w:cantSplit/>
        </w:trPr>
        <w:tc>
          <w:tcPr>
            <w:tcW w:type="dxa" w:w="20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النموذج المؤسسي</w:t>
            </w:r>
          </w:p>
        </w:tc>
        <w:tc>
          <w:tcPr>
            <w:tcW w:type="dxa" w:w="48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العلاقة بجمعية الشام، الحوكمة، انتقال المؤسس، حماية الأطفال والبيانات.</w:t>
            </w:r>
          </w:p>
        </w:tc>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من يملك القرار ويحمي الاستقلال؟</w:t>
            </w:r>
          </w:p>
        </w:tc>
      </w:tr>
      <w:tr>
        <w:trPr>
          <w:cantSplit/>
        </w:trPr>
        <w:tc>
          <w:tcPr>
            <w:tcW w:type="dxa" w:w="201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التنفيذ والتمويل</w:t>
            </w:r>
          </w:p>
        </w:tc>
        <w:tc>
          <w:tcPr>
            <w:tcW w:type="dxa" w:w="489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خطة المئة يوم والخمس سنوات، الفريق، الميزانيات، الشراكات، مؤشرات الجودة.</w:t>
            </w:r>
          </w:p>
        </w:tc>
        <w:tc>
          <w:tcPr>
            <w:tcW w:type="dxa" w:w="273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كيف يبدأ صغيرًا ويكبر بصورة آمنة؟</w:t>
            </w:r>
          </w:p>
        </w:tc>
      </w:tr>
      <w:tr>
        <w:trPr>
          <w:cantSplit/>
        </w:trPr>
        <w:tc>
          <w:tcPr>
            <w:tcW w:type="dxa" w:w="20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الملاحق والمراجع</w:t>
            </w:r>
          </w:p>
        </w:tc>
        <w:tc>
          <w:tcPr>
            <w:tcW w:type="dxa" w:w="48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نماذج أولية لبحوث ومقتنيات المكتبة وميثاق التحرير والمصادر.</w:t>
            </w:r>
          </w:p>
        </w:tc>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ماذا نعتمد وماذا نحتاج للتحقق؟</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المشهد المقترح بعد خمس سنوات</w:t>
            </w:r>
          </w:p>
          <w:p>
            <w:pPr>
              <w:spacing w:after="0"/>
              <w:jc w:val="right"/>
              <w:bidi w:val="1"/>
            </w:pPr>
            <w:r>
              <w:rPr>
                <w:rFonts w:ascii="Noto Naskh Arabic" w:hAnsi="Noto Naskh Arabic" w:eastAsia="Noto Naskh Arabic" w:cs="Noto Naskh Arabic"/>
                <w:b w:val="0"/>
                <w:color w:val="263A31"/>
                <w:sz w:val="20"/>
                <w:szCs w:val="21"/>
                <w:bCs w:val="0"/>
                <w:rtl w:val="1"/>
                <w:lang w:bidi="ar-SY"/>
              </w:rPr>
              <w:t>مؤسسة بحثية مستقلة المعايير، ذات مكتبة متنامية، ومجلة مهنية متواصلة، ومرصد معلومات آمن، ومحفظة أبحاث تتناول حياة الأيتام من منظور إسلامي وعربي منفتح على التحقق الدولي، وتساعد شركاء الرعاية في تحسين البرامج وقياس أثرها.</w:t>
            </w:r>
          </w:p>
        </w:tc>
      </w:tr>
    </w:tbl>
    <w:p>
      <w:pPr>
        <w:spacing w:after="0"/>
      </w:pPr>
    </w:p>
    <w:p>
      <w:pPr>
        <w:pStyle w:val="Heading1"/>
        <w:jc w:val="right"/>
        <w:pageBreakBefore/>
        <w:bidi w:val="1"/>
        <w:pBdr>
          <w:bottom w:val="single" w:sz="11" w:color="986E0B" w:space="5"/>
        </w:pBdr>
      </w:pPr>
      <w:r>
        <w:rPr>
          <w:rFonts w:ascii="Noto Kufi Arabic" w:hAnsi="Noto Kufi Arabic" w:eastAsia="Noto Kufi Arabic" w:cs="Noto Kufi Arabic"/>
          <w:b/>
          <w:color w:val="123E32"/>
          <w:sz w:val="32"/>
          <w:szCs w:val="32"/>
          <w:bCs w:val="1"/>
          <w:rtl w:val="1"/>
          <w:lang w:bidi="ar-SY"/>
        </w:rPr>
        <w:t>02  |  صفحة القرار: ماذا نقترح على الجهة المعنية؟</w:t>
      </w: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القرار المطلوب</w:t>
            </w:r>
          </w:p>
          <w:p>
            <w:pPr>
              <w:spacing w:after="0"/>
              <w:jc w:val="right"/>
              <w:bidi w:val="1"/>
            </w:pPr>
            <w:r>
              <w:rPr>
                <w:rFonts w:ascii="Noto Naskh Arabic" w:hAnsi="Noto Naskh Arabic" w:eastAsia="Noto Naskh Arabic" w:cs="Noto Naskh Arabic"/>
                <w:b w:val="0"/>
                <w:color w:val="263A31"/>
                <w:sz w:val="20"/>
                <w:szCs w:val="21"/>
                <w:bCs w:val="0"/>
                <w:rtl w:val="1"/>
                <w:lang w:bidi="ar-SY"/>
              </w:rPr>
              <w:t>الموافقة المبدئية على تطوير مركز معرفي متخصص مرتبط بجمعية الشام وفق اتفاقية تأسيسية، وتفويض فريق تحضيري لمدة 100 يوم لإنتاج الحزمة القانونية والمالية والتحريرية والتقنية، دون اعتبار هذه الوثيقة موافقة أو التزامًا ماليًا مسبقًا.</w:t>
            </w:r>
          </w:p>
        </w:tc>
      </w:tr>
    </w:tbl>
    <w:p>
      <w:pPr>
        <w:spacing w:after="0"/>
      </w:pPr>
    </w:p>
    <w:tbl>
      <w:tblPr>
        <w:tblW w:type="auto" w:w="0"/>
        <w:jc w:val="center"/>
        <w:tblLayout w:type="fixed"/>
        <w:tblLook w:firstColumn="1" w:firstRow="1" w:lastColumn="0" w:lastRow="0" w:noHBand="0" w:noVBand="1" w:val="04A0"/>
      </w:tblPr>
      <w:tblGrid>
        <w:gridCol w:w="2448"/>
        <w:gridCol w:w="7200"/>
      </w:tblGrid>
      <w:tr>
        <w:trPr>
          <w:tblHeader w:val="true"/>
          <w:cantSplit/>
        </w:trPr>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العنصر</w:t>
            </w:r>
          </w:p>
        </w:tc>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التوصية التأسيسية</w:t>
            </w:r>
          </w:p>
        </w:tc>
      </w:tr>
      <w:tr>
        <w:trPr>
          <w:cantSplit/>
        </w:trPr>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الاسم العملي</w:t>
            </w:r>
          </w:p>
        </w:tc>
        <w:tc>
          <w:tcPr>
            <w:tcW w:type="dxa" w:w="72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مركز دراسات وأبحاث الأيتام؛ مؤسسة بحثية وتنموية متخصصة، والاسم النهائي يخضع للتسجيل والتحقق.</w:t>
            </w:r>
          </w:p>
        </w:tc>
      </w:tr>
      <w:tr>
        <w:trPr>
          <w:cantSplit/>
        </w:trPr>
        <w:tc>
          <w:tcPr>
            <w:tcW w:type="dxa" w:w="24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الأصل الدائم</w:t>
            </w:r>
          </w:p>
        </w:tc>
        <w:tc>
          <w:tcPr>
            <w:tcW w:type="dxa" w:w="720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مكتبة محمد شندي الراوي: مكتبة بحثية ورقمية وأرشيف تاريخي، مع سياسة مستقلة لحفظ الحقوق والخصوصية.</w:t>
            </w:r>
          </w:p>
        </w:tc>
      </w:tr>
      <w:tr>
        <w:trPr>
          <w:cantSplit/>
        </w:trPr>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العلاقة بجمعية الشام</w:t>
            </w:r>
          </w:p>
        </w:tc>
        <w:tc>
          <w:tcPr>
            <w:tcW w:type="dxa" w:w="72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وحدة معرفية مستضافة في البداية، باستقلال علمي وحسابات إدارية مميّزة؛ استقلال قانوني لاحق وفق مؤشرات نضج.</w:t>
            </w:r>
          </w:p>
        </w:tc>
      </w:tr>
      <w:tr>
        <w:trPr>
          <w:cantSplit/>
        </w:trPr>
        <w:tc>
          <w:tcPr>
            <w:tcW w:type="dxa" w:w="24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الدور الأول للمؤسس</w:t>
            </w:r>
          </w:p>
        </w:tc>
        <w:tc>
          <w:tcPr>
            <w:tcW w:type="dxa" w:w="720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مدير تنفيذي خلال التأسيس؛ ينتقل إلى مدير عام ثم رئيس مجلس إدارة بعد نقل السلطات التنفيذية وفق معايير محددة.</w:t>
            </w:r>
          </w:p>
        </w:tc>
      </w:tr>
      <w:tr>
        <w:trPr>
          <w:cantSplit/>
        </w:trPr>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المنتجات في السنة الأولى</w:t>
            </w:r>
          </w:p>
        </w:tc>
        <w:tc>
          <w:tcPr>
            <w:tcW w:type="dxa" w:w="72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فهرس للمكتبة، أربع أوراق بحث وسياسات، إطار مؤشرات مجمّعة آمنة، نموذج تمكين تجريبي، ستة أعداد مجلة، ومعايير أخلاقية.</w:t>
            </w:r>
          </w:p>
        </w:tc>
      </w:tr>
      <w:tr>
        <w:trPr>
          <w:cantSplit/>
        </w:trPr>
        <w:tc>
          <w:tcPr>
            <w:tcW w:type="dxa" w:w="24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القرار المالي</w:t>
            </w:r>
          </w:p>
        </w:tc>
        <w:tc>
          <w:tcPr>
            <w:tcW w:type="dxa" w:w="720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اعتماد إعداد دراسة جدوى وميزانية تشغيل فعلية؛ المؤشر المرجعي في هذه الوثيقة هو 143 ألف دولار لسنة معيارية، وليس عرض سعر.</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الموافقات المطلوبة الآن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تسمية لجنة تأسيس مؤقتة من 5 إلى 7 أعضاء، مع رئيس من غير الفريق التنفيذي أو قواعد واضحة للإفصاح وتضارب المصالح.</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إقرار مبدئي لاسم مكتبة محمد شندي الراوي باعتباره تسمية أصل معرفي دائم، على أن يعتمدها المجلس المختص رسميًا.</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السماح بإجراء جرد وثائقي أولي لمواد جمعية الشام غير الحساسة فقط، دون نقل بيانات الأطفال أو إتاحة الوصول تلقائيًا.</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تفويض إعداد مذكرة تفاهم، وسياسة حماية الطفل، وسياسة استقلال البحث، ومصفوفة الصلاحيات، وميزانية معتمدة.</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03  |  الملخص التنفيذي: مؤسسة تجعل الرعاية أقدر على التعلم</w:t>
      </w:r>
    </w:p>
    <w:p>
      <w:pPr>
        <w:jc w:val="right"/>
        <w:bidi w:val="1"/>
      </w:pPr>
      <w:r>
        <w:rPr>
          <w:rFonts w:ascii="Noto Naskh Arabic" w:hAnsi="Noto Naskh Arabic" w:eastAsia="Noto Naskh Arabic" w:cs="Noto Naskh Arabic"/>
          <w:b w:val="0"/>
          <w:color w:val="263A31"/>
          <w:sz w:val="22"/>
          <w:szCs w:val="22"/>
          <w:bCs w:val="0"/>
          <w:rtl w:val="1"/>
          <w:lang w:bidi="ar-SY"/>
        </w:rPr>
        <w:t>تعاني البيئات الخيرية - في كثير من الحالات - من فجوة بين الخبرة الميدانية المتراكمة وبين تحويل تلك الخبرة إلى معرفة قابلة للتحقق والاستفادة والاستدامة. والتحدي ليس نقص المبادرات الخيرية وحده، بل ضعف الفهرسة والبحث المقارن وتبادل الخبرات وقياس الأثر طويل المدى. يقدم المركز المقترح استجابة مؤسسية لهذه الفجوة، انطلاقًا من المرجعية الإسلامية والاحتياج العربي، وبالاستفادة النقدية من المعرفة الدولية.</w:t>
      </w:r>
    </w:p>
    <w:p>
      <w:pPr>
        <w:jc w:val="right"/>
        <w:bidi w:val="1"/>
      </w:pPr>
      <w:r>
        <w:rPr>
          <w:rFonts w:ascii="Noto Naskh Arabic" w:hAnsi="Noto Naskh Arabic" w:eastAsia="Noto Naskh Arabic" w:cs="Noto Naskh Arabic"/>
          <w:b w:val="0"/>
          <w:color w:val="263A31"/>
          <w:sz w:val="22"/>
          <w:szCs w:val="22"/>
          <w:bCs w:val="0"/>
          <w:rtl w:val="1"/>
          <w:lang w:bidi="ar-SY"/>
        </w:rPr>
        <w:t>يتألف النموذج المقترح من منصة معرفية موحدة: مكتبة محمد شندي الراوي، برنامج بحوث تطبيقي، مجلة شهرية مهنية، مرصد بيانات مفتوحة آمنة، أرشيف تاريخي، منتدى خبراء، وحاضنة لتطوير الأدلة التشغيلية وقياس الأثر. لكل ذراع وظيفة ومخرجات وسقف موارد واضح؛ وتُمنع المبالغة في إطلاق مشاريع عديدة قبل اكتمال الحد الأدنى من الكفاءة المؤسسية.</w:t>
      </w:r>
    </w:p>
    <w:p>
      <w:pPr>
        <w:jc w:val="right"/>
        <w:bidi w:val="1"/>
      </w:pPr>
      <w:r>
        <w:rPr>
          <w:rFonts w:ascii="Noto Naskh Arabic" w:hAnsi="Noto Naskh Arabic" w:eastAsia="Noto Naskh Arabic" w:cs="Noto Naskh Arabic"/>
          <w:b w:val="0"/>
          <w:color w:val="263A31"/>
          <w:sz w:val="22"/>
          <w:szCs w:val="22"/>
          <w:bCs w:val="0"/>
          <w:rtl w:val="1"/>
          <w:lang w:bidi="ar-SY"/>
        </w:rPr>
        <w:t>ويمتد الاهتمام البحثي، بصورة محسوبة لا تُغيّر محور المركز، إلى الأطفال المحرومين من الرعاية الوالدية أو المعرّضين لفقدانها: مجهولي الوالدين أو النسب، وبعض الأطفال المتأثرين بالطلاق وغياب الرعاية الفعلية، والأطفال في أوضاع الشارع أو المنفصلين عن أسرهم. ولا تُعد هذه الفئات مترادفات لليتيم، بل أوضاعًا قد تتقاطع معه وتحتاج إلى تعريفات وأدوات مختلفة. [6-7، 20-23]</w:t>
      </w:r>
    </w:p>
    <w:p>
      <w:pPr>
        <w:jc w:val="right"/>
        <w:bidi w:val="1"/>
      </w:pPr>
      <w:r>
        <w:rPr>
          <w:rFonts w:ascii="Noto Naskh Arabic" w:hAnsi="Noto Naskh Arabic" w:eastAsia="Noto Naskh Arabic" w:cs="Noto Naskh Arabic"/>
          <w:b w:val="0"/>
          <w:color w:val="263A31"/>
          <w:sz w:val="22"/>
          <w:szCs w:val="22"/>
          <w:bCs w:val="0"/>
          <w:rtl w:val="1"/>
          <w:lang w:bidi="ar-SY"/>
        </w:rPr>
        <w:t>ما يميز المشروع أن جمعية الشام تمتلك خبرة منشورة في تنسيق قوائم الأيتام منذ 2013، وبرامج تعليم وإيواء وكفالة، وتجربة نشر باسم «أقحوان الشام» موجهة لليافعين؛ وعليه تُقترح مجلة بحثية مهنية مختلفة تمامًا في الجمهور والوظيفة، مع فهرسة الإصدارات السابقة جزءًا من الذاكرة المؤسسية. [1-4]</w:t>
      </w: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وعد القيمة خلال خمس سنوات</w:t>
            </w:r>
          </w:p>
          <w:p>
            <w:pPr>
              <w:spacing w:after="0"/>
              <w:jc w:val="right"/>
              <w:bidi w:val="1"/>
            </w:pPr>
            <w:r>
              <w:rPr>
                <w:rFonts w:ascii="Noto Naskh Arabic" w:hAnsi="Noto Naskh Arabic" w:eastAsia="Noto Naskh Arabic" w:cs="Noto Naskh Arabic"/>
                <w:b w:val="0"/>
                <w:color w:val="263A31"/>
                <w:sz w:val="20"/>
                <w:szCs w:val="21"/>
                <w:bCs w:val="0"/>
                <w:rtl w:val="1"/>
                <w:lang w:bidi="ar-SY"/>
              </w:rPr>
              <w:t>أن يصبح المركز مرجعًا عربيًا موثوقًا يربط النصوص والتجارب والسياسات والبيانات، ويُنتج أدوات يستطيع بها صانع القرار والباحث والمؤسسة الخيرية تحسين واقع الرعاية، مع بقاء كرامة الطفل وحقوقه فوق اعتبارات الإعلام أو التمويل.</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خمسة قرارات تصميمية غير قابلة للمساومة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الأولوية لسلامة الأطفال والأسرة والحقوق، وليس لزيادة المحتوى أو جمع البيانات بأي ثمن.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مرجعية إسلامية أصيلة مع تقييم علمي مستقل، وانفتاح مقارن على الخبرة العالمية.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المكتبة قاعدة معرفية مستدامة وليست غرفة كتب مؤقتة؛ لها فهرس وحفظ رقمي وحقوق وصول.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الاستقلال العلمي والتحريري، حتى عندما تكون الجمعية الشريكة ممولًا أو جهة مستفيدة.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الانتقال من قيادة المؤسس إلى الحوكمة المؤسسية عبر شروط وأدوار محددة، لا بمجرد مرور الزمن.</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04  |  السياق التاريخي والمبرر الاستراتيجي</w:t>
      </w:r>
    </w:p>
    <w:p>
      <w:pPr>
        <w:pStyle w:val="Heading2"/>
        <w:jc w:val="right"/>
        <w:bidi w:val="1"/>
      </w:pPr>
      <w:r>
        <w:rPr>
          <w:rFonts w:ascii="Noto Kufi Arabic" w:hAnsi="Noto Kufi Arabic" w:eastAsia="Noto Kufi Arabic" w:cs="Noto Kufi Arabic"/>
          <w:b/>
          <w:color w:val="986E0B"/>
          <w:sz w:val="24"/>
          <w:szCs w:val="24"/>
          <w:bCs w:val="1"/>
          <w:rtl w:val="1"/>
          <w:lang w:bidi="ar-SY"/>
        </w:rPr>
        <w:t>من الجهد الميداني إلى البنية المعرفية</w:t>
      </w:r>
    </w:p>
    <w:p>
      <w:pPr>
        <w:jc w:val="right"/>
        <w:bidi w:val="1"/>
      </w:pPr>
      <w:r>
        <w:rPr>
          <w:rFonts w:ascii="Noto Naskh Arabic" w:hAnsi="Noto Naskh Arabic" w:eastAsia="Noto Naskh Arabic" w:cs="Noto Naskh Arabic"/>
          <w:b w:val="0"/>
          <w:color w:val="263A31"/>
          <w:sz w:val="22"/>
          <w:szCs w:val="22"/>
          <w:bCs w:val="0"/>
          <w:rtl w:val="1"/>
          <w:lang w:bidi="ar-SY"/>
        </w:rPr>
        <w:t>تُظهر دعوة جمعية الشام المنشورة في 23 يوليو 2013 إلى ملتقى تنسيقي اهتمامًا مبكرًا بضبط القوائم ومنع التكرار واعتماد استمارة موحدة بين الجهات العاملة في شؤون الأيتام. وتوثق مواد منشورة أخرى تدريب كوادر الجمعية في 2013، ويعرض موقعها اليوم مجالات الإحصاء والتعليم والكفالة والرعاية وغيرها. هذه شواهد عامة منشورة توفر مادة أولية لفهم تطور الخبرة؛ لكنها لا تمنح المركز حق نسخ أي ملف أو سجل شخصي دون موافقة وتقييم قانوني وأخلاقي. [1-3]</w:t>
      </w:r>
    </w:p>
    <w:p>
      <w:pPr>
        <w:pStyle w:val="Heading2"/>
        <w:jc w:val="right"/>
        <w:bidi w:val="1"/>
      </w:pPr>
      <w:r>
        <w:rPr>
          <w:rFonts w:ascii="Noto Kufi Arabic" w:hAnsi="Noto Kufi Arabic" w:eastAsia="Noto Kufi Arabic" w:cs="Noto Kufi Arabic"/>
          <w:b/>
          <w:color w:val="986E0B"/>
          <w:sz w:val="24"/>
          <w:szCs w:val="24"/>
          <w:bCs w:val="1"/>
          <w:rtl w:val="1"/>
          <w:lang w:bidi="ar-SY"/>
        </w:rPr>
        <w:t>لماذا الآن؟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تزايد الحاجة إلى معارف متعددة التخصصات تتناول الحماية الأسرية والتعليم والصحة النفسية والاستقلال الاقتصادي والانتقال إلى الرشد.</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الحاجة إلى التمييز بين اليتيم بسبب الوفاة، والطفل مجهول الوالدين، والطفل بعد طلاق والديه إذا غابت رعاية أحدهما فعليًا، والأطفال في أوضاع الشارع؛ فالصفة العائلية وحدها لا تحدد مستوى الحاجة ولا نوع التدخل.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الانتشار الرقمي والتقنيات التوليدية يتيحان فهرسة وتسريعًا للبحث، لكنه يرفع مخاطر كشف بيانات الأطفال والتضليل وإعادة استخدام الصور بغير إذن.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أهمية الاستشراف في عالم تتغير فيه أنماط الصراع والنزوح والتعلم والعمل والمناخ والتمويل، وهو اتجاه تؤكد أهميته أعمال UNICEF في 2026. [16]</w:t>
      </w:r>
    </w:p>
    <w:p>
      <w:pPr>
        <w:pStyle w:val="Heading2"/>
        <w:jc w:val="right"/>
        <w:bidi w:val="1"/>
      </w:pPr>
      <w:r>
        <w:rPr>
          <w:rFonts w:ascii="Noto Kufi Arabic" w:hAnsi="Noto Kufi Arabic" w:eastAsia="Noto Kufi Arabic" w:cs="Noto Kufi Arabic"/>
          <w:b/>
          <w:color w:val="986E0B"/>
          <w:sz w:val="24"/>
          <w:szCs w:val="24"/>
          <w:bCs w:val="1"/>
          <w:rtl w:val="1"/>
          <w:lang w:bidi="ar-SY"/>
        </w:rPr>
        <w:t>التمايز عن الجهات القائمة</w:t>
      </w:r>
    </w:p>
    <w:p>
      <w:pPr>
        <w:jc w:val="right"/>
        <w:bidi w:val="1"/>
      </w:pPr>
      <w:r>
        <w:rPr>
          <w:rFonts w:ascii="Noto Naskh Arabic" w:hAnsi="Noto Naskh Arabic" w:eastAsia="Noto Naskh Arabic" w:cs="Noto Naskh Arabic"/>
          <w:b w:val="0"/>
          <w:color w:val="263A31"/>
          <w:sz w:val="22"/>
          <w:szCs w:val="22"/>
          <w:bCs w:val="0"/>
          <w:rtl w:val="1"/>
          <w:lang w:bidi="ar-SY"/>
        </w:rPr>
        <w:t>لا يكون المركز جمعية كفالة ثانية، ولا بديلًا لمكاتب البرامج الاجتماعية، ولا ناشرًا إعلاميًا فقط. قيمته الأساسية تقع في تحويل التجربة إلى أدلة ومعايير وتعلّم مؤسسي: من سؤال بحثي واضح، إلى دراسة ذات منهج، إلى توصية قابلة للتطبيق، إلى متابعة أثرها. ويمكن أن يخدم مؤسسات شريكة خارج جمعية الشام من دون نقل أسرار أي طرف.</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05  |  الهوية الاستراتيجية والرؤية والرسالة والأهداف</w:t>
      </w:r>
    </w:p>
    <w:tbl>
      <w:tblPr>
        <w:tblW w:type="auto" w:w="0"/>
        <w:jc w:val="center"/>
        <w:tblLayout w:type="fixed"/>
        <w:tblLook w:firstColumn="1" w:firstRow="1" w:lastColumn="0" w:lastRow="0" w:noHBand="0" w:noVBand="1" w:val="04A0"/>
      </w:tblPr>
      <w:tblGrid>
        <w:gridCol w:w="2232"/>
        <w:gridCol w:w="7416"/>
      </w:tblGrid>
      <w:tr>
        <w:trPr>
          <w:tblHeader w:val="true"/>
          <w:cantSplit/>
        </w:trPr>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البعد</w:t>
            </w:r>
          </w:p>
        </w:tc>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الصياغة المقترحة</w:t>
            </w:r>
          </w:p>
        </w:tc>
      </w:tr>
      <w:tr>
        <w:trPr>
          <w:cantSplit/>
        </w:trPr>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الرؤية</w:t>
            </w:r>
          </w:p>
        </w:tc>
        <w:tc>
          <w:tcPr>
            <w:tcW w:type="dxa" w:w="74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أن نكون المرجع العلمي والاستراتيجي الأول إقليميًا ودوليًا في كل ما يتعلق بقضايا الأيتام ورعايتهم وتنميتهم. وهي رؤية طموحة يُقاس التقدم نحوها بالموثوقية والأثر والشراكات.</w:t>
            </w:r>
          </w:p>
        </w:tc>
      </w:tr>
      <w:tr>
        <w:trPr>
          <w:cantSplit/>
        </w:trPr>
        <w:tc>
          <w:tcPr>
            <w:tcW w:type="dxa" w:w="22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الرسالة</w:t>
            </w:r>
          </w:p>
        </w:tc>
        <w:tc>
          <w:tcPr>
            <w:tcW w:type="dxa" w:w="741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تقديم دراسات وأبحاث علمية متميزة واستشارات استراتيجية تُترجم إلى سياسات وبرامج عمل تعزز استقلالية الأيتام ودمجهم الفعّال في المجتمع.</w:t>
            </w:r>
          </w:p>
        </w:tc>
      </w:tr>
      <w:tr>
        <w:trPr>
          <w:cantSplit/>
        </w:trPr>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التعريف</w:t>
            </w:r>
          </w:p>
        </w:tc>
        <w:tc>
          <w:tcPr>
            <w:tcW w:type="dxa" w:w="74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مؤسسة بحثية وتنموية متخصصة تعتمد على البحث العلمي والتطبيقي لتطوير جودة حياة الأيتام، وتدرس - في المجالات المتصلة بالرعاية - حالات فقدان أو هشاشة الرعاية الوالدية، لتوجيه المؤسسات الإنسانية نحو أفضل الممارسات.</w:t>
            </w:r>
          </w:p>
        </w:tc>
      </w:tr>
      <w:tr>
        <w:trPr>
          <w:cantSplit/>
        </w:trPr>
        <w:tc>
          <w:tcPr>
            <w:tcW w:type="dxa" w:w="223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الوعد</w:t>
            </w:r>
          </w:p>
        </w:tc>
        <w:tc>
          <w:tcPr>
            <w:tcW w:type="dxa" w:w="741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معرفة أمينة تحمي الإنسان، وذاكرة تحفظ التجربة، ودراسات تتحول إلى برامج وسياسات قابلة للقياس.</w:t>
            </w:r>
          </w:p>
        </w:tc>
      </w:tr>
      <w:tr>
        <w:trPr>
          <w:cantSplit/>
        </w:trPr>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القيم</w:t>
            </w:r>
          </w:p>
        </w:tc>
        <w:tc>
          <w:tcPr>
            <w:tcW w:type="dxa" w:w="74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الرحمة والكرامة، الأمانة العلمية، الدقة، الاستقلال، التكامل، الشفافية، حفظ الخصوصية، الاستدامة.</w:t>
            </w:r>
          </w:p>
        </w:tc>
      </w:tr>
      <w:tr>
        <w:trPr>
          <w:cantSplit/>
        </w:trPr>
        <w:tc>
          <w:tcPr>
            <w:tcW w:type="dxa" w:w="22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اللغة والجمهور</w:t>
            </w:r>
          </w:p>
        </w:tc>
        <w:tc>
          <w:tcPr>
            <w:tcW w:type="dxa" w:w="741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العربية هي لغة الإنتاج الأساسية، مع ملخصات إنجليزية وانتقاء ترجمات، وأولوية للبلدان والمجتمعات الإسلامية.</w:t>
            </w:r>
          </w:p>
        </w:tc>
      </w:tr>
      <w:tr>
        <w:trPr>
          <w:cantSplit/>
        </w:trPr>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الجمهور الأساسي</w:t>
            </w:r>
          </w:p>
        </w:tc>
        <w:tc>
          <w:tcPr>
            <w:tcW w:type="dxa" w:w="74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صناع السياسات، الجمعيات، الجامعات، الباحثون، العاملون في الرعاية والحماية الأسرية، الأمناء والأوقاف، الداعمون، والأطفال واليافعون وأسرهم بوسائل ملائمة وآمنة.</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الأهداف الاستراتيجية الأربعة: من النص إلى برامج قابلة للتنفيذ</w:t>
      </w:r>
    </w:p>
    <w:tbl>
      <w:tblPr>
        <w:tblW w:type="auto" w:w="0"/>
        <w:jc w:val="center"/>
        <w:tblLayout w:type="fixed"/>
        <w:tblLook w:firstColumn="1" w:firstRow="1" w:lastColumn="0" w:lastRow="0" w:noHBand="0" w:noVBand="1" w:val="04A0"/>
      </w:tblPr>
      <w:tblGrid>
        <w:gridCol w:w="2952"/>
        <w:gridCol w:w="4176"/>
        <w:gridCol w:w="2520"/>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الهدف المعتمد في التصور</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ترجمته التنفيذية المقترحة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مخرج وقياس أولي</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بناء قاعدة بيانات ومعلومات شاملة ومحدثة عن الأيتام واحتياجاتهم</w:t>
            </w:r>
          </w:p>
        </w:tc>
        <w:tc>
          <w:tcPr>
            <w:tcW w:type="dxa" w:w="41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بناء قاعدة معرفة ومؤشرات قطاعية موثوقة ومحدّثة، مع بيانات مجمّعة أو غير معرّفة بقوة؛ وتحفظ الملفات الشخصية عند الجهات المخولة فقط.</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قاموس موحد، خريطة فجوات، نشرات مؤشرات، مصدر وتاريخ تحديث</w:t>
            </w:r>
          </w:p>
        </w:tc>
      </w:tr>
      <w:tr>
        <w:trPr>
          <w:cantSplit/>
        </w:trPr>
        <w:tc>
          <w:tcPr>
            <w:tcW w:type="dxa" w:w="295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قياس أثر البرامج والرعايات الحالية لتقديم حلول مبتكرة ومستدامة</w:t>
            </w:r>
          </w:p>
        </w:tc>
        <w:tc>
          <w:tcPr>
            <w:tcW w:type="dxa" w:w="417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تطوير بروتوكولات قياس خط الأساس، والتقييم المرحلي والنهائي، وقراءة النتائج الإيجابية وغير المتوقعة.</w:t>
            </w:r>
          </w:p>
        </w:tc>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تقييمان تجريبيان، ومذكرات تحسين، ومتابعة تنفيذ التوصيات</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تمكين الجهات من الانتقال من الرعاية والرعوية إلى التنمية والتمكين</w:t>
            </w:r>
          </w:p>
        </w:tc>
        <w:tc>
          <w:tcPr>
            <w:tcW w:type="dxa" w:w="41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الإبقاء على الحماية والكفالة المادية عند الحاجة، وإضافة مسارات الاستقلال والتعليم والمهارات والاندماج والتمكين الاقتصادي.</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دليل نموذج خدمات متكامل، ومشروع تجريبي مع شريك</w:t>
            </w:r>
          </w:p>
        </w:tc>
      </w:tr>
      <w:tr>
        <w:trPr>
          <w:cantSplit/>
        </w:trPr>
        <w:tc>
          <w:tcPr>
            <w:tcW w:type="dxa" w:w="295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بناء نموذج شامل ومستدام لشخصية اليتيم نفسياً واجتماعياً وتعليمياً واقتصادياً</w:t>
            </w:r>
          </w:p>
        </w:tc>
        <w:tc>
          <w:tcPr>
            <w:tcW w:type="dxa" w:w="417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تطوير نموذج متعدد الأبعاد، ملائم للأعمار والسياق، يقوم على الدعم الأسري والحقوق ومشاركة الطفل.</w:t>
            </w:r>
          </w:p>
        </w:tc>
        <w:tc>
          <w:tcPr>
            <w:tcW w:type="dxa" w:w="25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إطار قياس متدرج، وأدوات جودة لا تستخدم للتصنيف أو الوصم</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مبدأ الترجمة المؤسسية</w:t>
            </w:r>
          </w:p>
          <w:p>
            <w:pPr>
              <w:spacing w:after="0"/>
              <w:jc w:val="right"/>
              <w:bidi w:val="1"/>
            </w:pPr>
            <w:r>
              <w:rPr>
                <w:rFonts w:ascii="Noto Naskh Arabic" w:hAnsi="Noto Naskh Arabic" w:eastAsia="Noto Naskh Arabic" w:cs="Noto Naskh Arabic"/>
                <w:b w:val="0"/>
                <w:color w:val="263A31"/>
                <w:sz w:val="20"/>
                <w:szCs w:val="21"/>
                <w:bCs w:val="0"/>
                <w:rtl w:val="1"/>
                <w:lang w:bidi="ar-SY"/>
              </w:rPr>
              <w:t>الرؤية تعبر عن طموح مستقبلي لا عن ترتيب عالمي متحقق. وتبقى قضايا الأيتام مركز الهوية والبحث، فيما تُدرس فئات فقدان الرعاية ذات الصلة باعتبارها محاور متقاطعة لا مؤسسات إضافية. ويُترجم هدف قاعدة البيانات إلى «مرصد معلومات ومؤشرات» لا إلى تجميع هويات الأطفال. [5-7، 9-10]</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كيف تُترجم الأولوية الإسلامية إلى ممارسة؟</w:t>
      </w:r>
    </w:p>
    <w:p>
      <w:pPr>
        <w:jc w:val="right"/>
        <w:bidi w:val="1"/>
      </w:pPr>
      <w:r>
        <w:rPr>
          <w:rFonts w:ascii="Noto Naskh Arabic" w:hAnsi="Noto Naskh Arabic" w:eastAsia="Noto Naskh Arabic" w:cs="Noto Naskh Arabic"/>
          <w:b w:val="0"/>
          <w:color w:val="263A31"/>
          <w:sz w:val="22"/>
          <w:szCs w:val="22"/>
          <w:bCs w:val="0"/>
          <w:rtl w:val="1"/>
          <w:lang w:bidi="ar-SY"/>
        </w:rPr>
        <w:t>تظهر المرجعية الإسلامية في أجندة البحث وفي الاشتغال على نصوص القرآن والسنة الصحيحة والتراث الفقهي والوقف والزكاة والتكافل ومقاصد حفظ النفس والنسل والمال والكرامة. ويصاحب ذلك تحرير مفاهيمي وتوثيق علمي واعتماد متخصصين مؤهلين، مع تجنب إلباس آراء بحثية اجتهادية صفة الفتوى. لا يعني هذا إقصاء الشواهد الدولية؛ بل نقدها ومقارنتها بالسياق المحلي والمبادئ الأخلاقية والحقوقية.</w:t>
      </w:r>
    </w:p>
    <w:p>
      <w:pPr>
        <w:pStyle w:val="Heading2"/>
        <w:jc w:val="right"/>
        <w:bidi w:val="1"/>
      </w:pPr>
      <w:r>
        <w:rPr>
          <w:rFonts w:ascii="Noto Kufi Arabic" w:hAnsi="Noto Kufi Arabic" w:eastAsia="Noto Kufi Arabic" w:cs="Noto Kufi Arabic"/>
          <w:b/>
          <w:color w:val="986E0B"/>
          <w:sz w:val="24"/>
          <w:szCs w:val="24"/>
          <w:bCs w:val="1"/>
          <w:rtl w:val="1"/>
          <w:lang w:bidi="ar-SY"/>
        </w:rPr>
        <w:t>حدود النشاط</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يبحث المركز ويقيّم ويدرّب ويؤرشف ويستضيف الحوار، لكنه لا يتولى تلقائيًا تقديم خدمات حماية حالة فردية أو إدارة دور الإيواء.</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لا يصدر المركز شهادات أكاديمية معتمدة إلا من خلال اتفاقية نظامية مع جهة مخولة.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لا يصف مركزه بأنه «محكّم» أو «مفهرس دوليًا» قبل اعتماد مسارات تحكيم وفهرسة مستوفية لشروطها.</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06  |  فلسفة المركز التنموية: الحماية أساس والتمكين غاية</w:t>
      </w:r>
    </w:p>
    <w:p>
      <w:pPr>
        <w:jc w:val="right"/>
        <w:bidi w:val="1"/>
      </w:pPr>
      <w:r>
        <w:rPr>
          <w:rFonts w:ascii="Noto Naskh Arabic" w:hAnsi="Noto Naskh Arabic" w:eastAsia="Noto Naskh Arabic" w:cs="Noto Naskh Arabic"/>
          <w:b w:val="0"/>
          <w:color w:val="263A31"/>
          <w:sz w:val="22"/>
          <w:szCs w:val="22"/>
          <w:bCs w:val="0"/>
          <w:rtl w:val="1"/>
          <w:lang w:bidi="ar-SY"/>
        </w:rPr>
        <w:t>ينطلق المركز من التمييز بين الرعاية الأساسية الضرورية لحماية الطفل، وبين الانتقال التدريجي إلى الاستقلال والتماسك المجتمعي. لا يُستعمل شعار «من الرعاية إلى التمكين» لتقليص الكفالة أو الخدمات الأساسية؛ فالتمكين المستدام يتطلب بيئة آمنة وأسرًا أو مقدمي رعاية داعمين واستقرارًا نفسيًا وتعليمًا مناسبًا. وتستلهم البحوث الدولية أولوية دعم الأسرة ومنع الفصل غير الضروري بين الطفل وأسرته. [5-7]</w:t>
      </w:r>
    </w:p>
    <w:tbl>
      <w:tblPr>
        <w:tblW w:type="auto" w:w="0"/>
        <w:jc w:val="center"/>
        <w:tblLayout w:type="fixed"/>
        <w:tblLook w:firstColumn="1" w:firstRow="1" w:lastColumn="0" w:lastRow="0" w:noHBand="0" w:noVBand="1" w:val="04A0"/>
      </w:tblPr>
      <w:tblGrid>
        <w:gridCol w:w="2232"/>
        <w:gridCol w:w="3744"/>
        <w:gridCol w:w="3672"/>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مستوى التدخل</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السؤال الذي يجيب عنه المركز</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أمثلة إجراءات قائمة على أدلة</w:t>
            </w:r>
          </w:p>
        </w:tc>
      </w:tr>
      <w:tr>
        <w:trPr>
          <w:cantSplit/>
        </w:trPr>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الحماية والحقوق</w:t>
            </w:r>
          </w:p>
        </w:tc>
        <w:tc>
          <w:tcPr>
            <w:tcW w:type="dxa" w:w="37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هل يعيش الطفل في بيئة آمنة، ويملك إثبات هوية وخدمات أساسية وتُحفظ خصوصيته وصوته وحقوقه؟</w:t>
            </w:r>
          </w:p>
        </w:tc>
        <w:tc>
          <w:tcPr>
            <w:tcW w:type="dxa" w:w="36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مؤشرات حماية وتوثيق مدني وإحالة للجهات المختصة وتدريب مهني</w:t>
            </w:r>
          </w:p>
        </w:tc>
      </w:tr>
      <w:tr>
        <w:trPr>
          <w:cantSplit/>
        </w:trPr>
        <w:tc>
          <w:tcPr>
            <w:tcW w:type="dxa" w:w="22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الرعاية والتنمية الأساسية</w:t>
            </w:r>
          </w:p>
        </w:tc>
        <w:tc>
          <w:tcPr>
            <w:tcW w:type="dxa" w:w="374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هل تتوافر التغذية والصحة والدعم العائلي والتعلم والاستقرار؟</w:t>
            </w:r>
          </w:p>
        </w:tc>
        <w:tc>
          <w:tcPr>
            <w:tcW w:type="dxa" w:w="367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تحديد فجوات الخدمات ونماذج إدارة الجودة</w:t>
            </w:r>
          </w:p>
        </w:tc>
      </w:tr>
      <w:tr>
        <w:trPr>
          <w:cantSplit/>
        </w:trPr>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بناء القدرات</w:t>
            </w:r>
          </w:p>
        </w:tc>
        <w:tc>
          <w:tcPr>
            <w:tcW w:type="dxa" w:w="37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هل يكتسب الطفل مهارات تعلم وعلاقات وقدرة على الاختيار الملائم لعمره؟</w:t>
            </w:r>
          </w:p>
        </w:tc>
        <w:tc>
          <w:tcPr>
            <w:tcW w:type="dxa" w:w="36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مسارات إرشاد تربوي ونفسي وقياس جودة التنفيذ</w:t>
            </w:r>
          </w:p>
        </w:tc>
      </w:tr>
      <w:tr>
        <w:trPr>
          <w:cantSplit/>
        </w:trPr>
        <w:tc>
          <w:tcPr>
            <w:tcW w:type="dxa" w:w="223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الاستقلال والشراكة المجتمعية</w:t>
            </w:r>
          </w:p>
        </w:tc>
        <w:tc>
          <w:tcPr>
            <w:tcW w:type="dxa" w:w="374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هل يصبح اليافع والشاب قادرًا على الانتقال الآمن إلى العمل والحياة؟</w:t>
            </w:r>
          </w:p>
        </w:tc>
        <w:tc>
          <w:tcPr>
            <w:tcW w:type="dxa" w:w="367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توجيه مهني ومسارات تعليم بعد المدرسة وربط بفرص ملائمة</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سلسلة القيمة: من السؤال البحثي إلى أثر في حياة الطفل</w:t>
      </w:r>
    </w:p>
    <w:tbl>
      <w:tblPr>
        <w:tblW w:type="auto" w:w="0"/>
        <w:jc w:val="center"/>
        <w:tblLayout w:type="fixed"/>
        <w:tblLook w:firstColumn="1" w:firstRow="1" w:lastColumn="0" w:lastRow="0" w:noHBand="0" w:noVBand="1" w:val="04A0"/>
      </w:tblPr>
      <w:tblGrid>
        <w:gridCol w:w="1800"/>
        <w:gridCol w:w="3960"/>
        <w:gridCol w:w="3888"/>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الخطوة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المنتج الذي ينتج عن المركز</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شرط الانتقال</w:t>
            </w:r>
          </w:p>
        </w:tc>
      </w:tr>
      <w:tr>
        <w:trPr>
          <w:cantSplit/>
        </w:trPr>
        <w:tc>
          <w:tcPr>
            <w:tcW w:type="dxa" w:w="18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تحديد الاحتياج</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سؤال محدد وخط أساس ومشاركة جهة تنفيذية</w:t>
            </w:r>
          </w:p>
        </w:tc>
        <w:tc>
          <w:tcPr>
            <w:tcW w:type="dxa" w:w="38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بيانات قابلة للثقة وتحديد الفئة المعنية</w:t>
            </w:r>
          </w:p>
        </w:tc>
      </w:tr>
      <w:tr>
        <w:trPr>
          <w:cantSplit/>
        </w:trPr>
        <w:tc>
          <w:tcPr>
            <w:tcW w:type="dxa" w:w="180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توليد المعرفة</w:t>
            </w:r>
          </w:p>
        </w:tc>
        <w:tc>
          <w:tcPr>
            <w:tcW w:type="dxa" w:w="396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دراسة منهجية ومراجعة خبراء وملاحظات حدود النتائج</w:t>
            </w:r>
          </w:p>
        </w:tc>
        <w:tc>
          <w:tcPr>
            <w:tcW w:type="dxa" w:w="388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سلامة المنهج والأخلاق وشفافية التمويل</w:t>
            </w:r>
          </w:p>
        </w:tc>
      </w:tr>
      <w:tr>
        <w:trPr>
          <w:cantSplit/>
        </w:trPr>
        <w:tc>
          <w:tcPr>
            <w:tcW w:type="dxa" w:w="18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تصميم السياسة أو البرنامج</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دليل أو أداة أو قرار تحسين مع تكلفة تقديرية</w:t>
            </w:r>
          </w:p>
        </w:tc>
        <w:tc>
          <w:tcPr>
            <w:tcW w:type="dxa" w:w="38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ملاءمة محلية وعدم مزاحمة حق أساسي</w:t>
            </w:r>
          </w:p>
        </w:tc>
      </w:tr>
      <w:tr>
        <w:trPr>
          <w:cantSplit/>
        </w:trPr>
        <w:tc>
          <w:tcPr>
            <w:tcW w:type="dxa" w:w="180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اختبار عملي محدود</w:t>
            </w:r>
          </w:p>
        </w:tc>
        <w:tc>
          <w:tcPr>
            <w:tcW w:type="dxa" w:w="396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شريك مرخص يطبّق تدخلًا ويجمع مؤشرات آمنة</w:t>
            </w:r>
          </w:p>
        </w:tc>
        <w:tc>
          <w:tcPr>
            <w:tcW w:type="dxa" w:w="388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موافقة وأدوار ومسؤولية حماية واضحة</w:t>
            </w:r>
          </w:p>
        </w:tc>
      </w:tr>
      <w:tr>
        <w:trPr>
          <w:cantSplit/>
        </w:trPr>
        <w:tc>
          <w:tcPr>
            <w:tcW w:type="dxa" w:w="18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تقييم وتعلّم</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تقييم ستة معايير ومراجعة النتائج غير المتوقعة</w:t>
            </w:r>
          </w:p>
        </w:tc>
        <w:tc>
          <w:tcPr>
            <w:tcW w:type="dxa" w:w="38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مستقلة وقدرة على تعديل التصميم</w:t>
            </w:r>
          </w:p>
        </w:tc>
      </w:tr>
      <w:tr>
        <w:trPr>
          <w:cantSplit/>
        </w:trPr>
        <w:tc>
          <w:tcPr>
            <w:tcW w:type="dxa" w:w="180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تعميم مسؤول</w:t>
            </w:r>
          </w:p>
        </w:tc>
        <w:tc>
          <w:tcPr>
            <w:tcW w:type="dxa" w:w="396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نشر ما نجح وما لم ينجح مع وصف حدود النقل</w:t>
            </w:r>
          </w:p>
        </w:tc>
        <w:tc>
          <w:tcPr>
            <w:tcW w:type="dxa" w:w="388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عدم تعميم نتائج عينة صغيرة تلقائيًا</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مرجعية قياس الأثر</w:t>
      </w:r>
    </w:p>
    <w:p>
      <w:pPr>
        <w:jc w:val="right"/>
        <w:bidi w:val="1"/>
      </w:pPr>
      <w:r>
        <w:rPr>
          <w:rFonts w:ascii="Noto Naskh Arabic" w:hAnsi="Noto Naskh Arabic" w:eastAsia="Noto Naskh Arabic" w:cs="Noto Naskh Arabic"/>
          <w:b w:val="0"/>
          <w:color w:val="263A31"/>
          <w:sz w:val="22"/>
          <w:szCs w:val="22"/>
          <w:bCs w:val="0"/>
          <w:rtl w:val="1"/>
          <w:lang w:bidi="ar-SY"/>
        </w:rPr>
        <w:t>يعتمد تصميم التقييم على معايير OECD/DAC الستة: الملاءمة، والاتساق، والفاعلية، والكفاءة، والأثر، والاستدامة. وهي زوايا تقييم تُختار وفق السؤال والسياق وليست نموذجًا حسابيًا جاهزًا أو ضمانًا بوجود أثر سببي؛ تُستخدم إلى جانب الضوابط الشرعية والحقوقية والمهنية المحلية. [17]</w:t>
      </w: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ناتج مؤسسي فريد</w:t>
            </w:r>
          </w:p>
          <w:p>
            <w:pPr>
              <w:spacing w:after="0"/>
              <w:jc w:val="right"/>
              <w:bidi w:val="1"/>
            </w:pPr>
            <w:r>
              <w:rPr>
                <w:rFonts w:ascii="Noto Naskh Arabic" w:hAnsi="Noto Naskh Arabic" w:eastAsia="Noto Naskh Arabic" w:cs="Noto Naskh Arabic"/>
                <w:b w:val="0"/>
                <w:color w:val="263A31"/>
                <w:sz w:val="20"/>
                <w:szCs w:val="21"/>
                <w:bCs w:val="0"/>
                <w:rtl w:val="1"/>
                <w:lang w:bidi="ar-SY"/>
              </w:rPr>
              <w:t>لا يكتفي المركز بتوصية عامة مثل «تعزيز التمكين»، بل ينتج «ملف تدخل قابل للتطبيق» يتكون من: مشكلة موثقة، شريحة عمرية، مسار خدمات، تكلفة، مؤشرات، ضمانات حماية، اختبار محدود، وتقرير تعلّم. بهذا يتحول البحث إلى عمل يمكن تدقيقه وتطويره.</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07  |  منظومة الأثر: كيف تتكامل الأذرع؟</w:t>
      </w:r>
    </w:p>
    <w:tbl>
      <w:tblPr>
        <w:tblW w:type="auto" w:w="0"/>
        <w:jc w:val="center"/>
        <w:tblLayout w:type="fixed"/>
        <w:tblLook w:firstColumn="1" w:firstRow="1" w:lastColumn="0" w:lastRow="0" w:noHBand="0" w:noVBand="1" w:val="04A0"/>
      </w:tblPr>
      <w:tblGrid>
        <w:gridCol w:w="1728"/>
        <w:gridCol w:w="3816"/>
        <w:gridCol w:w="4104"/>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الطبقة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الوظيفة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المنتج/العائد</w:t>
            </w:r>
          </w:p>
        </w:tc>
      </w:tr>
      <w:tr>
        <w:trPr>
          <w:cantSplit/>
        </w:trPr>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التقاط المعرفة</w:t>
            </w:r>
          </w:p>
        </w:tc>
        <w:tc>
          <w:tcPr>
            <w:tcW w:type="dxa" w:w="38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جمع المصادر والتجارب المسموح بها وحفظها</w:t>
            </w:r>
          </w:p>
        </w:tc>
        <w:tc>
          <w:tcPr>
            <w:tcW w:type="dxa" w:w="41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المكتبة + الأرشيف + قاعدة ببليوغرافية</w:t>
            </w:r>
          </w:p>
        </w:tc>
      </w:tr>
      <w:tr>
        <w:trPr>
          <w:cantSplit/>
        </w:trPr>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إنتاج الأدلة</w:t>
            </w:r>
          </w:p>
        </w:tc>
        <w:tc>
          <w:tcPr>
            <w:tcW w:type="dxa" w:w="381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أسئلة بحثية، تحليل، تقييم، دراسات مقارنة</w:t>
            </w:r>
          </w:p>
        </w:tc>
        <w:tc>
          <w:tcPr>
            <w:tcW w:type="dxa" w:w="410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تقارير وأوراق سياسات وأدلة أدوات</w:t>
            </w:r>
          </w:p>
        </w:tc>
      </w:tr>
      <w:tr>
        <w:trPr>
          <w:cantSplit/>
        </w:trPr>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نقل المعرفة</w:t>
            </w:r>
          </w:p>
        </w:tc>
        <w:tc>
          <w:tcPr>
            <w:tcW w:type="dxa" w:w="38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تحرير ونشر وتبسيط وترجمة</w:t>
            </w:r>
          </w:p>
        </w:tc>
        <w:tc>
          <w:tcPr>
            <w:tcW w:type="dxa" w:w="41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مجلة شهرية وملخصات وندوات</w:t>
            </w:r>
          </w:p>
        </w:tc>
      </w:tr>
      <w:tr>
        <w:trPr>
          <w:cantSplit/>
        </w:trPr>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التطبيق والتحسين</w:t>
            </w:r>
          </w:p>
        </w:tc>
        <w:tc>
          <w:tcPr>
            <w:tcW w:type="dxa" w:w="381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شراكات وتجريب وتدريب وتوصيات</w:t>
            </w:r>
          </w:p>
        </w:tc>
        <w:tc>
          <w:tcPr>
            <w:tcW w:type="dxa" w:w="410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تحسين برامج الشركاء ونماذجهم</w:t>
            </w:r>
          </w:p>
        </w:tc>
      </w:tr>
      <w:tr>
        <w:trPr>
          <w:cantSplit/>
        </w:trPr>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الاستشراف</w:t>
            </w:r>
          </w:p>
        </w:tc>
        <w:tc>
          <w:tcPr>
            <w:tcW w:type="dxa" w:w="38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رصد اتجاهات وسيناريوهات ومخاطر</w:t>
            </w:r>
          </w:p>
        </w:tc>
        <w:tc>
          <w:tcPr>
            <w:tcW w:type="dxa" w:w="41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مرصد وتقارير مستقبلية</w:t>
            </w:r>
          </w:p>
        </w:tc>
      </w:tr>
      <w:tr>
        <w:trPr>
          <w:cantSplit/>
        </w:trPr>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التعلم المستمر</w:t>
            </w:r>
          </w:p>
        </w:tc>
        <w:tc>
          <w:tcPr>
            <w:tcW w:type="dxa" w:w="381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قياس تبني التوصيات وجودة الاستخدام</w:t>
            </w:r>
          </w:p>
        </w:tc>
        <w:tc>
          <w:tcPr>
            <w:tcW w:type="dxa" w:w="410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لوحة مؤشرات ومراجعة سنوية</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نظرية التغيير</w:t>
            </w:r>
          </w:p>
          <w:p>
            <w:pPr>
              <w:spacing w:after="0"/>
              <w:jc w:val="right"/>
              <w:bidi w:val="1"/>
            </w:pPr>
            <w:r>
              <w:rPr>
                <w:rFonts w:ascii="Noto Naskh Arabic" w:hAnsi="Noto Naskh Arabic" w:eastAsia="Noto Naskh Arabic" w:cs="Noto Naskh Arabic"/>
                <w:b w:val="0"/>
                <w:color w:val="263A31"/>
                <w:sz w:val="20"/>
                <w:szCs w:val="21"/>
                <w:bCs w:val="0"/>
                <w:rtl w:val="1"/>
                <w:lang w:bidi="ar-SY"/>
              </w:rPr>
              <w:t>إذا أتيح للباحثين والعاملين وصول آمن إلى مصادر موثقة ومنهجيات سليمة، ودُعمت بالتحليل والتدريب والنشر، فسيرتفع احتمال اتخاذ قرارات أكثر جودة وفاعلية؛ لكن التأثير على الأطفال يُقاس عبر شركاء التنفيذ والدراسات المناسبة، ولا يُفترض تلقائيًا من عدد المقالات أو الزيارات.</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مصفوفة المستفيدين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المشرفون على برامج الكفالة: مقارنات ونماذج قياس وقرائن تحسين جودة الخدمة.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الباحثون وطلاب الدراسات العليا: فهرس موضوعي ومجموعات مصادر وفرص زمالة صغيرة.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صانعو السياسات: موجزات محايدة نسبيًا، وأطر مؤشرات، وخيارات بديلة.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المانحون والأوقاف: دراسات جدوى اجتماعية وأدلة تمويل مسؤول دون تسييس نتائج البحث.</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الأطفال والشباب والأمهات ومقدمو الرعاية: موارد ملائمة للعمر وإشراك أخلاقي طوعي؛ ويُراعى دعم الأسر التي تعيلها الأم وحدها والأطفال المنفصلين عن رعاية أبوية فعّالة دون وصم.</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08  |  العلاقة المؤسسية بجمعية الشام: ثلاثة نماذج</w:t>
      </w:r>
    </w:p>
    <w:tbl>
      <w:tblPr>
        <w:tblW w:type="auto" w:w="0"/>
        <w:jc w:val="center"/>
        <w:tblLayout w:type="fixed"/>
        <w:tblLook w:firstColumn="1" w:firstRow="1" w:lastColumn="0" w:lastRow="0" w:noHBand="0" w:noVBand="1" w:val="04A0"/>
      </w:tblPr>
      <w:tblGrid>
        <w:gridCol w:w="2880"/>
        <w:gridCol w:w="3312"/>
        <w:gridCol w:w="3456"/>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النموذج</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الميزات</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القيود/الشرط</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أ | وحدة معرفية داخل الجمعية</w:t>
            </w:r>
          </w:p>
        </w:tc>
        <w:tc>
          <w:tcPr>
            <w:tcW w:type="dxa" w:w="33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سرعة البدء وخفض التكاليف وربط آمن بالميدان</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خطر التبعية التحريرية؛ يحتاج ميثاق استقلال ومحاسبة واضحة.</w:t>
            </w:r>
          </w:p>
        </w:tc>
      </w:tr>
      <w:tr>
        <w:trPr>
          <w:cantSplit/>
        </w:trPr>
        <w:tc>
          <w:tcPr>
            <w:tcW w:type="dxa" w:w="28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ب | مؤسسة مستقلة مرتبطة باتفاق تعاون</w:t>
            </w:r>
          </w:p>
        </w:tc>
        <w:tc>
          <w:tcPr>
            <w:tcW w:type="dxa" w:w="331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قدرة الشراكات والتعاقد وتعدد التمويل وهوية ممتدة</w:t>
            </w:r>
          </w:p>
        </w:tc>
        <w:tc>
          <w:tcPr>
            <w:tcW w:type="dxa" w:w="345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يحتاج تسجيلًا وتمويلًا ومجلس أمناء مستقلًا واتفاقات حقوق البيانات.</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ج | مؤسسة أم تتبعها الجمعية</w:t>
            </w:r>
          </w:p>
        </w:tc>
        <w:tc>
          <w:tcPr>
            <w:tcW w:type="dxa" w:w="33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إمكان توحيد الاستراتيجية والوقف على المدى البعيد</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إعادة هيكلة قانونية عالية الكلفة والمخاطر، ليست نقطة انطلاق موصى بها.</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الخيار المفضل: أ الآن، ب عندما تنضج الشروط</w:t>
      </w:r>
    </w:p>
    <w:p>
      <w:pPr>
        <w:jc w:val="right"/>
        <w:bidi w:val="1"/>
      </w:pPr>
      <w:r>
        <w:rPr>
          <w:rFonts w:ascii="Noto Naskh Arabic" w:hAnsi="Noto Naskh Arabic" w:eastAsia="Noto Naskh Arabic" w:cs="Noto Naskh Arabic"/>
          <w:b w:val="0"/>
          <w:color w:val="263A31"/>
          <w:sz w:val="22"/>
          <w:szCs w:val="22"/>
          <w:bCs w:val="0"/>
          <w:rtl w:val="1"/>
          <w:lang w:bidi="ar-SY"/>
        </w:rPr>
        <w:t>يبدأ المركز كبرنامج أو وحدة مستقلة مهنيًا ومستضافة إداريًا، لمدة تجريبية من 12 إلى 24 شهرًا، بوثيقة تفويض واضحة واتفاق استخدام الاسم والبيانات والهوية والمرافق. ويُراجع قرار الانفصال القانوني عند تحقق أربعة شروط على الأقل: تمويل تشغيل قابل للتنبؤ لعام مقبل، مجلس حوكمة مؤهل، سجل إنتاج بحثي متماسك، ونظام امتثال وحفظ بيانات مجرّب. لا تُنقل الأصول أو الأرشيف أو التزامات الجمعية آليًا بين الكيانين.</w:t>
      </w:r>
    </w:p>
    <w:p>
      <w:pPr>
        <w:pStyle w:val="Heading2"/>
        <w:jc w:val="right"/>
        <w:bidi w:val="1"/>
      </w:pPr>
      <w:r>
        <w:rPr>
          <w:rFonts w:ascii="Noto Kufi Arabic" w:hAnsi="Noto Kufi Arabic" w:eastAsia="Noto Kufi Arabic" w:cs="Noto Kufi Arabic"/>
          <w:b/>
          <w:color w:val="986E0B"/>
          <w:sz w:val="24"/>
          <w:szCs w:val="24"/>
          <w:bCs w:val="1"/>
          <w:rtl w:val="1"/>
          <w:lang w:bidi="ar-SY"/>
        </w:rPr>
        <w:t>مسودة بنود مذكرة التفاهم</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موضوع التعاون وحدوده، وحق كل طرف في استقلال قراراته التشغيلية والعلمية ضمن القانون.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تحديد ملكية الكتب والوثائق والأجهزة والمنصات والمواد المنشورة والمجموعات التاريخية.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سقف الوصول إلى بيانات البرامج الفردية، والغرض المسموح، ومسؤول الأمن والمسؤولية عند الاختراق.</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قواعد الإفصاح عن التمويل وتعارض المصالح ونشر النتائج غير المريحة للجمعية.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معايير تسمية المسؤولين، والتقارير، والمراجعة، وتسوية النزاع، والإنهاء وحماية التراث المعرفي عند الانفصال.</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09  |  القيادة والحوكمة: انتقال من المؤسس إلى المؤسسة</w:t>
      </w:r>
    </w:p>
    <w:p>
      <w:pPr>
        <w:pStyle w:val="Heading2"/>
        <w:jc w:val="right"/>
        <w:bidi w:val="1"/>
      </w:pPr>
      <w:r>
        <w:rPr>
          <w:rFonts w:ascii="Noto Kufi Arabic" w:hAnsi="Noto Kufi Arabic" w:eastAsia="Noto Kufi Arabic" w:cs="Noto Kufi Arabic"/>
          <w:b/>
          <w:color w:val="986E0B"/>
          <w:sz w:val="24"/>
          <w:szCs w:val="24"/>
          <w:bCs w:val="1"/>
          <w:rtl w:val="1"/>
          <w:lang w:bidi="ar-SY"/>
        </w:rPr>
        <w:t>مجلس الحوكمة ومبدأ الفصل بين الصلاحيات</w:t>
      </w:r>
    </w:p>
    <w:p>
      <w:pPr>
        <w:jc w:val="right"/>
        <w:bidi w:val="1"/>
      </w:pPr>
      <w:r>
        <w:rPr>
          <w:rFonts w:ascii="Noto Naskh Arabic" w:hAnsi="Noto Naskh Arabic" w:eastAsia="Noto Naskh Arabic" w:cs="Noto Naskh Arabic"/>
          <w:b w:val="0"/>
          <w:color w:val="263A31"/>
          <w:sz w:val="22"/>
          <w:szCs w:val="22"/>
          <w:bCs w:val="0"/>
          <w:rtl w:val="1"/>
          <w:lang w:bidi="ar-SY"/>
        </w:rPr>
        <w:t>يُقترح تشكيل مجلس تأسيسي من سبعة أعضاء بمهارات متكاملة: معرفة شرعية/وقفية، مناهج بحث، حماية الطفل، إدارة مالية وتدقيق، مكتبات وأرشفة، إدارة قطاع غير ربحي، وتقنية/بيانات. ويُفضّل أن تكون الغالبية غير مرتبطة بعلاقات عمل تنفيذية أو مالية مباشرة بالمركز، وأن تخضع العضوية للأنظمة المحلية. القرارات الجوهرية المتعلقة بتسمية المكتبة، وتعيين المدير، والعقود الكبرى، وتعارض مصالح المؤسس، تُتخذ بإجراءات إفصاح وتنحٍ موثقة.</w:t>
      </w:r>
    </w:p>
    <w:p>
      <w:pPr>
        <w:pStyle w:val="Heading2"/>
        <w:jc w:val="right"/>
        <w:bidi w:val="1"/>
      </w:pPr>
      <w:r>
        <w:rPr>
          <w:rFonts w:ascii="Noto Kufi Arabic" w:hAnsi="Noto Kufi Arabic" w:eastAsia="Noto Kufi Arabic" w:cs="Noto Kufi Arabic"/>
          <w:b/>
          <w:color w:val="986E0B"/>
          <w:sz w:val="24"/>
          <w:szCs w:val="24"/>
          <w:bCs w:val="1"/>
          <w:rtl w:val="1"/>
          <w:lang w:bidi="ar-SY"/>
        </w:rPr>
        <w:t>الانتقال الوظيفي المقترح لمحمد شندي الراوي</w:t>
      </w:r>
    </w:p>
    <w:tbl>
      <w:tblPr>
        <w:tblW w:type="auto" w:w="0"/>
        <w:jc w:val="center"/>
        <w:tblLayout w:type="fixed"/>
        <w:tblLook w:firstColumn="1" w:firstRow="1" w:lastColumn="0" w:lastRow="0" w:noHBand="0" w:noVBand="1" w:val="04A0"/>
      </w:tblPr>
      <w:tblGrid>
        <w:gridCol w:w="2232"/>
        <w:gridCol w:w="2088"/>
        <w:gridCol w:w="5328"/>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المرحلة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الدور</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التركيز والشرط الحاكم</w:t>
            </w:r>
          </w:p>
        </w:tc>
      </w:tr>
      <w:tr>
        <w:trPr>
          <w:cantSplit/>
        </w:trPr>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 | التأسيس - 0 إلى 18 شهرًا</w:t>
            </w:r>
          </w:p>
        </w:tc>
        <w:tc>
          <w:tcPr>
            <w:tcW w:type="dxa" w:w="20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المؤسس / المدير التنفيذي</w:t>
            </w:r>
          </w:p>
        </w:tc>
        <w:tc>
          <w:tcPr>
            <w:tcW w:type="dxa" w:w="53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يقود التشغيل والتوظيف وافتتاح المكتبة؛ يراجع المجلس الأداء والميزانية والسياسات، ولا يجمع المؤسس بين الإدارة التنفيذية ورئاسة مجلس يراقبها.</w:t>
            </w:r>
          </w:p>
        </w:tc>
      </w:tr>
      <w:tr>
        <w:trPr>
          <w:cantSplit/>
        </w:trPr>
        <w:tc>
          <w:tcPr>
            <w:tcW w:type="dxa" w:w="22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2 | البناء - نحو 18 إلى 36 شهرًا</w:t>
            </w:r>
          </w:p>
        </w:tc>
        <w:tc>
          <w:tcPr>
            <w:tcW w:type="dxa" w:w="208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المدير العام</w:t>
            </w:r>
          </w:p>
        </w:tc>
        <w:tc>
          <w:tcPr>
            <w:tcW w:type="dxa" w:w="53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بعد وجود رؤساء وحدات ومدير عمليات مستقل؛ ينتقل إلى القيادة الاستراتيجية والشراكات والتوسع، بقرار مجلس وتقييم أداء موثق.</w:t>
            </w:r>
          </w:p>
        </w:tc>
      </w:tr>
      <w:tr>
        <w:trPr>
          <w:cantSplit/>
        </w:trPr>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3 | الرسوخ - نحو 36 إلى 60 شهرًا أو لاحقًا</w:t>
            </w:r>
          </w:p>
        </w:tc>
        <w:tc>
          <w:tcPr>
            <w:tcW w:type="dxa" w:w="20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رئيس مجلس الإدارة</w:t>
            </w:r>
          </w:p>
        </w:tc>
        <w:tc>
          <w:tcPr>
            <w:tcW w:type="dxa" w:w="53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بعد تعيين مدير عام/تنفيذي جديد وتفويضه كامل التشغيل؛ يقود الحوكمة والعلاقات الكبرى، دون صلاحيات تشغيل يومية مزدوجة.</w:t>
            </w:r>
          </w:p>
        </w:tc>
      </w:tr>
    </w:tbl>
    <w:p>
      <w:pPr>
        <w:spacing w:after="0"/>
      </w:pPr>
    </w:p>
    <w:p>
      <w:pPr>
        <w:spacing w:after="100"/>
        <w:jc w:val="right"/>
        <w:bidi w:val="1"/>
      </w:pPr>
      <w:r>
        <w:rPr>
          <w:rFonts w:ascii="Noto Naskh Arabic" w:hAnsi="Noto Naskh Arabic" w:eastAsia="Noto Naskh Arabic" w:cs="Noto Naskh Arabic"/>
          <w:b w:val="0"/>
          <w:color w:val="637169"/>
          <w:sz w:val="19"/>
          <w:szCs w:val="19"/>
          <w:bCs w:val="0"/>
          <w:rtl w:val="1"/>
          <w:lang w:bidi="ar-SY"/>
        </w:rPr>
        <w:t>الأزمنة المذكورة أهداف تخطيطية لا استحقاقات تلقائية؛ المرجع هو الكفاءة والمتطلبات القانونية وتقييم مجلس مستقل، ولا يثبت أي لقب من تلقاء هذه الوثيقة.</w:t>
      </w:r>
    </w:p>
    <w:p>
      <w:pPr>
        <w:pStyle w:val="Heading2"/>
        <w:jc w:val="right"/>
        <w:bidi w:val="1"/>
      </w:pPr>
      <w:r>
        <w:rPr>
          <w:rFonts w:ascii="Noto Kufi Arabic" w:hAnsi="Noto Kufi Arabic" w:eastAsia="Noto Kufi Arabic" w:cs="Noto Kufi Arabic"/>
          <w:b/>
          <w:color w:val="986E0B"/>
          <w:sz w:val="24"/>
          <w:szCs w:val="24"/>
          <w:bCs w:val="1"/>
          <w:rtl w:val="1"/>
          <w:lang w:bidi="ar-SY"/>
        </w:rPr>
        <w:t>لجان الرقابة والتخصص</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لجنة التدقيق والمخاطر: موازنات، تدقيق مستقل، مشتريات، سيولة، سجل مخاطر.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مجلس علمي واستشاري: مراجعة الخطط، المنهجيات، التحكيم، والحد من التحيز العلمي.</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لجنة أخلاقيات البحوث وحماية الطفل: مراجعة التناسب بين المنافع والمخاطر، والموافقات، والإحالة.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هيئة تحرير مستقلة للمجلة: تقرر قبول المواد ورفضها وفق السياسة دون تدخل الممول.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لجنة المكتبة والتراث: سياسة التزويد، الاستبعاد، الأرشفة، وأولويات الإتاحة وحقوق الملكية.</w:t>
      </w:r>
    </w:p>
    <w:p>
      <w:pPr>
        <w:pStyle w:val="Heading2"/>
        <w:jc w:val="right"/>
        <w:bidi w:val="1"/>
      </w:pPr>
      <w:r>
        <w:rPr>
          <w:rFonts w:ascii="Noto Kufi Arabic" w:hAnsi="Noto Kufi Arabic" w:eastAsia="Noto Kufi Arabic" w:cs="Noto Kufi Arabic"/>
          <w:b/>
          <w:color w:val="986E0B"/>
          <w:sz w:val="24"/>
          <w:szCs w:val="24"/>
          <w:bCs w:val="1"/>
          <w:rtl w:val="1"/>
          <w:lang w:bidi="ar-SY"/>
        </w:rPr>
        <w:t>سياسات لا بد من اعتمادها قبل الإطلاق</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النظام الداخلي واللائحة المالية وسلّم تفويض الصرف والمشتريات ومنع التعاملات مع الأطراف ذات العلاقة دون إفصاح.</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سياسة الحماية والإبلاغ الآمن والتعامل مع الشكاوى وواجبات الفريق والمتطوعين.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إطار مستقل لأخلاقيات البحث ونشر البيانات وعدم استخدام الاطفال كمواد ترويجية.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مدونة نزاهة البحث والتحرير وتصحيح الأخطاء وسحب المواد، وسياسة تعارض المصالح.</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سياسة التوظيف والتعاقُد والاحتفاظ بالسجلات وحفظ الأرشيف واستمرارية الأعمال.</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10  |  المنظور القانوني والتشغيلي متعدد البلدان</w:t>
      </w:r>
    </w:p>
    <w:p>
      <w:pPr>
        <w:jc w:val="right"/>
        <w:bidi w:val="1"/>
      </w:pPr>
      <w:r>
        <w:rPr>
          <w:rFonts w:ascii="Noto Naskh Arabic" w:hAnsi="Noto Naskh Arabic" w:eastAsia="Noto Naskh Arabic" w:cs="Noto Naskh Arabic"/>
          <w:b w:val="0"/>
          <w:color w:val="263A31"/>
          <w:sz w:val="22"/>
          <w:szCs w:val="22"/>
          <w:bCs w:val="0"/>
          <w:rtl w:val="1"/>
          <w:lang w:bidi="ar-SY"/>
        </w:rPr>
        <w:t>تحدد الجهة التي ستُسجل فيها المؤسسة، والدول التي ستعمل فيها، والمتطلبات التنظيمية لنشر الأبحاث وتلقي التبرعات وإنشاء وقف أو صندوق مقيّد. وبما أن موقع جمعية الشام يشير إلى غازي عنتاب - تركيا، في حين تتصل مخرجات المشروع بالسياق السوري والإسلامي والدولي، ينبغي إعداد مذكرة قانونية متخصصة مستقلة في كل ولاية تشغيل، دون افتراض أن ترخيص الجمعية ينطبق تلقائيًا على المركز. [1]</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تحديد الصفة الاعتبارية الممكنة: وحدة ضمن جمعية قائمة أو جمعية/مؤسسة مستقلة أو صندوق تحت مظلة قانونية معتمدة.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مراجعة تسجيل الاسم والعلامات والتراخيص الإعلامية ومسؤوليات النشر، واشتراطات التبرعات والزكاة والأوقاف.</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حصر الالتزامات الضريبية والمحاسبية والتعاقدية والعمالية وحماية البيانات والملكية الفكرية في الدول المعنية.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حصر المخاطر المرتبطة بنقل البيانات الشخصية عبر الحدود والاستضافة السحابية والوصول من بلد آخر.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وضع بروتوكول للتعامل مع الشكاوى القانونية والطلبات الحكومية وحفظ الأدلة وسجلات القرارات.</w:t>
      </w: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حد مهني لازم</w:t>
            </w:r>
          </w:p>
          <w:p>
            <w:pPr>
              <w:spacing w:after="0"/>
              <w:jc w:val="right"/>
              <w:bidi w:val="1"/>
            </w:pPr>
            <w:r>
              <w:rPr>
                <w:rFonts w:ascii="Noto Naskh Arabic" w:hAnsi="Noto Naskh Arabic" w:eastAsia="Noto Naskh Arabic" w:cs="Noto Naskh Arabic"/>
                <w:b w:val="0"/>
                <w:color w:val="263A31"/>
                <w:sz w:val="20"/>
                <w:szCs w:val="21"/>
                <w:bCs w:val="0"/>
                <w:rtl w:val="1"/>
                <w:lang w:bidi="ar-SY"/>
              </w:rPr>
              <w:t>هذه دراسة تصور مؤسسي وليست رأيًا قانونيًا أو فتوى شرعية أو تدقيقًا ماليًا. لا يُفتح حساب تبرعات أو وقف باسم كيان جديد، ولا يُنقل أرشيف شخصي أو قاعدة بيانات، قبل موافقات وتراخيص مختصة.</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11  |  مكتبة محمد شندي الراوي: قلب المشروع وذاكرته</w:t>
      </w:r>
    </w:p>
    <w:p>
      <w:pPr>
        <w:pStyle w:val="Heading2"/>
        <w:jc w:val="right"/>
        <w:bidi w:val="1"/>
      </w:pPr>
      <w:r>
        <w:rPr>
          <w:rFonts w:ascii="Noto Kufi Arabic" w:hAnsi="Noto Kufi Arabic" w:eastAsia="Noto Kufi Arabic" w:cs="Noto Kufi Arabic"/>
          <w:b/>
          <w:color w:val="986E0B"/>
          <w:sz w:val="24"/>
          <w:szCs w:val="24"/>
          <w:bCs w:val="1"/>
          <w:rtl w:val="1"/>
          <w:lang w:bidi="ar-SY"/>
        </w:rPr>
        <w:t>التعريف والرسالة المكتبية</w:t>
      </w:r>
    </w:p>
    <w:p>
      <w:pPr>
        <w:jc w:val="right"/>
        <w:bidi w:val="1"/>
      </w:pPr>
      <w:r>
        <w:rPr>
          <w:rFonts w:ascii="Noto Naskh Arabic" w:hAnsi="Noto Naskh Arabic" w:eastAsia="Noto Naskh Arabic" w:cs="Noto Naskh Arabic"/>
          <w:b w:val="0"/>
          <w:color w:val="263A31"/>
          <w:sz w:val="22"/>
          <w:szCs w:val="22"/>
          <w:bCs w:val="0"/>
          <w:rtl w:val="1"/>
          <w:lang w:bidi="ar-SY"/>
        </w:rPr>
        <w:t>مكتبة محمد شندي الراوي ليست مجرد مكان للكتب؛ بل مؤسسة متخصصة في انتقاء مصادر المعرفة المتعلقة بالأيتام وفاقدي الرعاية الوالدية، وفهرستها، وحفظها، وإتاحتها بمستويات مناسبة. تحمل اسم المؤسس باعتبارها مشروع إرث معرفي طويل العمر، لكن أصولها وقراراتها وسياسات الوصول إليها تظل مؤسسية لا شخصية؛ ويخضع اعتماد التسمية وإدارة المقتنيات للحوكمة والاتفاقات الرسمية.</w:t>
      </w:r>
    </w:p>
    <w:p>
      <w:pPr>
        <w:pStyle w:val="Heading2"/>
        <w:jc w:val="right"/>
        <w:bidi w:val="1"/>
      </w:pPr>
      <w:r>
        <w:rPr>
          <w:rFonts w:ascii="Noto Kufi Arabic" w:hAnsi="Noto Kufi Arabic" w:eastAsia="Noto Kufi Arabic" w:cs="Noto Kufi Arabic"/>
          <w:b/>
          <w:color w:val="986E0B"/>
          <w:sz w:val="24"/>
          <w:szCs w:val="24"/>
          <w:bCs w:val="1"/>
          <w:rtl w:val="1"/>
          <w:lang w:bidi="ar-SY"/>
        </w:rPr>
        <w:t>البنية ذات الطبقات الأربع</w:t>
      </w:r>
    </w:p>
    <w:tbl>
      <w:tblPr>
        <w:tblW w:type="auto" w:w="0"/>
        <w:jc w:val="center"/>
        <w:tblLayout w:type="fixed"/>
        <w:tblLook w:firstColumn="1" w:firstRow="1" w:lastColumn="0" w:lastRow="0" w:noHBand="0" w:noVBand="1" w:val="04A0"/>
      </w:tblPr>
      <w:tblGrid>
        <w:gridCol w:w="2376"/>
        <w:gridCol w:w="4032"/>
        <w:gridCol w:w="3240"/>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الطبقة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المدى</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الأولوية التشغيلية</w:t>
            </w:r>
          </w:p>
        </w:tc>
      </w:tr>
      <w:tr>
        <w:trPr>
          <w:cantSplit/>
        </w:trPr>
        <w:tc>
          <w:tcPr>
            <w:tcW w:type="dxa" w:w="23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1 | مكتبة مرجعية عامة</w:t>
            </w:r>
          </w:p>
        </w:tc>
        <w:tc>
          <w:tcPr>
            <w:tcW w:type="dxa" w:w="40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كتب مطبوعة، مراجع، دوريات وتقارير متاحة للجمهور</w:t>
            </w:r>
          </w:p>
        </w:tc>
        <w:tc>
          <w:tcPr>
            <w:tcW w:type="dxa" w:w="324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قاعة صغيرة أو ركن شراكة + فهرس إلكتروني</w:t>
            </w:r>
          </w:p>
        </w:tc>
      </w:tr>
      <w:tr>
        <w:trPr>
          <w:cantSplit/>
        </w:trPr>
        <w:tc>
          <w:tcPr>
            <w:tcW w:type="dxa" w:w="237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2 | مكتبة بحثية رقمية</w:t>
            </w:r>
          </w:p>
        </w:tc>
        <w:tc>
          <w:tcPr>
            <w:tcW w:type="dxa" w:w="40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بيانات ببليوغرافية، فهارس موضوعية، مصادر مفتوحة أو مرخصة</w:t>
            </w:r>
          </w:p>
        </w:tc>
        <w:tc>
          <w:tcPr>
            <w:tcW w:type="dxa" w:w="324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البحث بحسب الموضوع والبلد والعصر والمنهج</w:t>
            </w:r>
          </w:p>
        </w:tc>
      </w:tr>
      <w:tr>
        <w:trPr>
          <w:cantSplit/>
        </w:trPr>
        <w:tc>
          <w:tcPr>
            <w:tcW w:type="dxa" w:w="23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3 | أرشيف جمعية الشام وقطاع الأيتام</w:t>
            </w:r>
          </w:p>
        </w:tc>
        <w:tc>
          <w:tcPr>
            <w:tcW w:type="dxa" w:w="40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تقارير وصور منشورة وإصدارات ومحاضر قابلة للإتاحة</w:t>
            </w:r>
          </w:p>
        </w:tc>
        <w:tc>
          <w:tcPr>
            <w:tcW w:type="dxa" w:w="324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حفظ المصدر والسياق والحقوق والمراجعة قبل النشر</w:t>
            </w:r>
          </w:p>
        </w:tc>
      </w:tr>
      <w:tr>
        <w:trPr>
          <w:cantSplit/>
        </w:trPr>
        <w:tc>
          <w:tcPr>
            <w:tcW w:type="dxa" w:w="237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4 | ذاكرة شفوية ومرئية</w:t>
            </w:r>
          </w:p>
        </w:tc>
        <w:tc>
          <w:tcPr>
            <w:tcW w:type="dxa" w:w="403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مقابلات مؤرّخة مع رواد وخبراء وشركاء راشدين</w:t>
            </w:r>
          </w:p>
        </w:tc>
        <w:tc>
          <w:tcPr>
            <w:tcW w:type="dxa" w:w="324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إذن مكتوب وخيارات حجب ومدة احتفاظ معلومة</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خطة تنمية المجموعات</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المنابع: إهداءات مؤسساتية بموجب عقود، شراء مصادر أساسية، الإنتاج المفتوح، شراكات إيداع نسخ بإذن، فهرسة مصادر خارجية بروابطها القانونية.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محاور أولية: القرآن والسنة والفقه والأوقاف؛ تاريخ الكفالة؛ حماية الطفل والأسرة؛ التعليم والنمو النفسي؛ الصحة والرفاه؛ الاقتصاد والتمكين؛ السياسات والتشريعات؛ العمل الإنساني؛ مناهج البحث والأثر؛ البيانات والإحصاء.</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معيار الاختيار: الصلة والموثوقية والتنوع المنهجي والندرة وحقوق الإتاحة والحفظ والكلفة والاستخدام المتوقع.</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لا يُحوَّل الكتاب المطبوع إلى نسخة إلكترونية منشورة لمجرد امتلاكه؛ يتطلب ذلك حقًا قانونيًا أو ترخيصًا مناسبًا وفق الولاية المعنية.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تعتمد مراجعة سنوية لاستبعاد الروابط المعطلة وتحديث بيانات الإتاحة دون إتلاف المواد التاريخية الفريدة.</w:t>
      </w:r>
    </w:p>
    <w:p>
      <w:pPr>
        <w:pStyle w:val="Heading2"/>
        <w:jc w:val="right"/>
        <w:bidi w:val="1"/>
      </w:pPr>
      <w:r>
        <w:rPr>
          <w:rFonts w:ascii="Noto Kufi Arabic" w:hAnsi="Noto Kufi Arabic" w:eastAsia="Noto Kufi Arabic" w:cs="Noto Kufi Arabic"/>
          <w:b/>
          <w:color w:val="986E0B"/>
          <w:sz w:val="24"/>
          <w:szCs w:val="24"/>
          <w:bCs w:val="1"/>
          <w:rtl w:val="1"/>
          <w:lang w:bidi="ar-SY"/>
        </w:rPr>
        <w:t>المنتجات الستة للمكتبة</w:t>
      </w:r>
    </w:p>
    <w:tbl>
      <w:tblPr>
        <w:tblW w:type="auto" w:w="0"/>
        <w:jc w:val="center"/>
        <w:tblLayout w:type="fixed"/>
        <w:tblLook w:firstColumn="1" w:firstRow="1" w:lastColumn="0" w:lastRow="0" w:noHBand="0" w:noVBand="1" w:val="04A0"/>
      </w:tblPr>
      <w:tblGrid>
        <w:gridCol w:w="2952"/>
        <w:gridCol w:w="6696"/>
      </w:tblGrid>
      <w:tr>
        <w:trPr>
          <w:tblHeader w:val="true"/>
          <w:cantSplit/>
        </w:trPr>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المنتج</w:t>
            </w:r>
          </w:p>
        </w:tc>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ما الذي يراه المستفيد؟</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فهرس المكتبة</w:t>
            </w:r>
          </w:p>
        </w:tc>
        <w:tc>
          <w:tcPr>
            <w:tcW w:type="dxa" w:w="66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بطاقة لكل مصدر فيها العنوان، المؤلف، نوع المادة، السنة، الموضوع، اللغة، والرابط/مكان الطلب.</w:t>
            </w:r>
          </w:p>
        </w:tc>
      </w:tr>
      <w:tr>
        <w:trPr>
          <w:cantSplit/>
        </w:trPr>
        <w:tc>
          <w:tcPr>
            <w:tcW w:type="dxa" w:w="295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دليل مصادر الإسلام والرعاية</w:t>
            </w:r>
          </w:p>
        </w:tc>
        <w:tc>
          <w:tcPr>
            <w:tcW w:type="dxa" w:w="669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قوائم موضوعية محققة وفق اختصاصات شرعية واجتماعية وتربوية متنوعة.</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مجموعات رقمية منسقة</w:t>
            </w:r>
          </w:p>
        </w:tc>
        <w:tc>
          <w:tcPr>
            <w:tcW w:type="dxa" w:w="66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ملفات أصلية مرخصة وروابط مثبتة مع وصف ومصدر وتاريخ حفظ.</w:t>
            </w:r>
          </w:p>
        </w:tc>
      </w:tr>
      <w:tr>
        <w:trPr>
          <w:cantSplit/>
        </w:trPr>
        <w:tc>
          <w:tcPr>
            <w:tcW w:type="dxa" w:w="295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ببليوغرافيا قطاع الأيتام</w:t>
            </w:r>
          </w:p>
        </w:tc>
        <w:tc>
          <w:tcPr>
            <w:tcW w:type="dxa" w:w="669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خريطة متجددة للأبحاث العربية والإسلامية والدولية ونقاط النقص البحثي.</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أرشيف أقحوان الشام</w:t>
            </w:r>
          </w:p>
        </w:tc>
        <w:tc>
          <w:tcPr>
            <w:tcW w:type="dxa" w:w="66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فهرسة الأعداد المنشورة القديمة وتوثيق سياقها، وفق حقوق الناشر.</w:t>
            </w:r>
          </w:p>
        </w:tc>
      </w:tr>
      <w:tr>
        <w:trPr>
          <w:cantSplit/>
        </w:trPr>
        <w:tc>
          <w:tcPr>
            <w:tcW w:type="dxa" w:w="295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سجل ذاكرة الشام</w:t>
            </w:r>
          </w:p>
        </w:tc>
        <w:tc>
          <w:tcPr>
            <w:tcW w:type="dxa" w:w="669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فهرس زمني مؤسسي للأحداث والوثائق والرواد دون كشف تفاصيل الأطفال.</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التصنيف والبيانات الوصفية</w:t>
      </w:r>
    </w:p>
    <w:p>
      <w:pPr>
        <w:jc w:val="right"/>
        <w:bidi w:val="1"/>
      </w:pPr>
      <w:r>
        <w:rPr>
          <w:rFonts w:ascii="Noto Naskh Arabic" w:hAnsi="Noto Naskh Arabic" w:eastAsia="Noto Naskh Arabic" w:cs="Noto Naskh Arabic"/>
          <w:b w:val="0"/>
          <w:color w:val="263A31"/>
          <w:sz w:val="22"/>
          <w:szCs w:val="22"/>
          <w:bCs w:val="0"/>
          <w:rtl w:val="1"/>
          <w:lang w:bidi="ar-SY"/>
        </w:rPr>
        <w:t>ينبغي الجمع بين تصنيف مكتبي معتمد قدر الإمكان وبين معجم موضوعات متخصص بمفردات عربية قابلة للترجمة؛ وألّا يُبنى نظام تصنيف مغلق يتوقف على شخص واحد. الحد الأدنى لبطاقة كل وعاء: رقم ثابت، عنوان، منشئ/مؤلف، تاريخ، لغة، نطاق جغرافي، موضوعات مضبوطة، ملخص، مصدر وتاريخ الإضافة، حالة الحقوق، مستوى الإتاحة، نسخة/مكان حفظ، بصمة سلامة ملف إن وجد، حالة المراجعة، وآخر تحديث.</w:t>
      </w:r>
    </w:p>
    <w:tbl>
      <w:tblPr>
        <w:tblW w:type="auto" w:w="0"/>
        <w:jc w:val="center"/>
        <w:tblLayout w:type="fixed"/>
        <w:tblLook w:firstColumn="1" w:firstRow="1" w:lastColumn="0" w:lastRow="0" w:noHBand="0" w:noVBand="1" w:val="04A0"/>
      </w:tblPr>
      <w:tblGrid>
        <w:gridCol w:w="2448"/>
        <w:gridCol w:w="7200"/>
      </w:tblGrid>
      <w:tr>
        <w:trPr>
          <w:tblHeader w:val="true"/>
          <w:cantSplit/>
        </w:trPr>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مثال الحقل</w:t>
            </w:r>
          </w:p>
        </w:tc>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تطبيق توضيحي لأول بطاقة أرشيفية</w:t>
            </w:r>
          </w:p>
        </w:tc>
      </w:tr>
      <w:tr>
        <w:trPr>
          <w:cantSplit/>
        </w:trPr>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معرّف الأرشيف</w:t>
            </w:r>
          </w:p>
        </w:tc>
        <w:tc>
          <w:tcPr>
            <w:tcW w:type="dxa" w:w="72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SHAM-ARCH-2013-001 (صيغة مقترحة)</w:t>
            </w:r>
          </w:p>
        </w:tc>
      </w:tr>
      <w:tr>
        <w:trPr>
          <w:cantSplit/>
        </w:trPr>
        <w:tc>
          <w:tcPr>
            <w:tcW w:type="dxa" w:w="24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العنوان</w:t>
            </w:r>
          </w:p>
        </w:tc>
        <w:tc>
          <w:tcPr>
            <w:tcW w:type="dxa" w:w="720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دعوة الجمعيات والمؤسسات الخيرية للملتقى التنسيقي</w:t>
            </w:r>
          </w:p>
        </w:tc>
      </w:tr>
      <w:tr>
        <w:trPr>
          <w:cantSplit/>
        </w:trPr>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التاريخ والمنشأ</w:t>
            </w:r>
          </w:p>
        </w:tc>
        <w:tc>
          <w:tcPr>
            <w:tcW w:type="dxa" w:w="72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23 يوليو 2013 / منشور بموقع جمعية الشام</w:t>
            </w:r>
          </w:p>
        </w:tc>
      </w:tr>
      <w:tr>
        <w:trPr>
          <w:cantSplit/>
        </w:trPr>
        <w:tc>
          <w:tcPr>
            <w:tcW w:type="dxa" w:w="24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الموضوع</w:t>
            </w:r>
          </w:p>
        </w:tc>
        <w:tc>
          <w:tcPr>
            <w:tcW w:type="dxa" w:w="720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تنسيق الجمعيات، منع الازدواجية، توحيد الاستمارات</w:t>
            </w:r>
          </w:p>
        </w:tc>
      </w:tr>
      <w:tr>
        <w:trPr>
          <w:cantSplit/>
        </w:trPr>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الحقوق والإتاحة</w:t>
            </w:r>
          </w:p>
        </w:tc>
        <w:tc>
          <w:tcPr>
            <w:tcW w:type="dxa" w:w="720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فهرسة وصفية ورابط للمصدر؛ إعادة نشر الملف بعد موافقة مالك الحقوق</w:t>
            </w:r>
          </w:p>
        </w:tc>
      </w:tr>
      <w:tr>
        <w:trPr>
          <w:cantSplit/>
        </w:trPr>
        <w:tc>
          <w:tcPr>
            <w:tcW w:type="dxa" w:w="24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درجة الحساسية</w:t>
            </w:r>
          </w:p>
        </w:tc>
        <w:tc>
          <w:tcPr>
            <w:tcW w:type="dxa" w:w="720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محتوى علني تاريخي؛ مراجعة أي أرقام اتصال أو معلومات أشخاص قبل حفظ نسخ عامة</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سياسة الوصول الثلاثي وحماية المواد</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عام: أوصاف المصادر والتقارير المصرح بنشرها، وملفات مرخصة صراحة.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مقيّد للباحثين: ملفات محددة مع ترخيص مكتوب وتقييم مخاطر ومسؤولية حفظ وسجل دخول.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سري/مغلق: معلومات تعريف الأطفال أو ملفات الحالات أو المواد ذات الخطر؛ الأصل عدم نقلها إلى نظام المكتبة أو فهرستها في واجهة عامة.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لا تكفي إزالة الاسم دائمًا لإخفاء الهوية، خاصة مع الصور والمواقع الدقيقة والقصص النادرة؛ تجري مراجعة مخاطر إعادة التعرف قبل أي إتاحة. [9-10]</w:t>
      </w:r>
    </w:p>
    <w:p>
      <w:pPr>
        <w:pStyle w:val="Heading2"/>
        <w:jc w:val="right"/>
        <w:bidi w:val="1"/>
      </w:pPr>
      <w:r>
        <w:rPr>
          <w:rFonts w:ascii="Noto Kufi Arabic" w:hAnsi="Noto Kufi Arabic" w:eastAsia="Noto Kufi Arabic" w:cs="Noto Kufi Arabic"/>
          <w:b/>
          <w:color w:val="986E0B"/>
          <w:sz w:val="24"/>
          <w:szCs w:val="24"/>
          <w:bCs w:val="1"/>
          <w:rtl w:val="1"/>
          <w:lang w:bidi="ar-SY"/>
        </w:rPr>
        <w:t>الحفظ الرقمي طويل المدى</w:t>
      </w:r>
    </w:p>
    <w:p>
      <w:pPr>
        <w:jc w:val="right"/>
        <w:bidi w:val="1"/>
      </w:pPr>
      <w:r>
        <w:rPr>
          <w:rFonts w:ascii="Noto Naskh Arabic" w:hAnsi="Noto Naskh Arabic" w:eastAsia="Noto Naskh Arabic" w:cs="Noto Naskh Arabic"/>
          <w:b w:val="0"/>
          <w:color w:val="263A31"/>
          <w:sz w:val="22"/>
          <w:szCs w:val="22"/>
          <w:bCs w:val="0"/>
          <w:rtl w:val="1"/>
          <w:lang w:bidi="ar-SY"/>
        </w:rPr>
        <w:t>يُقترح نموذج نسخ احتياطي متعدد المواقع والوسائط (3-2-1 كهدف تقني)، مع نسخ أصلية للحفظ ونسخ للخدمة، وتوثيق الأذونات والإصدارات، وفحص دوري لسلامة الملفات، وخطة استعادة بعد الكوارث. ويستلهم هذا الفصل بين الوصول والحفظ من توجيهات الاتحاد الدولي لجمعيات ومؤسسات المكتبات IFLA، مع حماية حقوق أصحاب المواد. [11-12]</w:t>
      </w:r>
    </w:p>
    <w:p>
      <w:pPr>
        <w:pStyle w:val="Heading2"/>
        <w:jc w:val="right"/>
        <w:bidi w:val="1"/>
      </w:pPr>
      <w:r>
        <w:rPr>
          <w:rFonts w:ascii="Noto Kufi Arabic" w:hAnsi="Noto Kufi Arabic" w:eastAsia="Noto Kufi Arabic" w:cs="Noto Kufi Arabic"/>
          <w:b/>
          <w:color w:val="986E0B"/>
          <w:sz w:val="24"/>
          <w:szCs w:val="24"/>
          <w:bCs w:val="1"/>
          <w:rtl w:val="1"/>
          <w:lang w:bidi="ar-SY"/>
        </w:rPr>
        <w:t>تدرج نمو المكتبة</w:t>
      </w:r>
    </w:p>
    <w:tbl>
      <w:tblPr>
        <w:tblW w:type="auto" w:w="0"/>
        <w:jc w:val="center"/>
        <w:tblLayout w:type="fixed"/>
        <w:tblLook w:firstColumn="1" w:firstRow="1" w:lastColumn="0" w:lastRow="0" w:noHBand="0" w:noVBand="1" w:val="04A0"/>
      </w:tblPr>
      <w:tblGrid>
        <w:gridCol w:w="1584"/>
        <w:gridCol w:w="4752"/>
        <w:gridCol w:w="3312"/>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الفترة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إنجاز مستهدف قابل للقياس</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ضابط الجودة</w:t>
            </w:r>
          </w:p>
        </w:tc>
      </w:tr>
      <w:tr>
        <w:trPr>
          <w:cantSplit/>
        </w:trPr>
        <w:tc>
          <w:tcPr>
            <w:tcW w:type="dxa" w:w="158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أول 100 يوم</w:t>
            </w:r>
          </w:p>
        </w:tc>
        <w:tc>
          <w:tcPr>
            <w:tcW w:type="dxa" w:w="47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جرد المصادر العامة، معجم مصطلحات أولي، 50-100 بطاقة نموذجية</w:t>
            </w:r>
          </w:p>
        </w:tc>
        <w:tc>
          <w:tcPr>
            <w:tcW w:type="dxa" w:w="33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وصفية وحقوقية لعينة 100% من البطاقات التجريبية</w:t>
            </w:r>
          </w:p>
        </w:tc>
      </w:tr>
      <w:tr>
        <w:trPr>
          <w:cantSplit/>
        </w:trPr>
        <w:tc>
          <w:tcPr>
            <w:tcW w:type="dxa" w:w="158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نهاية سنة 1</w:t>
            </w:r>
          </w:p>
        </w:tc>
        <w:tc>
          <w:tcPr>
            <w:tcW w:type="dxa" w:w="475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400 سجل فهرسي موثق؛ 100 ملف رقمي مرخص/مفتوح قدر الإمكان</w:t>
            </w:r>
          </w:p>
        </w:tc>
        <w:tc>
          <w:tcPr>
            <w:tcW w:type="dxa" w:w="331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سجل استحواذ وحقوق، نسخة احتياطية واختبار استعادة</w:t>
            </w:r>
          </w:p>
        </w:tc>
      </w:tr>
      <w:tr>
        <w:trPr>
          <w:cantSplit/>
        </w:trPr>
        <w:tc>
          <w:tcPr>
            <w:tcW w:type="dxa" w:w="158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نهاية سنة 3</w:t>
            </w:r>
          </w:p>
        </w:tc>
        <w:tc>
          <w:tcPr>
            <w:tcW w:type="dxa" w:w="47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2,000 سجل، 500 مادة رقمية مؤهلة، تعاون مع 4 مكتبات/جامعات</w:t>
            </w:r>
          </w:p>
        </w:tc>
        <w:tc>
          <w:tcPr>
            <w:tcW w:type="dxa" w:w="33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جودة فصلية وعملية استرجاع وتجربة مستخدم</w:t>
            </w:r>
          </w:p>
        </w:tc>
      </w:tr>
      <w:tr>
        <w:trPr>
          <w:cantSplit/>
        </w:trPr>
        <w:tc>
          <w:tcPr>
            <w:tcW w:type="dxa" w:w="158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نهاية سنة 5</w:t>
            </w:r>
          </w:p>
        </w:tc>
        <w:tc>
          <w:tcPr>
            <w:tcW w:type="dxa" w:w="475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5,000 سجل، 1,200 مادة رقمية مؤهلة، نظام إيداع مؤسسي</w:t>
            </w:r>
          </w:p>
        </w:tc>
        <w:tc>
          <w:tcPr>
            <w:tcW w:type="dxa" w:w="331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تقييم حفظ وأمن وحقوق مستقل وتجديد المعدات</w:t>
            </w:r>
          </w:p>
        </w:tc>
      </w:tr>
    </w:tbl>
    <w:p>
      <w:pPr>
        <w:spacing w:after="0"/>
      </w:pPr>
    </w:p>
    <w:p>
      <w:pPr>
        <w:spacing w:after="100"/>
        <w:jc w:val="right"/>
        <w:bidi w:val="1"/>
      </w:pPr>
      <w:r>
        <w:rPr>
          <w:rFonts w:ascii="Noto Naskh Arabic" w:hAnsi="Noto Naskh Arabic" w:eastAsia="Noto Naskh Arabic" w:cs="Noto Naskh Arabic"/>
          <w:b w:val="0"/>
          <w:color w:val="637169"/>
          <w:sz w:val="19"/>
          <w:szCs w:val="19"/>
          <w:bCs w:val="0"/>
          <w:rtl w:val="1"/>
          <w:lang w:bidi="ar-SY"/>
        </w:rPr>
        <w:t>جميع الكميات أعلاه أهداف تخطيطية مشروطة بالمخصصات والحقوق وتوافر المواد؛ ليست جردًا فعليًا لمقتنيات حالية.</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12  |  الأرشيف التاريخي ومشروع الذاكرة المؤسسية</w:t>
      </w:r>
    </w:p>
    <w:p>
      <w:pPr>
        <w:pStyle w:val="Heading2"/>
        <w:jc w:val="right"/>
        <w:bidi w:val="1"/>
      </w:pPr>
      <w:r>
        <w:rPr>
          <w:rFonts w:ascii="Noto Kufi Arabic" w:hAnsi="Noto Kufi Arabic" w:eastAsia="Noto Kufi Arabic" w:cs="Noto Kufi Arabic"/>
          <w:b/>
          <w:color w:val="986E0B"/>
          <w:sz w:val="24"/>
          <w:szCs w:val="24"/>
          <w:bCs w:val="1"/>
          <w:rtl w:val="1"/>
          <w:lang w:bidi="ar-SY"/>
        </w:rPr>
        <w:t>فكرة «ذاكرة الكفالة في الشام والعالم الإسلامي»</w:t>
      </w:r>
    </w:p>
    <w:p>
      <w:pPr>
        <w:jc w:val="right"/>
        <w:bidi w:val="1"/>
      </w:pPr>
      <w:r>
        <w:rPr>
          <w:rFonts w:ascii="Noto Naskh Arabic" w:hAnsi="Noto Naskh Arabic" w:eastAsia="Noto Naskh Arabic" w:cs="Noto Naskh Arabic"/>
          <w:b w:val="0"/>
          <w:color w:val="263A31"/>
          <w:sz w:val="22"/>
          <w:szCs w:val="22"/>
          <w:bCs w:val="0"/>
          <w:rtl w:val="1"/>
          <w:lang w:bidi="ar-SY"/>
        </w:rPr>
        <w:t>يُنشأ برنامج تاريخ شفوي ووثائقي يرصد تطور مبادرات الرعاية والكفالة والتحولات الاجتماعية والتشريعية والمؤسسية، بدءًا من تجربة جمعية الشام عند توافر الموافقات، ثم التجارب السورية والعربية والإسلامية المقارنة. تتجاوز الغاية سرد الإنجازات إلى حفظ القرارات والخلافات المهنية والدروس والدراسات التي تساعد الأجيال اللاحقة على معرفة ما نجح وما لم ينجح ولماذا.</w:t>
      </w:r>
    </w:p>
    <w:p>
      <w:pPr>
        <w:pStyle w:val="Heading2"/>
        <w:jc w:val="right"/>
        <w:bidi w:val="1"/>
      </w:pPr>
      <w:r>
        <w:rPr>
          <w:rFonts w:ascii="Noto Kufi Arabic" w:hAnsi="Noto Kufi Arabic" w:eastAsia="Noto Kufi Arabic" w:cs="Noto Kufi Arabic"/>
          <w:b/>
          <w:color w:val="986E0B"/>
          <w:sz w:val="24"/>
          <w:szCs w:val="24"/>
          <w:bCs w:val="1"/>
          <w:rtl w:val="1"/>
          <w:lang w:bidi="ar-SY"/>
        </w:rPr>
        <w:t>سبعة مسارات توثيقية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التأسيس والحوكمة: مواثيق ووثائق تأسيس وإجراءات ومفاصل تحول موثقة.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البرامج: تغير مناهج التعليم والصحة والحماية والتمكين بمرور الزمن مع وصف سياقها.</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النشر: أرشفة مؤلفات الجمعية ومجلة «أقحوان الشام» وكل دورية مسموح بها.</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تاريخ الأوقاف والتكافل الإسلامي: النماذج التاريخية المعتمدة والمصادر الأصلية والمراجعات النقدية.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الرواة الراشدون: حوارات مع عاملين وخبراء وشركاء ومتبرعين بعد موافقات واعية وحدود نشر محددة.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التعلم من الأزمات: نماذج التنسيق والاستجابة، مع إخفاء أو استبعاد المعلومات التي تكشف أطفالًا أو تعرّض آخرين للضرر.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فهرس المؤسسات: وصف عام لمؤسسات القطاع ومبادراتها ومصادرها العلنية، لا قاعدة بيانات مشتركة عن المستفيدين.</w:t>
      </w:r>
    </w:p>
    <w:p>
      <w:pPr>
        <w:pStyle w:val="Heading2"/>
        <w:jc w:val="right"/>
        <w:bidi w:val="1"/>
      </w:pPr>
      <w:r>
        <w:rPr>
          <w:rFonts w:ascii="Noto Kufi Arabic" w:hAnsi="Noto Kufi Arabic" w:eastAsia="Noto Kufi Arabic" w:cs="Noto Kufi Arabic"/>
          <w:b/>
          <w:color w:val="986E0B"/>
          <w:sz w:val="24"/>
          <w:szCs w:val="24"/>
          <w:bCs w:val="1"/>
          <w:rtl w:val="1"/>
          <w:lang w:bidi="ar-SY"/>
        </w:rPr>
        <w:t>سلسلة سنوية مقترحة</w:t>
      </w:r>
    </w:p>
    <w:p>
      <w:pPr>
        <w:jc w:val="right"/>
        <w:bidi w:val="1"/>
      </w:pPr>
      <w:r>
        <w:rPr>
          <w:rFonts w:ascii="Noto Naskh Arabic" w:hAnsi="Noto Naskh Arabic" w:eastAsia="Noto Naskh Arabic" w:cs="Noto Naskh Arabic"/>
          <w:b w:val="0"/>
          <w:color w:val="263A31"/>
          <w:sz w:val="22"/>
          <w:szCs w:val="22"/>
          <w:bCs w:val="0"/>
          <w:rtl w:val="1"/>
          <w:lang w:bidi="ar-SY"/>
        </w:rPr>
        <w:t>«وثيقة وشهادة»: إصدار سنوي محقق يختار قضية تاريخية واحدة؛ يورد الوثيقة الأصلية إن جاز نشرها، ويسرد سياقها، ويقابل شهودًا راشدين من اتجاهات مختلفة، ويوضح مستوى التحقق وحدود الرواية والوثائق الغائبة. لا تُنتج سلسلة تمجيدية مغلقة، بل ذاكرة مهنية قابلة للتصويب.</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13  |  مجالات الدراسات والبحث الرئيسية: خريطة متعددة التخصصات</w:t>
      </w:r>
    </w:p>
    <w:p>
      <w:pPr>
        <w:jc w:val="right"/>
        <w:bidi w:val="1"/>
      </w:pPr>
      <w:r>
        <w:rPr>
          <w:rFonts w:ascii="Noto Naskh Arabic" w:hAnsi="Noto Naskh Arabic" w:eastAsia="Noto Naskh Arabic" w:cs="Noto Naskh Arabic"/>
          <w:b w:val="0"/>
          <w:color w:val="263A31"/>
          <w:sz w:val="22"/>
          <w:szCs w:val="22"/>
          <w:bCs w:val="0"/>
          <w:rtl w:val="1"/>
          <w:lang w:bidi="ar-SY"/>
        </w:rPr>
        <w:t>يمتد نطاق عمل المركز ليشمل مختلف مراحل حياة اليتيم ومن فقدوا الرعاية الوالدية أو تعرّضوا لهشاشتها، عبر دراسات تجمع التأصيل النظري والتحليل التاريخي والبحث الميداني والتقييم التطبيقي. ويكون البعد الإسلامي والأولوية العربية محورين تأسيسيين، مع الاستفادة النقدية والمقارنة من الخبرات الدولية. لا تعني هذه الخريطة إطلاق ستة عشر مشروعًا دفعة واحدة، بل تحديد محفظة بحثية تمتد لسنوات وتُرتب سنويًا بحسب الحاجة والأخلاق والتمويل.</w:t>
      </w:r>
    </w:p>
    <w:p>
      <w:pPr>
        <w:pStyle w:val="Heading2"/>
        <w:jc w:val="right"/>
        <w:bidi w:val="1"/>
      </w:pPr>
      <w:r>
        <w:rPr>
          <w:rFonts w:ascii="Noto Kufi Arabic" w:hAnsi="Noto Kufi Arabic" w:eastAsia="Noto Kufi Arabic" w:cs="Noto Kufi Arabic"/>
          <w:b/>
          <w:color w:val="986E0B"/>
          <w:sz w:val="24"/>
          <w:szCs w:val="24"/>
          <w:bCs w:val="1"/>
          <w:rtl w:val="1"/>
          <w:lang w:bidi="ar-SY"/>
        </w:rPr>
        <w:t>المجموعة الأولى | الحقوق والإنسان والأسرة (01-08)</w:t>
      </w:r>
    </w:p>
    <w:tbl>
      <w:tblPr>
        <w:tblW w:type="auto" w:w="0"/>
        <w:jc w:val="center"/>
        <w:tblLayout w:type="fixed"/>
        <w:tblLook w:firstColumn="1" w:firstRow="1" w:lastColumn="0" w:lastRow="0" w:noHBand="0" w:noVBand="1" w:val="04A0"/>
      </w:tblPr>
      <w:tblGrid>
        <w:gridCol w:w="2520"/>
        <w:gridCol w:w="4536"/>
        <w:gridCol w:w="2592"/>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المجال البحثي</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أسئلة ومحاور أساسية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منتج علمي أو تطبيقي</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01 | التأصيل الشرعي الإسلامي</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أحكام اليتيم والكفالة والولاية والنفقة والوقف والزكاة ومقاصد الحفظ؛ الفروق بين المذاهب والتطبيقات المعاصرة.</w:t>
            </w:r>
          </w:p>
        </w:tc>
        <w:tc>
          <w:tcPr>
            <w:tcW w:type="dxa" w:w="25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موسوعة موضوعية موثقة وموجزات للجهات المختصة</w:t>
            </w:r>
          </w:p>
        </w:tc>
      </w:tr>
      <w:tr>
        <w:trPr>
          <w:cantSplit/>
        </w:trPr>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02 | التاريخ الإسلامي والاجتماعي</w:t>
            </w:r>
          </w:p>
        </w:tc>
        <w:tc>
          <w:tcPr>
            <w:tcW w:type="dxa" w:w="45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المؤسسات الوقفية، الكتاتيب، دور الرعاية، التاريخ الشفوي، والوثائق الاجتماعية المتعلقة بالكفالة.</w:t>
            </w:r>
          </w:p>
        </w:tc>
        <w:tc>
          <w:tcPr>
            <w:tcW w:type="dxa" w:w="259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فهرس مخطوطات ووثائق ودراسات تاريخية نقدية</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03 | حقوق الطفل والتشريع</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حقوق الهوية والنسب والتسجيل المدني والحماية والخصوصية والنفقة والرعاية البديلة، والمقارنات النظامية بين البلدان.</w:t>
            </w:r>
          </w:p>
        </w:tc>
        <w:tc>
          <w:tcPr>
            <w:tcW w:type="dxa" w:w="25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أوراق تشريعية ومصفوفات امتثال مرجعية</w:t>
            </w:r>
          </w:p>
        </w:tc>
      </w:tr>
      <w:tr>
        <w:trPr>
          <w:cantSplit/>
        </w:trPr>
        <w:tc>
          <w:tcPr>
            <w:tcW w:type="dxa" w:w="25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04 | الديموغرافيا والاحتياجات</w:t>
            </w:r>
          </w:p>
        </w:tc>
        <w:tc>
          <w:tcPr>
            <w:tcW w:type="dxa" w:w="453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تعاريف اليتم وفقد الرعاية والعيش في الشارع، التوزيع والفجوات، والتحولات السكانية وحدود العد والمقارنة.</w:t>
            </w:r>
          </w:p>
        </w:tc>
        <w:tc>
          <w:tcPr>
            <w:tcW w:type="dxa" w:w="259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لوحة مؤشرات عامة قاموس مصطلحات وفجوات بيانات</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05 | الأسرة والمجتمع الحاضن</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دعم الوالد/الوالدة الباقي والأسر بعد الطلاق عند ضعف الرعاية، وأثر النفقة والمسؤولية الأسرية، ومنع الفصل غير الضروري.</w:t>
            </w:r>
          </w:p>
        </w:tc>
        <w:tc>
          <w:tcPr>
            <w:tcW w:type="dxa" w:w="25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دليل برامج داعمة للأسرة ومراجعة أدلة</w:t>
            </w:r>
          </w:p>
        </w:tc>
      </w:tr>
      <w:tr>
        <w:trPr>
          <w:cantSplit/>
        </w:trPr>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06 | الرعاية البديلة وحماية الطفل</w:t>
            </w:r>
          </w:p>
        </w:tc>
        <w:tc>
          <w:tcPr>
            <w:tcW w:type="dxa" w:w="45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الرعاية الأسرية والمؤسسية، مجهولو الوالدين، والأطفال المنفصلون أو غير المصحوبين، وأوضاع الشارع، وقرارات الحماية الآمنة.</w:t>
            </w:r>
          </w:p>
        </w:tc>
        <w:tc>
          <w:tcPr>
            <w:tcW w:type="dxa" w:w="259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معايير جودة وأداة تقييم مخاطر حذرة</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07 | الصحة النفسية والنمائية</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الفقد والحزن والصدمات، التكيف والقدرة على الصمود، وإحالات الدعم المتخصص بحسب السياق.</w:t>
            </w:r>
          </w:p>
        </w:tc>
        <w:tc>
          <w:tcPr>
            <w:tcW w:type="dxa" w:w="25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مراجعات تدخلات وتوصيات إحالة وتدريب</w:t>
            </w:r>
          </w:p>
        </w:tc>
      </w:tr>
      <w:tr>
        <w:trPr>
          <w:cantSplit/>
        </w:trPr>
        <w:tc>
          <w:tcPr>
            <w:tcW w:type="dxa" w:w="25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08 | التعليم والمعرفة</w:t>
            </w:r>
          </w:p>
        </w:tc>
        <w:tc>
          <w:tcPr>
            <w:tcW w:type="dxa" w:w="453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التحصيل والانقطاع المدرسي، محو الأمية، التعلم الرقمي، الجامعات، وجودة البيئة المدرسية.</w:t>
            </w:r>
          </w:p>
        </w:tc>
        <w:tc>
          <w:tcPr>
            <w:tcW w:type="dxa" w:w="259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أداة رصد الاستمرار الدراسي ومسارات دعم</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المجموعة الثانية | التمكين والمؤسسة والمستقبل (09-16)</w:t>
      </w:r>
    </w:p>
    <w:tbl>
      <w:tblPr>
        <w:tblW w:type="auto" w:w="0"/>
        <w:jc w:val="center"/>
        <w:tblLayout w:type="fixed"/>
        <w:tblLook w:firstColumn="1" w:firstRow="1" w:lastColumn="0" w:lastRow="0" w:noHBand="0" w:noVBand="1" w:val="04A0"/>
      </w:tblPr>
      <w:tblGrid>
        <w:gridCol w:w="2520"/>
        <w:gridCol w:w="4536"/>
        <w:gridCol w:w="2592"/>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المجال البحثي</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أسئلة ومحاور أساسية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منتج علمي أو تطبيقي</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09 | النمو الاجتماعي والهوية</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الانتماء والعلاقات الآمنة ومواجهة الوصم المرتبط بالنسب والطلاق والعيش في الشارع، والمهارات الحياتية والمشاركة.</w:t>
            </w:r>
          </w:p>
        </w:tc>
        <w:tc>
          <w:tcPr>
            <w:tcW w:type="dxa" w:w="25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مؤشرات اندماج وتوصيات تعليم غير نظامي</w:t>
            </w:r>
          </w:p>
        </w:tc>
      </w:tr>
      <w:tr>
        <w:trPr>
          <w:cantSplit/>
        </w:trPr>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10 | الانتقال إلى الشباب والعمل</w:t>
            </w:r>
          </w:p>
        </w:tc>
        <w:tc>
          <w:tcPr>
            <w:tcW w:type="dxa" w:w="45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التعليم المهني والجامعي، المهارات الرقمية، الإرشاد، التوظيف والريادة والادخار والانتقال بعد سن الرشد.</w:t>
            </w:r>
          </w:p>
        </w:tc>
        <w:tc>
          <w:tcPr>
            <w:tcW w:type="dxa" w:w="259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نموذج مسار استقلال ومتابعة طويلة الأمد</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11 | الفتيات والفروق الاجتماعية</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العدالة في الوصول إلى الخدمات، مخاطر الانقطاع، احتياجات اليافعات والدعم الأسري دون تنميط.</w:t>
            </w:r>
          </w:p>
        </w:tc>
        <w:tc>
          <w:tcPr>
            <w:tcW w:type="dxa" w:w="25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تحليل إنصاف وإرشادات برنامجية</w:t>
            </w:r>
          </w:p>
        </w:tc>
      </w:tr>
      <w:tr>
        <w:trPr>
          <w:cantSplit/>
        </w:trPr>
        <w:tc>
          <w:tcPr>
            <w:tcW w:type="dxa" w:w="25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12 | الإعاقة والاحتياجات الإضافية</w:t>
            </w:r>
          </w:p>
        </w:tc>
        <w:tc>
          <w:tcPr>
            <w:tcW w:type="dxa" w:w="453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إتاحة الخدمات والأجهزة المساعدة والتعلم الدامج والعوائق المكانية والرقمية والتواصل.</w:t>
            </w:r>
          </w:p>
        </w:tc>
        <w:tc>
          <w:tcPr>
            <w:tcW w:type="dxa" w:w="259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معايير شمول ومراجعة إمكانية الوصول</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13 | الأزمات والنزوح واللجوء</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آثار الحرب والنزوح واختفاء/فقد الراعي وفقد الوثائق والفصل الأسري وتعطل التعليم والاستجابة طويلة المدى.</w:t>
            </w:r>
          </w:p>
        </w:tc>
        <w:tc>
          <w:tcPr>
            <w:tcW w:type="dxa" w:w="25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دراسات حساسة للنزاع وسيناريوهات استجابة</w:t>
            </w:r>
          </w:p>
        </w:tc>
      </w:tr>
      <w:tr>
        <w:trPr>
          <w:cantSplit/>
        </w:trPr>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14 | اقتصاد الكفالة والوقف</w:t>
            </w:r>
          </w:p>
        </w:tc>
        <w:tc>
          <w:tcPr>
            <w:tcW w:type="dxa" w:w="45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جدوى نماذج التمويل، أثر الزكاة والأوقاف، الكلفة الحقيقية للبرامج وعدالة التخصيص والمساءلة.</w:t>
            </w:r>
          </w:p>
        </w:tc>
        <w:tc>
          <w:tcPr>
            <w:tcW w:type="dxa" w:w="259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نماذج جدوى وموجزات تمويل مستدام</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15 | جودة المؤسسات وقياس الأثر</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حوكمة الجمعيات، كفاءة الموارد، جودة الحالات، نماذج المتابعة والتقييم والتعلم (MEL).</w:t>
            </w:r>
          </w:p>
        </w:tc>
        <w:tc>
          <w:tcPr>
            <w:tcW w:type="dxa" w:w="25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بروتوكولات تقييم ودليل حوكمة ميداني</w:t>
            </w:r>
          </w:p>
        </w:tc>
      </w:tr>
      <w:tr>
        <w:trPr>
          <w:cantSplit/>
        </w:trPr>
        <w:tc>
          <w:tcPr>
            <w:tcW w:type="dxa" w:w="25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16 | التحول الرقمي والاستشراف</w:t>
            </w:r>
          </w:p>
        </w:tc>
        <w:tc>
          <w:tcPr>
            <w:tcW w:type="dxa" w:w="453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الذكاء الاصطناعي المسؤول، النزاهة الرقمية، الهجرة والتحولات السكانية، المناخ والعمل المستقبلي.</w:t>
            </w:r>
          </w:p>
        </w:tc>
        <w:tc>
          <w:tcPr>
            <w:tcW w:type="dxa" w:w="259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مرصد اتجاهات وتقرير استشرافي دوري</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عدسة بحثية عابرة للمجالات: الأطفال الذين تغيب عنهم الرعاية الوالدية أو تضعف</w:t>
      </w:r>
    </w:p>
    <w:p>
      <w:pPr>
        <w:jc w:val="right"/>
        <w:bidi w:val="1"/>
      </w:pPr>
      <w:r>
        <w:rPr>
          <w:rFonts w:ascii="Noto Naskh Arabic" w:hAnsi="Noto Naskh Arabic" w:eastAsia="Noto Naskh Arabic" w:cs="Noto Naskh Arabic"/>
          <w:b w:val="0"/>
          <w:color w:val="263A31"/>
          <w:sz w:val="22"/>
          <w:szCs w:val="22"/>
          <w:bCs w:val="0"/>
          <w:rtl w:val="1"/>
          <w:lang w:bidi="ar-SY"/>
        </w:rPr>
        <w:t>هذه عدسة منهجية تتوزع على مجالات الحقوق والأسرة والحماية والصحة النفسية والتعليم والمعلومات، ولا تنشئ مركزًا موازيًا أو تغير الاسم والرسالة. تُستخدم التسميات القانونية أو الفقهية في سياقها العلمي فقط؛ ويُفضّل في التواصل العام وصف احتياج الطفل وحقه بدل إلصاق تصنيف شخصي به. [6-7، 20-23]</w:t>
      </w:r>
    </w:p>
    <w:tbl>
      <w:tblPr>
        <w:tblW w:type="auto" w:w="0"/>
        <w:jc w:val="center"/>
        <w:tblLayout w:type="fixed"/>
        <w:tblLook w:firstColumn="1" w:firstRow="1" w:lastColumn="0" w:lastRow="0" w:noHBand="0" w:noVBand="1" w:val="04A0"/>
      </w:tblPr>
      <w:tblGrid>
        <w:gridCol w:w="2736"/>
        <w:gridCol w:w="4248"/>
        <w:gridCol w:w="2664"/>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الحالة التي قد تشملها الدراسات</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سؤال البحث والتدخل المؤسسي</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التمييز الذي يجب حمايته</w:t>
            </w:r>
          </w:p>
        </w:tc>
      </w:tr>
      <w:tr>
        <w:trPr>
          <w:cantSplit/>
        </w:trPr>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اليتيم بسبب وفاة الأب أو أحد الوالدين</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الفقد والتكيف، حقوق الطفل المالية والشرعية، استمرار الأسرة الداعمة، التمكين عبر مراحل العمر.</w:t>
            </w:r>
          </w:p>
        </w:tc>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يُعلن التعريف الفقهي أو الإحصائي المستعمل؛ لا تُنسب إليه خصائص نفسية مسبقة.</w:t>
            </w:r>
          </w:p>
        </w:tc>
      </w:tr>
      <w:tr>
        <w:trPr>
          <w:cantSplit/>
        </w:trPr>
        <w:tc>
          <w:tcPr>
            <w:tcW w:type="dxa" w:w="27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الطفل مجهول الوالدين أو النسب (المسمى «لقيطًا» في بعض الأدبيات)</w:t>
            </w:r>
          </w:p>
        </w:tc>
        <w:tc>
          <w:tcPr>
            <w:tcW w:type="dxa" w:w="42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الهوية المدنية والولاية والرعاية الأسرية البديلة والوصول للتعليم والصحة والحماية من التمييز.</w:t>
            </w:r>
          </w:p>
        </w:tc>
        <w:tc>
          <w:tcPr>
            <w:tcW w:type="dxa" w:w="266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جهل النسب لا يعني غياب الوثائق دائمًا؛ ولا يُختزل الطفل في وصف قانوني حساس.</w:t>
            </w:r>
          </w:p>
        </w:tc>
      </w:tr>
      <w:tr>
        <w:trPr>
          <w:cantSplit/>
        </w:trPr>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الأطفال في أسر منفصلة بعد الطلاق مع غياب فعلي لرعاية الأب</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أثر انقطاع النفقة أو التواصل والرعاية، ودعم الأم أو القائم بالرعاية واستقرار التعليم والصحة.</w:t>
            </w:r>
          </w:p>
        </w:tc>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طلاق الوالدين وحده لا يجعل الطفل يتيمًا ولا يعني أن الأب غائب أو مهمل.</w:t>
            </w:r>
          </w:p>
        </w:tc>
      </w:tr>
      <w:tr>
        <w:trPr>
          <w:cantSplit/>
        </w:trPr>
        <w:tc>
          <w:tcPr>
            <w:tcW w:type="dxa" w:w="273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الأطفال في أوضاع الشارع (أطفال الشوارع في الاستخدام الشائع)</w:t>
            </w:r>
          </w:p>
        </w:tc>
        <w:tc>
          <w:tcPr>
            <w:tcW w:type="dxa" w:w="42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أسباب الارتباط بالشارع والعمل أو الإقامة فيه، ومخاطر الاستغلال، والاتصال الآمن بالخدمات والتعليم.</w:t>
            </w:r>
          </w:p>
        </w:tc>
        <w:tc>
          <w:tcPr>
            <w:tcW w:type="dxa" w:w="266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ليسوا جميعًا أيتامًا أو بلا أسر؛ ولا تُفترض العودة للأسرة آمنة قبل التقييم المختص.</w:t>
            </w:r>
          </w:p>
        </w:tc>
      </w:tr>
      <w:tr>
        <w:trPr>
          <w:cantSplit/>
        </w:trPr>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الأطفال المنفصلون عن أسرهم بسبب نزوح أو نزاع أو غياب راعٍ</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التوثيق والحماية والبحث الأسري المأمون والرعاية المؤقتة والاستمرارية التعليمية.</w:t>
            </w:r>
          </w:p>
        </w:tc>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7"/>
                <w:bCs w:val="0"/>
                <w:rtl w:val="1"/>
                <w:lang w:bidi="ar-SY"/>
              </w:rPr>
              <w:t>الانفصال قد يكون مؤقتًا، ولا يجيز إعلان الطفل يتيمًا أو نشر هويته.</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قاعدة التطبيق المتزن</w:t>
            </w:r>
          </w:p>
          <w:p>
            <w:pPr>
              <w:spacing w:after="0"/>
              <w:jc w:val="right"/>
              <w:bidi w:val="1"/>
            </w:pPr>
            <w:r>
              <w:rPr>
                <w:rFonts w:ascii="Noto Naskh Arabic" w:hAnsi="Noto Naskh Arabic" w:eastAsia="Noto Naskh Arabic" w:cs="Noto Naskh Arabic"/>
                <w:b w:val="0"/>
                <w:color w:val="263A31"/>
                <w:sz w:val="20"/>
                <w:szCs w:val="21"/>
                <w:bCs w:val="0"/>
                <w:rtl w:val="1"/>
                <w:lang w:bidi="ar-SY"/>
              </w:rPr>
              <w:t>المركز يدرس هذه الحالات حيث تتصل فعليًا بضعف الرعاية ومصلحة الطفل. الاختيار البحثي يبدأ بسؤال قابل للإجابة وبشريك حماية مؤهل، لا بإنشاء قوائم بأسماء الأطفال ولا بانتزاع إدارة الحالة من الجهة المختصة. وتُفصل نتائج كل فئة عن الأخرى منعًا للتعميم والتكرار.</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كيف تتحول الخريطة الواسعة إلى أجندة سنوية قابلة للتمويل؟</w:t>
      </w:r>
    </w:p>
    <w:p>
      <w:pPr>
        <w:jc w:val="right"/>
        <w:bidi w:val="1"/>
      </w:pPr>
      <w:r>
        <w:rPr>
          <w:rFonts w:ascii="Noto Naskh Arabic" w:hAnsi="Noto Naskh Arabic" w:eastAsia="Noto Naskh Arabic" w:cs="Noto Naskh Arabic"/>
          <w:b w:val="0"/>
          <w:color w:val="263A31"/>
          <w:sz w:val="22"/>
          <w:szCs w:val="22"/>
          <w:bCs w:val="0"/>
          <w:rtl w:val="1"/>
          <w:lang w:bidi="ar-SY"/>
        </w:rPr>
        <w:t>تُرتب المقترحات بدرجة مركبة لا تعتمد «الإثارة الإعلامية»: حجم المشكلة، ومستوى الأدلة المتاحة، وطلب شركاء التنفيذ، وإمكانية تحسين القرار، وكلفة الدراسة، والمخاطر الأخلاقية. تُختار موضوعات قليلة مترابطة لكل سنة، بحيث تستفيد من المكتبة والمرصد وتغذي المجلة والسياسات والتدريب دون تشتت الموارد.</w:t>
      </w:r>
    </w:p>
    <w:tbl>
      <w:tblPr>
        <w:tblW w:type="auto" w:w="0"/>
        <w:jc w:val="center"/>
        <w:tblLayout w:type="fixed"/>
        <w:tblLook w:firstColumn="1" w:firstRow="1" w:lastColumn="0" w:lastRow="0" w:noHBand="0" w:noVBand="1" w:val="04A0"/>
      </w:tblPr>
      <w:tblGrid>
        <w:gridCol w:w="1224"/>
        <w:gridCol w:w="4320"/>
        <w:gridCol w:w="4104"/>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السنة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الأولوية البحثية المقترحة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أثرها المباشر في أذرع المركز</w:t>
            </w:r>
          </w:p>
        </w:tc>
      </w:tr>
      <w:tr>
        <w:trPr>
          <w:cantSplit/>
        </w:trPr>
        <w:tc>
          <w:tcPr>
            <w:tcW w:type="dxa" w:w="12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w:t>
            </w:r>
          </w:p>
        </w:tc>
        <w:tc>
          <w:tcPr>
            <w:tcW w:type="dxa" w:w="43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التعريفات وقاعدة المعرفة؛ الكفالة المتكاملة؛ خريطة المراجع الإسلامية.</w:t>
            </w:r>
          </w:p>
        </w:tc>
        <w:tc>
          <w:tcPr>
            <w:tcW w:type="dxa" w:w="41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معجم المكتبة؛ مؤشرات أولية؛ دليل خدمات</w:t>
            </w:r>
          </w:p>
        </w:tc>
      </w:tr>
      <w:tr>
        <w:trPr>
          <w:cantSplit/>
        </w:trPr>
        <w:tc>
          <w:tcPr>
            <w:tcW w:type="dxa" w:w="122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2</w:t>
            </w:r>
          </w:p>
        </w:tc>
        <w:tc>
          <w:tcPr>
            <w:tcW w:type="dxa" w:w="43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الانتقال إلى الشباب؛ دعم الأسرة؛ نماذج التمويل والوقف.</w:t>
            </w:r>
          </w:p>
        </w:tc>
        <w:tc>
          <w:tcPr>
            <w:tcW w:type="dxa" w:w="410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تقييمان ميدانيان؛ ملف سياسات؛ منصة خبراء</w:t>
            </w:r>
          </w:p>
        </w:tc>
      </w:tr>
      <w:tr>
        <w:trPr>
          <w:cantSplit/>
        </w:trPr>
        <w:tc>
          <w:tcPr>
            <w:tcW w:type="dxa" w:w="12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3</w:t>
            </w:r>
          </w:p>
        </w:tc>
        <w:tc>
          <w:tcPr>
            <w:tcW w:type="dxa" w:w="43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الصحة النفسية والتعليم والإنصاف؛ جودة المؤسسات.</w:t>
            </w:r>
          </w:p>
        </w:tc>
        <w:tc>
          <w:tcPr>
            <w:tcW w:type="dxa" w:w="41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أدوات قياس قابلة للتكييف؛ مراجعات مقارنة</w:t>
            </w:r>
          </w:p>
        </w:tc>
      </w:tr>
      <w:tr>
        <w:trPr>
          <w:cantSplit/>
        </w:trPr>
        <w:tc>
          <w:tcPr>
            <w:tcW w:type="dxa" w:w="122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4-5</w:t>
            </w:r>
          </w:p>
        </w:tc>
        <w:tc>
          <w:tcPr>
            <w:tcW w:type="dxa" w:w="43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الاستشراف والأزمات والتقنيات؛ دراسات طولية إذا استوفت الشروط.</w:t>
            </w:r>
          </w:p>
        </w:tc>
        <w:tc>
          <w:tcPr>
            <w:tcW w:type="dxa" w:w="410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تقرير سنوي ومستودع أدلة ومحفظة تعاون دولي</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14  |  النموذج المتكامل لبناء شخصية اليتيم وجودة حياته</w:t>
      </w:r>
    </w:p>
    <w:p>
      <w:pPr>
        <w:jc w:val="right"/>
        <w:bidi w:val="1"/>
      </w:pPr>
      <w:r>
        <w:rPr>
          <w:rFonts w:ascii="Noto Naskh Arabic" w:hAnsi="Noto Naskh Arabic" w:eastAsia="Noto Naskh Arabic" w:cs="Noto Naskh Arabic"/>
          <w:b w:val="0"/>
          <w:color w:val="263A31"/>
          <w:sz w:val="22"/>
          <w:szCs w:val="22"/>
          <w:bCs w:val="0"/>
          <w:rtl w:val="1"/>
          <w:lang w:bidi="ar-SY"/>
        </w:rPr>
        <w:t>يقترح المركز نموذجًا تنمويًا عمليًا يدعم شخصية الطفل والشاب من زوايا نفسية واجتماعية وتعليمية واقتصادية، على قاعدة الحقوق والحماية والروابط الأسرية، من دون الحكم على قيمة الطفل أو اختزال هويته في وضع أسرته. تُكيّف أدواته بحسب الوفاة أو غياب الرعاية الفعلي أو الهشاشة الأسرية أو أوضاع الشارع، مع عدم افتراض عجز الأم الحاضنة أو تشابه تجربة طفلين. لا يوجد «ملف شخصية معياري واحد» صالح للجميع؛ وتُستعمل المؤشرات للتحسين لا للتصنيف أو الإقصاء.</w:t>
      </w:r>
    </w:p>
    <w:tbl>
      <w:tblPr>
        <w:tblW w:type="auto" w:w="0"/>
        <w:jc w:val="center"/>
        <w:tblLayout w:type="fixed"/>
        <w:tblLook w:firstColumn="1" w:firstRow="1" w:lastColumn="0" w:lastRow="0" w:noHBand="0" w:noVBand="1" w:val="04A0"/>
      </w:tblPr>
      <w:tblGrid>
        <w:gridCol w:w="2016"/>
        <w:gridCol w:w="4176"/>
        <w:gridCol w:w="3456"/>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البعد</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عناصر الرعاية والتنمية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أمثلة مؤشرات تدريجية غير تشخيصية</w:t>
            </w:r>
          </w:p>
        </w:tc>
      </w:tr>
      <w:tr>
        <w:trPr>
          <w:cantSplit/>
        </w:trPr>
        <w:tc>
          <w:tcPr>
            <w:tcW w:type="dxa" w:w="20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نفسي وعاطفي</w:t>
            </w:r>
          </w:p>
        </w:tc>
        <w:tc>
          <w:tcPr>
            <w:tcW w:type="dxa" w:w="41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الأمان، التكيف مع الفقد، التعبير عن المشاعر، الدعم النفسي المرخص، الشعور بالقدرة.</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الوصول لخدمات دعم مناسبة، تقييم رضا طوعي، إحالات مغلقة بأمان</w:t>
            </w:r>
          </w:p>
        </w:tc>
      </w:tr>
      <w:tr>
        <w:trPr>
          <w:cantSplit/>
        </w:trPr>
        <w:tc>
          <w:tcPr>
            <w:tcW w:type="dxa" w:w="201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اجتماعي وأسري</w:t>
            </w:r>
          </w:p>
        </w:tc>
        <w:tc>
          <w:tcPr>
            <w:tcW w:type="dxa" w:w="417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رابطة أسرية داعمة، مهارات التواصل، الأصدقاء، المشاركة، الحد من الوصمة.</w:t>
            </w:r>
          </w:p>
        </w:tc>
        <w:tc>
          <w:tcPr>
            <w:tcW w:type="dxa" w:w="345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استقرار الرعاية، مشاركة آمنة، فرص اندماج غير تمييزية</w:t>
            </w:r>
          </w:p>
        </w:tc>
      </w:tr>
      <w:tr>
        <w:trPr>
          <w:cantSplit/>
        </w:trPr>
        <w:tc>
          <w:tcPr>
            <w:tcW w:type="dxa" w:w="20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تعليمي ومعرفي</w:t>
            </w:r>
          </w:p>
        </w:tc>
        <w:tc>
          <w:tcPr>
            <w:tcW w:type="dxa" w:w="41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المواظبة، التعلم الأساسي، مهارات رقمية ومعرفية، الانتقال الدراسي المناسب.</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الانتظام الدراسي، تقدّم تعلم قابل للمقارنة ضمن فئات</w:t>
            </w:r>
          </w:p>
        </w:tc>
      </w:tr>
      <w:tr>
        <w:trPr>
          <w:cantSplit/>
        </w:trPr>
        <w:tc>
          <w:tcPr>
            <w:tcW w:type="dxa" w:w="201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اقتصادي ومستقبلي</w:t>
            </w:r>
          </w:p>
        </w:tc>
        <w:tc>
          <w:tcPr>
            <w:tcW w:type="dxa" w:w="417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وعي مالي وعمل ومهارات مهنية وإرشاد، خاصة بعد المراهقة.</w:t>
            </w:r>
          </w:p>
        </w:tc>
        <w:tc>
          <w:tcPr>
            <w:tcW w:type="dxa" w:w="345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جاهزية تدريب، انتقال مشروع لتعلم/عمل، استقرار دخل للشباب البالغين حيث يلائم</w:t>
            </w:r>
          </w:p>
        </w:tc>
      </w:tr>
      <w:tr>
        <w:trPr>
          <w:cantSplit/>
        </w:trPr>
        <w:tc>
          <w:tcPr>
            <w:tcW w:type="dxa" w:w="201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أفق حماية عابر</w:t>
            </w:r>
          </w:p>
        </w:tc>
        <w:tc>
          <w:tcPr>
            <w:tcW w:type="dxa" w:w="41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عدم التمييز، حقوق الخصوصية، أمان البيئة، إتاحة الخدمات، مشاركة الطفل.</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اجتياز معايير الحماية، استجابة الشكاوى، عدم وقوع ضرر</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مراحل عمرية تمنع التعميم المضلل</w:t>
      </w:r>
    </w:p>
    <w:tbl>
      <w:tblPr>
        <w:tblW w:type="auto" w:w="0"/>
        <w:jc w:val="center"/>
        <w:tblLayout w:type="fixed"/>
        <w:tblLook w:firstColumn="1" w:firstRow="1" w:lastColumn="0" w:lastRow="0" w:noHBand="0" w:noVBand="1" w:val="04A0"/>
      </w:tblPr>
      <w:tblGrid>
        <w:gridCol w:w="2664"/>
        <w:gridCol w:w="4032"/>
        <w:gridCol w:w="2952"/>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المرحلة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الأولوية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نوع المخرجات</w:t>
            </w:r>
          </w:p>
        </w:tc>
      </w:tr>
      <w:tr>
        <w:trPr>
          <w:cantSplit/>
        </w:trPr>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الطفولة المبكرة | تقريبًا 0-5</w:t>
            </w:r>
          </w:p>
        </w:tc>
        <w:tc>
          <w:tcPr>
            <w:tcW w:type="dxa" w:w="40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العائلة والتعلق والنمو والرعاية الصحية والتعلم المبكر.</w:t>
            </w:r>
          </w:p>
        </w:tc>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دليل دعم مقدمي الرعاية وإحالات عند الحاجة</w:t>
            </w:r>
          </w:p>
        </w:tc>
      </w:tr>
      <w:tr>
        <w:trPr>
          <w:cantSplit/>
        </w:trPr>
        <w:tc>
          <w:tcPr>
            <w:tcW w:type="dxa" w:w="266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الطفولة المدرسية | 6-12</w:t>
            </w:r>
          </w:p>
        </w:tc>
        <w:tc>
          <w:tcPr>
            <w:tcW w:type="dxa" w:w="40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استقرار التعلم والأقران والبيئة الآمنة والكفايات الأساسية.</w:t>
            </w:r>
          </w:p>
        </w:tc>
        <w:tc>
          <w:tcPr>
            <w:tcW w:type="dxa" w:w="295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معايير دمج مدرسي ونشاطات داعمة</w:t>
            </w:r>
          </w:p>
        </w:tc>
      </w:tr>
      <w:tr>
        <w:trPr>
          <w:cantSplit/>
        </w:trPr>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المراهقة | 13-17</w:t>
            </w:r>
          </w:p>
        </w:tc>
        <w:tc>
          <w:tcPr>
            <w:tcW w:type="dxa" w:w="40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الهوية والانتماء والصحة النفسية والمشاركة والتهيؤ للانتقال.</w:t>
            </w:r>
          </w:p>
        </w:tc>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برنامج توجيه مهني وحياتي آمن</w:t>
            </w:r>
          </w:p>
        </w:tc>
      </w:tr>
      <w:tr>
        <w:trPr>
          <w:cantSplit/>
        </w:trPr>
        <w:tc>
          <w:tcPr>
            <w:tcW w:type="dxa" w:w="266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الشباب | 18-25 بوصفه امتداد دعم</w:t>
            </w:r>
          </w:p>
        </w:tc>
        <w:tc>
          <w:tcPr>
            <w:tcW w:type="dxa" w:w="403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التعليم العالي والمهارات والعمل والاستقلال والسكن والروابط الاجتماعية.</w:t>
            </w:r>
          </w:p>
        </w:tc>
        <w:tc>
          <w:tcPr>
            <w:tcW w:type="dxa" w:w="295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مصفوفة دعم بعد الرشد بموافقة الشباب وإرادتهم</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حزمة النموذج القابلة للتجريب مع جمعية الشام</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دليل إطار تنموي يوضح الفئات والأسئلة والضمانات، من دون افتراض أن جميع المستفيدين يحتاجون إلى التدخل نفسه.</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نموذج تشخيص احتياج غير وصمي يستخدمه المختصون المرخصون داخل برامج الجمعية، لا داخل مكتبة عامة.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دليل تصميم «مسار المستفيد» من الاحتياج إلى الخدمة والمتابعة ثم الانتقال الطوعي الموجه بحسب العمر.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بطاقة قياس جودة للخدمة على مستوى البرنامج؛ وتستخدم دراسات الأطفال الشخصية بروتوكولًا مستقلًا ومعتمدًا.</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تقييم مستقل بعد ستة إلى اثني عشر شهرًا يوضح ما تغيّر وما تعذّر قياسه، وينشر نتائج مجمّعة فقط.</w:t>
      </w: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قيمة النموذج</w:t>
            </w:r>
          </w:p>
          <w:p>
            <w:pPr>
              <w:spacing w:after="0"/>
              <w:jc w:val="right"/>
              <w:bidi w:val="1"/>
            </w:pPr>
            <w:r>
              <w:rPr>
                <w:rFonts w:ascii="Noto Naskh Arabic" w:hAnsi="Noto Naskh Arabic" w:eastAsia="Noto Naskh Arabic" w:cs="Noto Naskh Arabic"/>
                <w:b w:val="0"/>
                <w:color w:val="263A31"/>
                <w:sz w:val="20"/>
                <w:szCs w:val="21"/>
                <w:bCs w:val="0"/>
                <w:rtl w:val="1"/>
                <w:lang w:bidi="ar-SY"/>
              </w:rPr>
              <w:t>التحول المقصود ليس من «كفالة» إلى «عمل» فحسب، بل من تقديم مدخلات مجزأة إلى منظومة رعاية وحماية وتنمية تجعل الطفل أكثر أمانًا وتزيد خياراته المستقبلية؛ مع استمرار الدعم عند الحاجة.</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15  |  برنامج الأبحاث التطبيقية والدراسات</w:t>
      </w:r>
    </w:p>
    <w:p>
      <w:pPr>
        <w:pStyle w:val="Heading2"/>
        <w:jc w:val="right"/>
        <w:bidi w:val="1"/>
      </w:pPr>
      <w:r>
        <w:rPr>
          <w:rFonts w:ascii="Noto Kufi Arabic" w:hAnsi="Noto Kufi Arabic" w:eastAsia="Noto Kufi Arabic" w:cs="Noto Kufi Arabic"/>
          <w:b/>
          <w:color w:val="986E0B"/>
          <w:sz w:val="24"/>
          <w:szCs w:val="24"/>
          <w:bCs w:val="1"/>
          <w:rtl w:val="1"/>
          <w:lang w:bidi="ar-SY"/>
        </w:rPr>
        <w:t>سبعة مسارات بحثية مترابطة</w:t>
      </w:r>
    </w:p>
    <w:tbl>
      <w:tblPr>
        <w:tblW w:type="auto" w:w="0"/>
        <w:jc w:val="center"/>
        <w:tblLayout w:type="fixed"/>
        <w:tblLook w:firstColumn="1" w:firstRow="1" w:lastColumn="0" w:lastRow="0" w:noHBand="0" w:noVBand="1" w:val="04A0"/>
      </w:tblPr>
      <w:tblGrid>
        <w:gridCol w:w="3024"/>
        <w:gridCol w:w="6624"/>
      </w:tblGrid>
      <w:tr>
        <w:trPr>
          <w:tblHeader w:val="true"/>
          <w:cantSplit/>
        </w:trPr>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المسار</w:t>
            </w:r>
          </w:p>
        </w:tc>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أسئلة أساسية ومنتجات</w:t>
            </w:r>
          </w:p>
        </w:tc>
      </w:tr>
      <w:tr>
        <w:trPr>
          <w:cantSplit/>
        </w:trPr>
        <w:tc>
          <w:tcPr>
            <w:tcW w:type="dxa" w:w="30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1 | التأصيل الإسلامي والتاريخي</w:t>
            </w:r>
          </w:p>
        </w:tc>
        <w:tc>
          <w:tcPr>
            <w:tcW w:type="dxa" w:w="66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كيف تطورت الكفالة والأوقاف والحقوق؟ دراسات نصية ووثائق ومقارنات فقهية مؤصلة.</w:t>
            </w:r>
          </w:p>
        </w:tc>
      </w:tr>
      <w:tr>
        <w:trPr>
          <w:cantSplit/>
        </w:trPr>
        <w:tc>
          <w:tcPr>
            <w:tcW w:type="dxa" w:w="302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2 | الأسرة والحماية والرعاية البديلة</w:t>
            </w:r>
          </w:p>
        </w:tc>
        <w:tc>
          <w:tcPr>
            <w:tcW w:type="dxa" w:w="662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كيف ندعم الأسر بعد الوفاة أو الطلاق حين تغيب الرعاية فعليًا؟ وما ضمانات حماية مجهولي الوالدين والأطفال في أوضاع الشارع دون فصل غير ضروري؟ [5-7، 20-23]</w:t>
            </w:r>
          </w:p>
        </w:tc>
      </w:tr>
      <w:tr>
        <w:trPr>
          <w:cantSplit/>
        </w:trPr>
        <w:tc>
          <w:tcPr>
            <w:tcW w:type="dxa" w:w="30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3 | التعليم والانتقال إلى الرشد</w:t>
            </w:r>
          </w:p>
        </w:tc>
        <w:tc>
          <w:tcPr>
            <w:tcW w:type="dxa" w:w="66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ما عوامل الاستمرار في التعليم والتدريب والجامعة والعمل بعد 18 سنة؟</w:t>
            </w:r>
          </w:p>
        </w:tc>
      </w:tr>
      <w:tr>
        <w:trPr>
          <w:cantSplit/>
        </w:trPr>
        <w:tc>
          <w:tcPr>
            <w:tcW w:type="dxa" w:w="302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4 | الصحة النفسية والنمو</w:t>
            </w:r>
          </w:p>
        </w:tc>
        <w:tc>
          <w:tcPr>
            <w:tcW w:type="dxa" w:w="662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ما التدخلات المجدية والمناسبة ثقافيًا لدعم الحداد والصدمات والمهارات؟</w:t>
            </w:r>
          </w:p>
        </w:tc>
      </w:tr>
      <w:tr>
        <w:trPr>
          <w:cantSplit/>
        </w:trPr>
        <w:tc>
          <w:tcPr>
            <w:tcW w:type="dxa" w:w="30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5 | الاقتصاد والوقف والتمويل</w:t>
            </w:r>
          </w:p>
        </w:tc>
        <w:tc>
          <w:tcPr>
            <w:tcW w:type="dxa" w:w="66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كيف تُدار الكفالة والأوقاف والتبرعات بشفافية واستدامة وعدالة في التخصيص؟</w:t>
            </w:r>
          </w:p>
        </w:tc>
      </w:tr>
      <w:tr>
        <w:trPr>
          <w:cantSplit/>
        </w:trPr>
        <w:tc>
          <w:tcPr>
            <w:tcW w:type="dxa" w:w="302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6 | البيانات وجودة الخدمات</w:t>
            </w:r>
          </w:p>
        </w:tc>
        <w:tc>
          <w:tcPr>
            <w:tcW w:type="dxa" w:w="662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كيف نُعرّف الفئات ونحد من التكرار ونقيس الجودة دون تعريض الأطفال للتتبع؟</w:t>
            </w:r>
          </w:p>
        </w:tc>
      </w:tr>
      <w:tr>
        <w:trPr>
          <w:cantSplit/>
        </w:trPr>
        <w:tc>
          <w:tcPr>
            <w:tcW w:type="dxa" w:w="30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7 | الاستشراف والتقنية</w:t>
            </w:r>
          </w:p>
        </w:tc>
        <w:tc>
          <w:tcPr>
            <w:tcW w:type="dxa" w:w="66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ماذا تعني الهجرة والذكاء الاصطناعي والمناخ والعمل المستقبلي للأيتام وأسرهم؟ [16]</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مصطلحات البحث وضرورتها المنهجية</w:t>
      </w:r>
    </w:p>
    <w:p>
      <w:pPr>
        <w:jc w:val="right"/>
        <w:bidi w:val="1"/>
      </w:pPr>
      <w:r>
        <w:rPr>
          <w:rFonts w:ascii="Noto Naskh Arabic" w:hAnsi="Noto Naskh Arabic" w:eastAsia="Noto Naskh Arabic" w:cs="Noto Naskh Arabic"/>
          <w:b w:val="0"/>
          <w:color w:val="263A31"/>
          <w:sz w:val="22"/>
          <w:szCs w:val="22"/>
          <w:bCs w:val="0"/>
          <w:rtl w:val="1"/>
          <w:lang w:bidi="ar-SY"/>
        </w:rPr>
        <w:t>لا يجوز استخدام كلمة «يتيم» على أنها تعريف إحصائي واحد عابر للتخصصات. ففي استعمال فقهي شائع يتعلق اليتيم بفقد الأب قبل البلوغ، بينما تستعمل بعض قواعد البيانات الدولية فقد أحد الوالدين أو كليهما لمن هم دون الثامنة عشرة. كما أن الطفل مجهول الوالدين، والطفل الذي غابت رعاية والده بعد طلاق، والطفل المرتبط بالشارع، ليسوا تلقائيًا أيتامًا. تُثبت كل دراسة التعريف الإجرائي والفئة العمرية ونوع الرعاية الفعلية، وتُفصل المتغيرات القابلة للتداخل دون جمع تكراري للفئات أو استنتاجات نمطية. [7-8، 20-23]</w:t>
      </w:r>
    </w:p>
    <w:p>
      <w:pPr>
        <w:pStyle w:val="Heading2"/>
        <w:jc w:val="right"/>
        <w:bidi w:val="1"/>
      </w:pPr>
      <w:r>
        <w:rPr>
          <w:rFonts w:ascii="Noto Kufi Arabic" w:hAnsi="Noto Kufi Arabic" w:eastAsia="Noto Kufi Arabic" w:cs="Noto Kufi Arabic"/>
          <w:b/>
          <w:color w:val="986E0B"/>
          <w:sz w:val="24"/>
          <w:szCs w:val="24"/>
          <w:bCs w:val="1"/>
          <w:rtl w:val="1"/>
          <w:lang w:bidi="ar-SY"/>
        </w:rPr>
        <w:t>منهج إدارة دورة الدراسة</w:t>
      </w:r>
    </w:p>
    <w:tbl>
      <w:tblPr>
        <w:tblW w:type="auto" w:w="0"/>
        <w:jc w:val="center"/>
        <w:tblLayout w:type="fixed"/>
        <w:tblLook w:firstColumn="1" w:firstRow="1" w:lastColumn="0" w:lastRow="0" w:noHBand="0" w:noVBand="1" w:val="04A0"/>
      </w:tblPr>
      <w:tblGrid>
        <w:gridCol w:w="1944"/>
        <w:gridCol w:w="4824"/>
        <w:gridCol w:w="2880"/>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البوابة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المخرجات المطلوبة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قرار التحكّم</w:t>
            </w:r>
          </w:p>
        </w:tc>
      </w:tr>
      <w:tr>
        <w:trPr>
          <w:cantSplit/>
        </w:trPr>
        <w:tc>
          <w:tcPr>
            <w:tcW w:type="dxa" w:w="19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اقتراح الموضوع</w:t>
            </w:r>
          </w:p>
        </w:tc>
        <w:tc>
          <w:tcPr>
            <w:tcW w:type="dxa" w:w="48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مذكرة مشكلة + مستفيد + سؤال قابل للإجابة</w:t>
            </w:r>
          </w:p>
        </w:tc>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اعتماد أولوية وتعارض مصالح</w:t>
            </w:r>
          </w:p>
        </w:tc>
      </w:tr>
      <w:tr>
        <w:trPr>
          <w:cantSplit/>
        </w:trPr>
        <w:tc>
          <w:tcPr>
            <w:tcW w:type="dxa" w:w="194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تصميم الدراسة</w:t>
            </w:r>
          </w:p>
        </w:tc>
        <w:tc>
          <w:tcPr>
            <w:tcW w:type="dxa" w:w="482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منهج وعينة ومصادر وأخلاقيات ومخاطر وتكلفة</w:t>
            </w:r>
          </w:p>
        </w:tc>
        <w:tc>
          <w:tcPr>
            <w:tcW w:type="dxa" w:w="28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مراجعة علمية وأخلاقية مسبقة</w:t>
            </w:r>
          </w:p>
        </w:tc>
      </w:tr>
      <w:tr>
        <w:trPr>
          <w:cantSplit/>
        </w:trPr>
        <w:tc>
          <w:tcPr>
            <w:tcW w:type="dxa" w:w="19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الجمع والتحليل</w:t>
            </w:r>
          </w:p>
        </w:tc>
        <w:tc>
          <w:tcPr>
            <w:tcW w:type="dxa" w:w="48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بيانات لازمة فقط، مستودع محمي، خطة تحليل</w:t>
            </w:r>
          </w:p>
        </w:tc>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ضبط جودة وتدقيق داخلي</w:t>
            </w:r>
          </w:p>
        </w:tc>
      </w:tr>
      <w:tr>
        <w:trPr>
          <w:cantSplit/>
        </w:trPr>
        <w:tc>
          <w:tcPr>
            <w:tcW w:type="dxa" w:w="194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المراجعة العلمية</w:t>
            </w:r>
          </w:p>
        </w:tc>
        <w:tc>
          <w:tcPr>
            <w:tcW w:type="dxa" w:w="482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تحكيم مهني وملاحظات وتقارير أدلة</w:t>
            </w:r>
          </w:p>
        </w:tc>
        <w:tc>
          <w:tcPr>
            <w:tcW w:type="dxa" w:w="288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قائمة تصحيحات وقرار نشر مستقل</w:t>
            </w:r>
          </w:p>
        </w:tc>
      </w:tr>
      <w:tr>
        <w:trPr>
          <w:cantSplit/>
        </w:trPr>
        <w:tc>
          <w:tcPr>
            <w:tcW w:type="dxa" w:w="19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النشر والتطبيق</w:t>
            </w:r>
          </w:p>
        </w:tc>
        <w:tc>
          <w:tcPr>
            <w:tcW w:type="dxa" w:w="48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تقرير كامل + موجز قرار + أدوات</w:t>
            </w:r>
          </w:p>
        </w:tc>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حقوق نشر وخطة إيصال آمنة</w:t>
            </w:r>
          </w:p>
        </w:tc>
      </w:tr>
      <w:tr>
        <w:trPr>
          <w:cantSplit/>
        </w:trPr>
        <w:tc>
          <w:tcPr>
            <w:tcW w:type="dxa" w:w="194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التعلم</w:t>
            </w:r>
          </w:p>
        </w:tc>
        <w:tc>
          <w:tcPr>
            <w:tcW w:type="dxa" w:w="482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متابعة تبنّي التوصيات وقيود النتائج</w:t>
            </w:r>
          </w:p>
        </w:tc>
        <w:tc>
          <w:tcPr>
            <w:tcW w:type="dxa" w:w="28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مراجعة بعد 6-12 شهرًا</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أساليب علمية مناسبة</w:t>
      </w:r>
    </w:p>
    <w:p>
      <w:pPr>
        <w:jc w:val="right"/>
        <w:bidi w:val="1"/>
      </w:pPr>
      <w:r>
        <w:rPr>
          <w:rFonts w:ascii="Noto Naskh Arabic" w:hAnsi="Noto Naskh Arabic" w:eastAsia="Noto Naskh Arabic" w:cs="Noto Naskh Arabic"/>
          <w:b w:val="0"/>
          <w:color w:val="263A31"/>
          <w:sz w:val="22"/>
          <w:szCs w:val="22"/>
          <w:bCs w:val="0"/>
          <w:rtl w:val="1"/>
          <w:lang w:bidi="ar-SY"/>
        </w:rPr>
        <w:t>تتنوع الأدوات بين الدراسات المكتبية والمراجعات المنهجية والخرائط البحثية والدراسات النوعية والمسوحات والتحليل الاقتصادي وتقييم البرامج شبه التجريبي عند المناسبة. ولا يُطرح التدخل التجريبي أو العشوائي إلا إذا كان مبررًا أخلاقيًا وقانونيًا ومفيدًا، مع حماية المعروضين للمخاطر وبدائل أقل تدخلًا. وتُعلن حدود الاستدلال والتحيزات ومصادر التمويل في كل بحث.</w:t>
      </w:r>
    </w:p>
    <w:p>
      <w:pPr>
        <w:pStyle w:val="Heading2"/>
        <w:jc w:val="right"/>
        <w:bidi w:val="1"/>
      </w:pPr>
      <w:r>
        <w:rPr>
          <w:rFonts w:ascii="Noto Kufi Arabic" w:hAnsi="Noto Kufi Arabic" w:eastAsia="Noto Kufi Arabic" w:cs="Noto Kufi Arabic"/>
          <w:b/>
          <w:color w:val="986E0B"/>
          <w:sz w:val="24"/>
          <w:szCs w:val="24"/>
          <w:bCs w:val="1"/>
          <w:rtl w:val="1"/>
          <w:lang w:bidi="ar-SY"/>
        </w:rPr>
        <w:t>البرنامج البحثي للسنتين الأوليين</w:t>
      </w:r>
    </w:p>
    <w:tbl>
      <w:tblPr>
        <w:tblW w:type="auto" w:w="0"/>
        <w:jc w:val="center"/>
        <w:tblLayout w:type="fixed"/>
        <w:tblLook w:firstColumn="1" w:firstRow="1" w:lastColumn="0" w:lastRow="0" w:noHBand="0" w:noVBand="1" w:val="04A0"/>
      </w:tblPr>
      <w:tblGrid>
        <w:gridCol w:w="4320"/>
        <w:gridCol w:w="2520"/>
        <w:gridCol w:w="2808"/>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الموضوع الأولي</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نوع المنتج</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قيمة القرار</w:t>
            </w:r>
          </w:p>
        </w:tc>
      </w:tr>
      <w:tr>
        <w:trPr>
          <w:cantSplit/>
        </w:trPr>
        <w:tc>
          <w:tcPr>
            <w:tcW w:type="dxa" w:w="43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خريطة الأدبيات العربية الإسلامية في رعاية الأيتام</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نطاقية + ببليوغرافيا</w:t>
            </w:r>
          </w:p>
        </w:tc>
        <w:tc>
          <w:tcPr>
            <w:tcW w:type="dxa" w:w="28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تحديد الفجوات وتوجيه المكتبة والأبحاث</w:t>
            </w:r>
          </w:p>
        </w:tc>
      </w:tr>
      <w:tr>
        <w:trPr>
          <w:cantSplit/>
        </w:trPr>
        <w:tc>
          <w:tcPr>
            <w:tcW w:type="dxa" w:w="43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مفاهيم اليتيم وفقد الرعاية وأوضاع الشارع: دليل استعمال</w:t>
            </w:r>
          </w:p>
        </w:tc>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ورقة مصطلحات ومعيار جمع بيانات</w:t>
            </w:r>
          </w:p>
        </w:tc>
        <w:tc>
          <w:tcPr>
            <w:tcW w:type="dxa" w:w="280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منع الخلط والوصم والعد المكرر</w:t>
            </w:r>
          </w:p>
        </w:tc>
      </w:tr>
      <w:tr>
        <w:trPr>
          <w:cantSplit/>
        </w:trPr>
        <w:tc>
          <w:tcPr>
            <w:tcW w:type="dxa" w:w="43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برامج الانتقال من الكفالة إلى الاستقلال</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موجز مقارن عالمي/إسلامي</w:t>
            </w:r>
          </w:p>
        </w:tc>
        <w:tc>
          <w:tcPr>
            <w:tcW w:type="dxa" w:w="28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تصميم مسارات تعليم وعمل بعد الرشد</w:t>
            </w:r>
          </w:p>
        </w:tc>
      </w:tr>
      <w:tr>
        <w:trPr>
          <w:cantSplit/>
        </w:trPr>
        <w:tc>
          <w:tcPr>
            <w:tcW w:type="dxa" w:w="43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دليل حوكمة بيانات رعاية الأيتام</w:t>
            </w:r>
          </w:p>
        </w:tc>
        <w:tc>
          <w:tcPr>
            <w:tcW w:type="dxa" w:w="25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دليل سياسات وقوالب إجراءات</w:t>
            </w:r>
          </w:p>
        </w:tc>
        <w:tc>
          <w:tcPr>
            <w:tcW w:type="dxa" w:w="280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خفض مخاطر الخصوصية والتكرار</w:t>
            </w:r>
          </w:p>
        </w:tc>
      </w:tr>
      <w:tr>
        <w:trPr>
          <w:cantSplit/>
        </w:trPr>
        <w:tc>
          <w:tcPr>
            <w:tcW w:type="dxa" w:w="43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دعم الأسر ذات الرعاية الأحادية والأطفال الأكثر عرضة لانقطاع الرعاية</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أدلة ثم دراسة احتياج بالتعاون مع شريك حماية</w:t>
            </w:r>
          </w:p>
        </w:tc>
        <w:tc>
          <w:tcPr>
            <w:tcW w:type="dxa" w:w="28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تصميم خدمات أسرية ووقائية لا تقتصر على إيواء الطفل</w:t>
            </w:r>
          </w:p>
        </w:tc>
      </w:tr>
      <w:tr>
        <w:trPr>
          <w:cantSplit/>
        </w:trPr>
        <w:tc>
          <w:tcPr>
            <w:tcW w:type="dxa" w:w="43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الوقف التعليمي للكفالة المستدامة</w:t>
            </w:r>
          </w:p>
        </w:tc>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دراسة قانونية/شرعية/مالية مقارنة</w:t>
            </w:r>
          </w:p>
        </w:tc>
        <w:tc>
          <w:tcPr>
            <w:tcW w:type="dxa" w:w="280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نموذج تمويل معتمد على مراجعة مختصين</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16  |  مرصد المعلومات وقاعدة المعرفة: طموح شامل وحدود آمنة</w:t>
      </w:r>
    </w:p>
    <w:p>
      <w:pPr>
        <w:jc w:val="right"/>
        <w:bidi w:val="1"/>
      </w:pPr>
      <w:r>
        <w:rPr>
          <w:rFonts w:ascii="Noto Naskh Arabic" w:hAnsi="Noto Naskh Arabic" w:eastAsia="Noto Naskh Arabic" w:cs="Noto Naskh Arabic"/>
          <w:b w:val="0"/>
          <w:color w:val="263A31"/>
          <w:sz w:val="22"/>
          <w:szCs w:val="22"/>
          <w:bCs w:val="0"/>
          <w:rtl w:val="1"/>
          <w:lang w:bidi="ar-SY"/>
        </w:rPr>
        <w:t>يحتاج القطاع إلى صورة بيانات أدق عن الأعداد والاحتياجات وفجوات الخدمات، لكن يجب التمييز مؤسسيًا بين «قاعدة معرفة قطاعية» و«نظام إدارة حالات أطفال». يبني المركز مستودعًا ببليوغرافيًا وإحصائيًا وتحليليًا، بينما تبقى إدارة الملفات الفردية لدى الجهات الخدمية المخولة والمحمية. وقد أظهرت مبادرة جمعية الشام التنسيقية المنشورة في عام 2013 أهمية ضبط التكرار؛ إلا أن تبادل سجلات الأطفال بين الجهات ليس مباحًا تلقائيًا لمجرد وجود حاجة إحصائية. [2، 9-10]</w:t>
      </w:r>
    </w:p>
    <w:tbl>
      <w:tblPr>
        <w:tblW w:type="auto" w:w="0"/>
        <w:jc w:val="center"/>
        <w:tblLayout w:type="fixed"/>
        <w:tblLook w:firstColumn="1" w:firstRow="1" w:lastColumn="0" w:lastRow="0" w:noHBand="0" w:noVBand="1" w:val="04A0"/>
      </w:tblPr>
      <w:tblGrid>
        <w:gridCol w:w="2304"/>
        <w:gridCol w:w="4536"/>
        <w:gridCol w:w="2808"/>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الطبقة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نوع المحتوى المقصود</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الحاكم وضبط الوصول</w:t>
            </w:r>
          </w:p>
        </w:tc>
      </w:tr>
      <w:tr>
        <w:trPr>
          <w:cantSplit/>
        </w:trPr>
        <w:tc>
          <w:tcPr>
            <w:tcW w:type="dxa" w:w="23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 | معرفة متاحة للجميع</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بحوث منشورة، جداول كلية، بيانات وصفية وروابط، مؤشرات بحجم تجميعي آمن.</w:t>
            </w:r>
          </w:p>
        </w:tc>
        <w:tc>
          <w:tcPr>
            <w:tcW w:type="dxa" w:w="28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فتح مرخص، إسناد مصادر، عتبات لمنع كشف مجموعات صغيرة</w:t>
            </w:r>
          </w:p>
        </w:tc>
      </w:tr>
      <w:tr>
        <w:trPr>
          <w:cantSplit/>
        </w:trPr>
        <w:tc>
          <w:tcPr>
            <w:tcW w:type="dxa" w:w="230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 | بيانات بحث مقيدة</w:t>
            </w:r>
          </w:p>
        </w:tc>
        <w:tc>
          <w:tcPr>
            <w:tcW w:type="dxa" w:w="45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استبانات ومجموعات بيانات منزوعة التعريف بقوة أو مرمّزة لغرض مشروع بعينه.</w:t>
            </w:r>
          </w:p>
        </w:tc>
        <w:tc>
          <w:tcPr>
            <w:tcW w:type="dxa" w:w="280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أخلاقية وعقود وصول وتخزين محدود وسجل تدقيق</w:t>
            </w:r>
          </w:p>
        </w:tc>
      </w:tr>
      <w:tr>
        <w:trPr>
          <w:cantSplit/>
        </w:trPr>
        <w:tc>
          <w:tcPr>
            <w:tcW w:type="dxa" w:w="23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ج | ملفات حالات فردية</w:t>
            </w:r>
          </w:p>
        </w:tc>
        <w:tc>
          <w:tcPr>
            <w:tcW w:type="dxa" w:w="45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أسماء وعناوين وصور ومعلومات صحية واجتماعية للأطفال والأسر.</w:t>
            </w:r>
          </w:p>
        </w:tc>
        <w:tc>
          <w:tcPr>
            <w:tcW w:type="dxa" w:w="28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تبقى لدى مقدم الخدمة المخوّل؛ لا تُحفظ في المكتبة/المرصد العام</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القاموس الإحصائي وبروتوكول تحديث المؤشرات</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يُعرّف كل مؤشر بدقة: هل يتعلق بوفاة الأب قبل البلوغ، أم فقد أحد الوالدين، أم مجهولي الوالدين، أم انقطاع رعاية فعلية بعد الطلاق، أم أوضاع الشارع، أم وضع آخر؟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يُسجل مصدر كل رقم وتاريخ جمعه ومجاله الجغرافي وفئته العمرية ووحدة العد ونسبة النقص والتحفظات المنهجية.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يجري التحقق من صلاحية المقارنة قبل الجمع؛ وقد يقع الطفل في أكثر من وضع (فقد أحد الوالدين ويعيش في الشارع مثلًا)، فلا تُجمع الفئات المتداخلة ولا تُعد نسبها حصصًا متنافية.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تُحجب الجداول صغيرة الخلايا أو التي قد تكشف أشخاصًا عن طريق التقاطع، ويمنع عرض إحداثيات أو قصص قابلة للتعرف.</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تُحدّث المؤشرات بحسب إيقاع منشورها ومصدرها، وتُعرض تواريخ آخر مراجعة بدل وصفها بأنها «آنية» من دون دليل.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تُراجع أي بيانات خارج الحدود الوطنية وفق القانون واتفاقيات مشاركة موقعة عند الحاجة، مع مسؤول حماية بيانات معيّن.</w:t>
      </w:r>
    </w:p>
    <w:p>
      <w:pPr>
        <w:pStyle w:val="Heading2"/>
        <w:jc w:val="right"/>
        <w:bidi w:val="1"/>
      </w:pPr>
      <w:r>
        <w:rPr>
          <w:rFonts w:ascii="Noto Kufi Arabic" w:hAnsi="Noto Kufi Arabic" w:eastAsia="Noto Kufi Arabic" w:cs="Noto Kufi Arabic"/>
          <w:b/>
          <w:color w:val="986E0B"/>
          <w:sz w:val="24"/>
          <w:szCs w:val="24"/>
          <w:bCs w:val="1"/>
          <w:rtl w:val="1"/>
          <w:lang w:bidi="ar-SY"/>
        </w:rPr>
        <w:t>ثلاثة منتجات معلوماتية قابلة للتطوير</w:t>
      </w:r>
    </w:p>
    <w:tbl>
      <w:tblPr>
        <w:tblW w:type="auto" w:w="0"/>
        <w:jc w:val="center"/>
        <w:tblLayout w:type="fixed"/>
        <w:tblLook w:firstColumn="1" w:firstRow="1" w:lastColumn="0" w:lastRow="0" w:noHBand="0" w:noVBand="1" w:val="04A0"/>
      </w:tblPr>
      <w:tblGrid>
        <w:gridCol w:w="2304"/>
        <w:gridCol w:w="4824"/>
        <w:gridCol w:w="2520"/>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المنتج</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وصفه</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حدوده</w:t>
            </w:r>
          </w:p>
        </w:tc>
      </w:tr>
      <w:tr>
        <w:trPr>
          <w:cantSplit/>
        </w:trPr>
        <w:tc>
          <w:tcPr>
            <w:tcW w:type="dxa" w:w="23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أطلس احتياجات القطاع</w:t>
            </w:r>
          </w:p>
        </w:tc>
        <w:tc>
          <w:tcPr>
            <w:tcW w:type="dxa" w:w="48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لوحات جغرافية عامة ومؤشرات فجوات التعليم والصحة والحماية والتمويل.</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دقة جغرافية آمنة وفئات كافية الحجم</w:t>
            </w:r>
          </w:p>
        </w:tc>
      </w:tr>
      <w:tr>
        <w:trPr>
          <w:cantSplit/>
        </w:trPr>
        <w:tc>
          <w:tcPr>
            <w:tcW w:type="dxa" w:w="230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مقياس جودة برامج الكفالة</w:t>
            </w:r>
          </w:p>
        </w:tc>
        <w:tc>
          <w:tcPr>
            <w:tcW w:type="dxa" w:w="482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مؤشرات مؤسسية متفق عليها لجودة العمليات وتجربة المستفيد وحماية الطفل.</w:t>
            </w:r>
          </w:p>
        </w:tc>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لا ينشر ترتيبًا عقابيًا ولا معلومات حالات</w:t>
            </w:r>
          </w:p>
        </w:tc>
      </w:tr>
      <w:tr>
        <w:trPr>
          <w:cantSplit/>
        </w:trPr>
        <w:tc>
          <w:tcPr>
            <w:tcW w:type="dxa" w:w="230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دليل المؤسسات والخبرات</w:t>
            </w:r>
          </w:p>
        </w:tc>
        <w:tc>
          <w:tcPr>
            <w:tcW w:type="dxa" w:w="482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دليل متجدد لجهات ومشروعات وأوراق بحث ومصادر عامة.</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بيانات مؤسسية علنية أو بإذن، لا سجل أطفال</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قيد تصميم ملزم</w:t>
            </w:r>
          </w:p>
          <w:p>
            <w:pPr>
              <w:spacing w:after="0"/>
              <w:jc w:val="right"/>
              <w:bidi w:val="1"/>
            </w:pPr>
            <w:r>
              <w:rPr>
                <w:rFonts w:ascii="Noto Naskh Arabic" w:hAnsi="Noto Naskh Arabic" w:eastAsia="Noto Naskh Arabic" w:cs="Noto Naskh Arabic"/>
                <w:b w:val="0"/>
                <w:color w:val="263A31"/>
                <w:sz w:val="20"/>
                <w:szCs w:val="21"/>
                <w:bCs w:val="0"/>
                <w:rtl w:val="1"/>
                <w:lang w:bidi="ar-SY"/>
              </w:rPr>
              <w:t>الشمول يعني شمول الموضوعات والاحتياجات والموثوقية والتغطية، لا تجميع كل أسماء الأطفال. الحوكمة والأمان والحق في الخصوصية شروط لتأسيس المرصد، لا إضافات تؤجل بعد إطلاق المنصة.</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17  |  السلامة البحثية والأخلاق وحماية الأطفال</w:t>
      </w:r>
    </w:p>
    <w:p>
      <w:pPr>
        <w:pStyle w:val="Heading2"/>
        <w:jc w:val="right"/>
        <w:bidi w:val="1"/>
      </w:pPr>
      <w:r>
        <w:rPr>
          <w:rFonts w:ascii="Noto Kufi Arabic" w:hAnsi="Noto Kufi Arabic" w:eastAsia="Noto Kufi Arabic" w:cs="Noto Kufi Arabic"/>
          <w:b/>
          <w:color w:val="986E0B"/>
          <w:sz w:val="24"/>
          <w:szCs w:val="24"/>
          <w:bCs w:val="1"/>
          <w:rtl w:val="1"/>
          <w:lang w:bidi="ar-SY"/>
        </w:rPr>
        <w:t>القاعدة العليا: لا دليل بحثيًا يستحق إيذاء طفل</w:t>
      </w:r>
    </w:p>
    <w:p>
      <w:pPr>
        <w:jc w:val="right"/>
        <w:bidi w:val="1"/>
      </w:pPr>
      <w:r>
        <w:rPr>
          <w:rFonts w:ascii="Noto Naskh Arabic" w:hAnsi="Noto Naskh Arabic" w:eastAsia="Noto Naskh Arabic" w:cs="Noto Naskh Arabic"/>
          <w:b w:val="0"/>
          <w:color w:val="263A31"/>
          <w:sz w:val="22"/>
          <w:szCs w:val="22"/>
          <w:bCs w:val="0"/>
          <w:rtl w:val="1"/>
          <w:lang w:bidi="ar-SY"/>
        </w:rPr>
        <w:t>تنطلق قواعد المركز من مصلحة الطفل الفضلى، وخصوصيته، وكرامته، والحق في الحماية؛ وهي مبادئ تعالجها اتفاقية حقوق الطفل وإرشادات الرعاية البديلة ووثائق UNICEF للأبحاث الأخلاقية. وهي ليست شكلًا ورقيًا لإكمال الموافقات، بل مسار قرار سابق لكل نشاط يطال الأطفال أو بياناتهم. [5-7، 9-10]</w:t>
      </w:r>
    </w:p>
    <w:p>
      <w:pPr>
        <w:pStyle w:val="Heading2"/>
        <w:jc w:val="right"/>
        <w:bidi w:val="1"/>
      </w:pPr>
      <w:r>
        <w:rPr>
          <w:rFonts w:ascii="Noto Kufi Arabic" w:hAnsi="Noto Kufi Arabic" w:eastAsia="Noto Kufi Arabic" w:cs="Noto Kufi Arabic"/>
          <w:b/>
          <w:color w:val="986E0B"/>
          <w:sz w:val="24"/>
          <w:szCs w:val="24"/>
          <w:bCs w:val="1"/>
          <w:rtl w:val="1"/>
          <w:lang w:bidi="ar-SY"/>
        </w:rPr>
        <w:t>ضوابط إلزامية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مراجعة أخلاقية مستقلة قبل أي بحث ينطوي على مقابلات مع أطفال أو موضوعات حساسة أو بيانات قابلة للتعريف.</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موافقة ولي الأمر/الممثل القانوني حيث يلزم، وموافقة/قبول الطفل الملائم لعمره وفهمه، وحرية الانسحاب دون تأثير على خدماته.</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فصل العلاقة بين الخدمة والبحث: الرفض لا يؤثر في كفالة أو دعم أو أولوية حالة.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عدم جمع أسماء كاملة أو أرقام هوية أو مواقع منازل أو صور تعريفية إلا لضرورة مثبتة وموافقة وضبط مناسب.</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بروتوكول استجابة لمخاوف إساءة أو أذى أو اضطراب نفسي، مع جهة إحالة مؤهلة لا مجرد وعد بسرية مطلقة.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عدم نشر وصف «لقيط» أو واقعة طلاق أو قصة إقامة بالشارع مقرونة باسم الطفل أو وجهه؛ وتُحظر القصص الدرامية التسويقية إلا بعد تقييم مصلحة الطفل والموافقة والمخاطر.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تطبيق تقليل البيانات وتقييد الصلاحيات والتشفير وتسجيل الوصول وفترات احتفاظ محسوبة وإتلاف آمن، مع إجراءات إحالة لدى جهة حماية مختصة إذا ظهرت مخاطر على طفل.</w:t>
      </w:r>
    </w:p>
    <w:p>
      <w:pPr>
        <w:pStyle w:val="Heading2"/>
        <w:jc w:val="right"/>
        <w:bidi w:val="1"/>
      </w:pPr>
      <w:r>
        <w:rPr>
          <w:rFonts w:ascii="Noto Kufi Arabic" w:hAnsi="Noto Kufi Arabic" w:eastAsia="Noto Kufi Arabic" w:cs="Noto Kufi Arabic"/>
          <w:b/>
          <w:color w:val="986E0B"/>
          <w:sz w:val="24"/>
          <w:szCs w:val="24"/>
          <w:bCs w:val="1"/>
          <w:rtl w:val="1"/>
          <w:lang w:bidi="ar-SY"/>
        </w:rPr>
        <w:t>مصفوفة قرار التعامل مع البيانات</w:t>
      </w:r>
    </w:p>
    <w:tbl>
      <w:tblPr>
        <w:tblW w:type="auto" w:w="0"/>
        <w:jc w:val="center"/>
        <w:tblLayout w:type="fixed"/>
        <w:tblLook w:firstColumn="1" w:firstRow="1" w:lastColumn="0" w:lastRow="0" w:noHBand="0" w:noVBand="1" w:val="04A0"/>
      </w:tblPr>
      <w:tblGrid>
        <w:gridCol w:w="3456"/>
        <w:gridCol w:w="2232"/>
        <w:gridCol w:w="3960"/>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نوع المادة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الوضع الافتراضي</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الشرط</w:t>
            </w:r>
          </w:p>
        </w:tc>
      </w:tr>
      <w:tr>
        <w:trPr>
          <w:cantSplit/>
        </w:trPr>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أبحاث ومقالات منشورة للعموم</w:t>
            </w:r>
          </w:p>
        </w:tc>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عام</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التحقق من الترخيص والمصدر</w:t>
            </w:r>
          </w:p>
        </w:tc>
      </w:tr>
      <w:tr>
        <w:trPr>
          <w:cantSplit/>
        </w:trPr>
        <w:tc>
          <w:tcPr>
            <w:tcW w:type="dxa" w:w="345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إحصاءات مجمعة على نطاق كافٍ</w:t>
            </w:r>
          </w:p>
        </w:tc>
        <w:tc>
          <w:tcPr>
            <w:tcW w:type="dxa" w:w="22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عام بعد مراجعة</w:t>
            </w:r>
          </w:p>
        </w:tc>
        <w:tc>
          <w:tcPr>
            <w:tcW w:type="dxa" w:w="396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فحص مخاطر إعادة التعرف وخاصة الأعداد الصغيرة</w:t>
            </w:r>
          </w:p>
        </w:tc>
      </w:tr>
      <w:tr>
        <w:trPr>
          <w:cantSplit/>
        </w:trPr>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مقابلات راشدين باسمائهم</w:t>
            </w:r>
          </w:p>
        </w:tc>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مقيّد ثم نشر انتقائي</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موافقة دقيقة على النص والوسائط وحدود الاستخدام</w:t>
            </w:r>
          </w:p>
        </w:tc>
      </w:tr>
      <w:tr>
        <w:trPr>
          <w:cantSplit/>
        </w:trPr>
        <w:tc>
          <w:tcPr>
            <w:tcW w:type="dxa" w:w="345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سجلات كفالة/صور أطفال/حالات</w:t>
            </w:r>
          </w:p>
        </w:tc>
        <w:tc>
          <w:tcPr>
            <w:tcW w:type="dxa" w:w="223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خارج المكتبة العامة</w:t>
            </w:r>
          </w:p>
        </w:tc>
        <w:tc>
          <w:tcPr>
            <w:tcW w:type="dxa" w:w="396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موافقة قانونية وأخلاقية منفصلة وضمانات أمنية عند حاجة بحثية حقيقية</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قاعدة الفصل التام</w:t>
            </w:r>
          </w:p>
          <w:p>
            <w:pPr>
              <w:spacing w:after="0"/>
              <w:jc w:val="right"/>
              <w:bidi w:val="1"/>
            </w:pPr>
            <w:r>
              <w:rPr>
                <w:rFonts w:ascii="Noto Naskh Arabic" w:hAnsi="Noto Naskh Arabic" w:eastAsia="Noto Naskh Arabic" w:cs="Noto Naskh Arabic"/>
                <w:b w:val="0"/>
                <w:color w:val="263A31"/>
                <w:sz w:val="20"/>
                <w:szCs w:val="21"/>
                <w:bCs w:val="0"/>
                <w:rtl w:val="1"/>
                <w:lang w:bidi="ar-SY"/>
              </w:rPr>
              <w:t>لا تُنشأ «قاعدة بيانات مركزية مشتركة للأيتام» باسم البحث اعتمادًا على جداول الجمعية. يُفضَّل التحليل المجمّع أو الدراسات على بيانات منزوعة الهوية بصورة قوية، مع تفويض محدد ومراجعة حقوق الطفل، وعدم ربط قواعد الجهات إلا وفق بروتوكول قانوني وأمني خاص.</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18  |  مجلة المركز: نشر شهري بعمق علمي متدرج</w:t>
      </w:r>
    </w:p>
    <w:p>
      <w:pPr>
        <w:pStyle w:val="Heading2"/>
        <w:jc w:val="right"/>
        <w:bidi w:val="1"/>
      </w:pPr>
      <w:r>
        <w:rPr>
          <w:rFonts w:ascii="Noto Kufi Arabic" w:hAnsi="Noto Kufi Arabic" w:eastAsia="Noto Kufi Arabic" w:cs="Noto Kufi Arabic"/>
          <w:b/>
          <w:color w:val="986E0B"/>
          <w:sz w:val="24"/>
          <w:szCs w:val="24"/>
          <w:bCs w:val="1"/>
          <w:rtl w:val="1"/>
          <w:lang w:bidi="ar-SY"/>
        </w:rPr>
        <w:t>الهندسة التحريرية الصحيحة</w:t>
      </w:r>
    </w:p>
    <w:p>
      <w:pPr>
        <w:jc w:val="right"/>
        <w:bidi w:val="1"/>
      </w:pPr>
      <w:r>
        <w:rPr>
          <w:rFonts w:ascii="Noto Naskh Arabic" w:hAnsi="Noto Naskh Arabic" w:eastAsia="Noto Naskh Arabic" w:cs="Noto Naskh Arabic"/>
          <w:b w:val="0"/>
          <w:color w:val="263A31"/>
          <w:sz w:val="22"/>
          <w:szCs w:val="22"/>
          <w:bCs w:val="0"/>
          <w:rtl w:val="1"/>
          <w:lang w:bidi="ar-SY"/>
        </w:rPr>
        <w:t>تقترح الوثيقة إطلاق «مجلة آفاق الرعاية» اسمًا عمليًا لمجلة معرفية مهنية رقمية شهرية متخصصة، تتناول البحوث والمراجعات والرأي الخبير والأخبار العلمية والقراءات الإسلامية والتجارب الميدانية. هذا المقترح مستقل وظيفيًا عن «أقحوان الشام» المنشورة أصلًا لجمهور اليافعين؛ ويمكن إقامة تبادل تحريري بإذن الجمعية دون دمج العلامتين أو إلغاء تاريخ المجلة القائمة. [4]</w:t>
      </w:r>
    </w:p>
    <w:p>
      <w:pPr>
        <w:pStyle w:val="Heading2"/>
        <w:jc w:val="right"/>
        <w:bidi w:val="1"/>
      </w:pPr>
      <w:r>
        <w:rPr>
          <w:rFonts w:ascii="Noto Kufi Arabic" w:hAnsi="Noto Kufi Arabic" w:eastAsia="Noto Kufi Arabic" w:cs="Noto Kufi Arabic"/>
          <w:b/>
          <w:color w:val="986E0B"/>
          <w:sz w:val="24"/>
          <w:szCs w:val="24"/>
          <w:bCs w:val="1"/>
          <w:rtl w:val="1"/>
          <w:lang w:bidi="ar-SY"/>
        </w:rPr>
        <w:t>التمييز بين أربعة أنواع من الإصدارات</w:t>
      </w:r>
    </w:p>
    <w:tbl>
      <w:tblPr>
        <w:tblW w:type="auto" w:w="0"/>
        <w:jc w:val="center"/>
        <w:tblLayout w:type="fixed"/>
        <w:tblLook w:firstColumn="1" w:firstRow="1" w:lastColumn="0" w:lastRow="0" w:noHBand="0" w:noVBand="1" w:val="04A0"/>
      </w:tblPr>
      <w:tblGrid>
        <w:gridCol w:w="2520"/>
        <w:gridCol w:w="3240"/>
        <w:gridCol w:w="3888"/>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الإصدار</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الإيقاع</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مستوى التدقيق</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مجلة آفاق الرعاية</w:t>
            </w:r>
          </w:p>
        </w:tc>
        <w:tc>
          <w:tcPr>
            <w:tcW w:type="dxa" w:w="324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شهري رقمي، يبدأ بالمرحلة الثانية من عام 1</w:t>
            </w:r>
          </w:p>
        </w:tc>
        <w:tc>
          <w:tcPr>
            <w:tcW w:type="dxa" w:w="38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تدقيق حقائق/تحرير، وتصنيف صريح لما ليس محكمًا</w:t>
            </w:r>
          </w:p>
        </w:tc>
      </w:tr>
      <w:tr>
        <w:trPr>
          <w:cantSplit/>
        </w:trPr>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موجز المعرفة</w:t>
            </w:r>
          </w:p>
        </w:tc>
        <w:tc>
          <w:tcPr>
            <w:tcW w:type="dxa" w:w="324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كل 6-8 أسابيع أو حسب الملف</w:t>
            </w:r>
          </w:p>
        </w:tc>
        <w:tc>
          <w:tcPr>
            <w:tcW w:type="dxa" w:w="388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مراجعة موضوعية ومنهجية معلنة</w:t>
            </w:r>
          </w:p>
        </w:tc>
      </w:tr>
      <w:tr>
        <w:trPr>
          <w:cantSplit/>
        </w:trPr>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دراسات الشام</w:t>
            </w:r>
          </w:p>
        </w:tc>
        <w:tc>
          <w:tcPr>
            <w:tcW w:type="dxa" w:w="324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2-4 دراسات عميقة سنويًا مبدئيًا</w:t>
            </w:r>
          </w:p>
        </w:tc>
        <w:tc>
          <w:tcPr>
            <w:tcW w:type="dxa" w:w="38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مراجعة خبراء مستقلين وسياسة بيانات وحقوق</w:t>
            </w:r>
          </w:p>
        </w:tc>
      </w:tr>
      <w:tr>
        <w:trPr>
          <w:cantSplit/>
        </w:trPr>
        <w:tc>
          <w:tcPr>
            <w:tcW w:type="dxa" w:w="25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دورية أكاديمية محكّمة مستقبلًا</w:t>
            </w:r>
          </w:p>
        </w:tc>
        <w:tc>
          <w:tcPr>
            <w:tcW w:type="dxa" w:w="324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لا تبدأ إلا في السنوات 2-3 إذا اكتملت الجاهزية</w:t>
            </w:r>
          </w:p>
        </w:tc>
        <w:tc>
          <w:tcPr>
            <w:tcW w:type="dxa" w:w="388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مجلس تحرير مستقل وتحكيم واضح وسياسات أخلاق وإيداع دولي</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الهيكل الثابت للمجلة الشهرية (12-20 صفحة مبدئيًا)</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ملف العدد: سؤال واحد يربط العمل الميداني بالأدلة (4-6 صفحات).</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بحث في خمس دقائق: عرض منهجي منصف لدراسة منشورة، لا ملخص ترويجي.</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من مكتبة محمد شندي الراوي: كتاب أو وثيقة أو قراءة نقدية.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من تراث الرعاية الإسلامي: نص مؤصل ومناقشة تطبيق معاصر، بإشراف مختص.</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نافذة عالمية: أبرز التطورات والسياسات الدولية ذات العلاقة.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ابتكار وتجربة: فكرة تقنية أو ممارسة قابلة للتقييم لا وصفة جاهزة.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أصوات العاملين واليافعين ومقدمي الرعاية، بمن فيهم الأسر المتأثرة بغياب أحد الوالدين: مشاركة طوعية آمنة دون استغلال القصص.</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إضاءات وأخبار موثقة: أخبار قطاعية تتضمن التاريخ والمصدر والتمييز بين الخبر والتحليل.</w:t>
      </w:r>
    </w:p>
    <w:p>
      <w:pPr>
        <w:pStyle w:val="Heading2"/>
        <w:jc w:val="right"/>
        <w:bidi w:val="1"/>
      </w:pPr>
      <w:r>
        <w:rPr>
          <w:rFonts w:ascii="Noto Kufi Arabic" w:hAnsi="Noto Kufi Arabic" w:eastAsia="Noto Kufi Arabic" w:cs="Noto Kufi Arabic"/>
          <w:b/>
          <w:color w:val="986E0B"/>
          <w:sz w:val="24"/>
          <w:szCs w:val="24"/>
          <w:bCs w:val="1"/>
          <w:rtl w:val="1"/>
          <w:lang w:bidi="ar-SY"/>
        </w:rPr>
        <w:t>تقويم موضوعات للسنة الأولى</w:t>
      </w:r>
    </w:p>
    <w:tbl>
      <w:tblPr>
        <w:tblW w:type="auto" w:w="0"/>
        <w:jc w:val="center"/>
        <w:tblLayout w:type="fixed"/>
        <w:tblLook w:firstColumn="1" w:firstRow="1" w:lastColumn="0" w:lastRow="0" w:noHBand="0" w:noVBand="1" w:val="04A0"/>
      </w:tblPr>
      <w:tblGrid>
        <w:gridCol w:w="1008"/>
        <w:gridCol w:w="4680"/>
        <w:gridCol w:w="3960"/>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العدد</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الملف الرئيس</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نموذج مادة مرافقة</w:t>
            </w:r>
          </w:p>
        </w:tc>
      </w:tr>
      <w:tr>
        <w:trPr>
          <w:cantSplit/>
        </w:trPr>
        <w:tc>
          <w:tcPr>
            <w:tcW w:type="dxa" w:w="10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01</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ما المقصود برعاية اليتيم في القرن الحادي والعشرين؟</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قاموس المصطلحات المؤسسية</w:t>
            </w:r>
          </w:p>
        </w:tc>
      </w:tr>
      <w:tr>
        <w:trPr>
          <w:cantSplit/>
        </w:trPr>
        <w:tc>
          <w:tcPr>
            <w:tcW w:type="dxa" w:w="100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02</w:t>
            </w:r>
          </w:p>
        </w:tc>
        <w:tc>
          <w:tcPr>
            <w:tcW w:type="dxa" w:w="46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بين الكفالة المالية والرعاية المتكاملة</w:t>
            </w:r>
          </w:p>
        </w:tc>
        <w:tc>
          <w:tcPr>
            <w:tcW w:type="dxa" w:w="396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مؤشرات جودة البرامج</w:t>
            </w:r>
          </w:p>
        </w:tc>
      </w:tr>
      <w:tr>
        <w:trPr>
          <w:cantSplit/>
        </w:trPr>
        <w:tc>
          <w:tcPr>
            <w:tcW w:type="dxa" w:w="10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03</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الأسرة أولًا: الوقاية من الانفصال غير الضروري</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قراءة إرشادات الرعاية البديلة</w:t>
            </w:r>
          </w:p>
        </w:tc>
      </w:tr>
      <w:tr>
        <w:trPr>
          <w:cantSplit/>
        </w:trPr>
        <w:tc>
          <w:tcPr>
            <w:tcW w:type="dxa" w:w="100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04</w:t>
            </w:r>
          </w:p>
        </w:tc>
        <w:tc>
          <w:tcPr>
            <w:tcW w:type="dxa" w:w="468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تعليم الأيتام ومسارات الاستمرار</w:t>
            </w:r>
          </w:p>
        </w:tc>
        <w:tc>
          <w:tcPr>
            <w:tcW w:type="dxa" w:w="396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تعلم من مؤسسة ميدانية</w:t>
            </w:r>
          </w:p>
        </w:tc>
      </w:tr>
      <w:tr>
        <w:trPr>
          <w:cantSplit/>
        </w:trPr>
        <w:tc>
          <w:tcPr>
            <w:tcW w:type="dxa" w:w="10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05</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التأصيل الإسلامي للوقف والكفالة</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كتاب تراثي</w:t>
            </w:r>
          </w:p>
        </w:tc>
      </w:tr>
      <w:tr>
        <w:trPr>
          <w:cantSplit/>
        </w:trPr>
        <w:tc>
          <w:tcPr>
            <w:tcW w:type="dxa" w:w="100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06</w:t>
            </w:r>
          </w:p>
        </w:tc>
        <w:tc>
          <w:tcPr>
            <w:tcW w:type="dxa" w:w="46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الانتقال إلى الشباب والعمل</w:t>
            </w:r>
          </w:p>
        </w:tc>
        <w:tc>
          <w:tcPr>
            <w:tcW w:type="dxa" w:w="396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أداة متابعة بعد الرشد</w:t>
            </w:r>
          </w:p>
        </w:tc>
      </w:tr>
      <w:tr>
        <w:trPr>
          <w:cantSplit/>
        </w:trPr>
        <w:tc>
          <w:tcPr>
            <w:tcW w:type="dxa" w:w="10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07-12</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الصحة النفسية؛ الهوية والرعاية الأسرية؛ أوضاع الشارع؛ البيانات؛ الاستشراف؛ حصاد الأدلة</w:t>
            </w:r>
          </w:p>
        </w:tc>
        <w:tc>
          <w:tcPr>
            <w:tcW w:type="dxa" w:w="39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يُستكمل التحرير بعد تشاور الجمهور والخبراء</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السياسة التحريرية والنشر العلمي</w:t>
      </w:r>
    </w:p>
    <w:p>
      <w:pPr>
        <w:jc w:val="right"/>
        <w:bidi w:val="1"/>
      </w:pPr>
      <w:r>
        <w:rPr>
          <w:rFonts w:ascii="Noto Naskh Arabic" w:hAnsi="Noto Naskh Arabic" w:eastAsia="Noto Naskh Arabic" w:cs="Noto Naskh Arabic"/>
          <w:b w:val="0"/>
          <w:color w:val="263A31"/>
          <w:sz w:val="22"/>
          <w:szCs w:val="22"/>
          <w:bCs w:val="0"/>
          <w:rtl w:val="1"/>
          <w:lang w:bidi="ar-SY"/>
        </w:rPr>
        <w:t>يوثّق كل موضوع نوعه ومصادره وتعارض مصالح محرره؛ وتفصل المجلة بين الإعلانات والمحتوى والبحث، وتعلن التصحيحات بصورة واضحة. ولا توصف المادة بأنها «محكّمة» إلا إذا خضعت فعلًا لتحكيم مستقل. ويُؤجَّل طلب ISSN للمجلة وDOI للأبحاث أو الفهرسة في DOAJ إلى استيفاء شروط كل جهة. وتُستخدم مبادئ الشفافية وأخلاقيات النشر لدى COPE والشركاء مرجعًا لتصميم اللائحة. [13-15]</w:t>
      </w:r>
    </w:p>
    <w:p>
      <w:pPr>
        <w:pStyle w:val="Heading2"/>
        <w:jc w:val="right"/>
        <w:bidi w:val="1"/>
      </w:pPr>
      <w:r>
        <w:rPr>
          <w:rFonts w:ascii="Noto Kufi Arabic" w:hAnsi="Noto Kufi Arabic" w:eastAsia="Noto Kufi Arabic" w:cs="Noto Kufi Arabic"/>
          <w:b/>
          <w:color w:val="986E0B"/>
          <w:sz w:val="24"/>
          <w:szCs w:val="24"/>
          <w:bCs w:val="1"/>
          <w:rtl w:val="1"/>
          <w:lang w:bidi="ar-SY"/>
        </w:rPr>
        <w:t>فريق التحرير اللازم</w:t>
      </w:r>
    </w:p>
    <w:p>
      <w:pPr>
        <w:jc w:val="right"/>
        <w:bidi w:val="1"/>
      </w:pPr>
      <w:r>
        <w:rPr>
          <w:rFonts w:ascii="Noto Naskh Arabic" w:hAnsi="Noto Naskh Arabic" w:eastAsia="Noto Naskh Arabic" w:cs="Noto Naskh Arabic"/>
          <w:b w:val="0"/>
          <w:color w:val="263A31"/>
          <w:sz w:val="22"/>
          <w:szCs w:val="22"/>
          <w:bCs w:val="0"/>
          <w:rtl w:val="1"/>
          <w:lang w:bidi="ar-SY"/>
        </w:rPr>
        <w:t>رئيس تحرير خبير مستقل (جزئي)، مدير تحرير تشغيلي، محرر علمي/مدقق حقائق، محرر رقمي/مصمم، مترجم متعاون، شبكة كتاب ومراجعين؛ وتُبنى ميزانية واضحة للأجور وحقوق الصور والترجمة والتصميم. في الأشهر الستة الأولى يُنتج «نشرة معرفة» شهرية تجريبية قصيرة لتأهيل الفريق، ثم تُطلق المجلة الشهرية الكاملة في الشهر السابع عند نجاح اختبارات الجودة والقدرة.</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19  |  مشروعات إبداعية تضاعف الأثر من دون تشتيت</w:t>
      </w:r>
    </w:p>
    <w:p>
      <w:pPr>
        <w:pStyle w:val="Heading2"/>
        <w:jc w:val="right"/>
        <w:bidi w:val="1"/>
      </w:pPr>
      <w:r>
        <w:rPr>
          <w:rFonts w:ascii="Noto Kufi Arabic" w:hAnsi="Noto Kufi Arabic" w:eastAsia="Noto Kufi Arabic" w:cs="Noto Kufi Arabic"/>
          <w:b/>
          <w:color w:val="986E0B"/>
          <w:sz w:val="24"/>
          <w:szCs w:val="24"/>
          <w:bCs w:val="1"/>
          <w:rtl w:val="1"/>
          <w:lang w:bidi="ar-SY"/>
        </w:rPr>
        <w:t>محفظة من ثماني مبادرات مرتبطة بالمركز</w:t>
      </w:r>
    </w:p>
    <w:tbl>
      <w:tblPr>
        <w:tblW w:type="auto" w:w="0"/>
        <w:jc w:val="center"/>
        <w:tblLayout w:type="fixed"/>
        <w:tblLook w:firstColumn="1" w:firstRow="1" w:lastColumn="0" w:lastRow="0" w:noHBand="0" w:noVBand="1" w:val="04A0"/>
      </w:tblPr>
      <w:tblGrid>
        <w:gridCol w:w="2664"/>
        <w:gridCol w:w="5256"/>
        <w:gridCol w:w="1728"/>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المبادرة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فكرتها وقيمتها</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توقيت الأنسب</w:t>
            </w:r>
          </w:p>
        </w:tc>
      </w:tr>
      <w:tr>
        <w:trPr>
          <w:cantSplit/>
        </w:trPr>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مرصد أحوال الرعاية</w:t>
            </w:r>
          </w:p>
        </w:tc>
        <w:tc>
          <w:tcPr>
            <w:tcW w:type="dxa" w:w="52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لوحات بيانات قطاعية مجمعة وآمنة، وموجز تطورات تشريعية وبرامجية</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سنة 2 بعد نضج سياسة البيانات</w:t>
            </w:r>
          </w:p>
        </w:tc>
      </w:tr>
      <w:tr>
        <w:trPr>
          <w:cantSplit/>
        </w:trPr>
        <w:tc>
          <w:tcPr>
            <w:tcW w:type="dxa" w:w="266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أطلس الكفالة في العالم الإسلامي</w:t>
            </w:r>
          </w:p>
        </w:tc>
        <w:tc>
          <w:tcPr>
            <w:tcW w:type="dxa" w:w="525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خريطة فهرسية للمؤسسات والبرامج والمنشورات العامة، لا خريطة للمستفيدين</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سنة 3</w:t>
            </w:r>
          </w:p>
        </w:tc>
      </w:tr>
      <w:tr>
        <w:trPr>
          <w:cantSplit/>
        </w:trPr>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برنامج ذاكرة الشام</w:t>
            </w:r>
          </w:p>
        </w:tc>
        <w:tc>
          <w:tcPr>
            <w:tcW w:type="dxa" w:w="52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أرشيف شفوي ووثائقي ومدونة تاريخية تحليلية موثقة</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البدء المحدود سنة 1</w:t>
            </w:r>
          </w:p>
        </w:tc>
      </w:tr>
      <w:tr>
        <w:trPr>
          <w:cantSplit/>
        </w:trPr>
        <w:tc>
          <w:tcPr>
            <w:tcW w:type="dxa" w:w="266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زمالة محمد شندي الراوي</w:t>
            </w:r>
          </w:p>
        </w:tc>
        <w:tc>
          <w:tcPr>
            <w:tcW w:type="dxa" w:w="525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منح صغيرة لمشاريع باحثين شباب بإشراف منهجي وموضوع محدد</w:t>
            </w:r>
          </w:p>
        </w:tc>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سنة 2 بعد توفر التمويل</w:t>
            </w:r>
          </w:p>
        </w:tc>
      </w:tr>
      <w:tr>
        <w:trPr>
          <w:cantSplit/>
        </w:trPr>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أكاديمية ممارسات الرعاية</w:t>
            </w:r>
          </w:p>
        </w:tc>
        <w:tc>
          <w:tcPr>
            <w:tcW w:type="dxa" w:w="52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دورات تنفيذية قصيرة للباحثين والعاملين في المنظمات الشريكة</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نهاية سنة 1/سنة 2</w:t>
            </w:r>
          </w:p>
        </w:tc>
      </w:tr>
      <w:tr>
        <w:trPr>
          <w:cantSplit/>
        </w:trPr>
        <w:tc>
          <w:tcPr>
            <w:tcW w:type="dxa" w:w="266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مختبر السياسات والتجربة</w:t>
            </w:r>
          </w:p>
        </w:tc>
        <w:tc>
          <w:tcPr>
            <w:tcW w:type="dxa" w:w="525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اختبار أدلة دعم الأسرة والحماية والهوية المدنية أو الوصول الآمن للخدمات بالتعاون مع شركاء مختصين</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سنة 2</w:t>
            </w:r>
          </w:p>
        </w:tc>
      </w:tr>
      <w:tr>
        <w:trPr>
          <w:cantSplit/>
        </w:trPr>
        <w:tc>
          <w:tcPr>
            <w:tcW w:type="dxa" w:w="26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منتدى الشام للمعرفة والرعاية</w:t>
            </w:r>
          </w:p>
        </w:tc>
        <w:tc>
          <w:tcPr>
            <w:tcW w:type="dxa" w:w="52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ملتقى سنوي يجمع العاملين والجامعات والأوقاف وصناع السياسات</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سنة 2-3</w:t>
            </w:r>
          </w:p>
        </w:tc>
      </w:tr>
      <w:tr>
        <w:trPr>
          <w:cantSplit/>
        </w:trPr>
        <w:tc>
          <w:tcPr>
            <w:tcW w:type="dxa" w:w="266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مختبر مستقبل اليتيم 2040</w:t>
            </w:r>
          </w:p>
        </w:tc>
        <w:tc>
          <w:tcPr>
            <w:tcW w:type="dxa" w:w="525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سيناريوهات ومؤشرات مبكرة للتمويل والتعلم والعمل والهوية الرقمية</w:t>
            </w:r>
          </w:p>
        </w:tc>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سنة 3-4</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ترتيب الأولويات لا إطلاق الثمانية دفعة واحدة</w:t>
      </w:r>
    </w:p>
    <w:p>
      <w:pPr>
        <w:jc w:val="right"/>
        <w:bidi w:val="1"/>
      </w:pPr>
      <w:r>
        <w:rPr>
          <w:rFonts w:ascii="Noto Naskh Arabic" w:hAnsi="Noto Naskh Arabic" w:eastAsia="Noto Naskh Arabic" w:cs="Noto Naskh Arabic"/>
          <w:b w:val="0"/>
          <w:color w:val="263A31"/>
          <w:sz w:val="22"/>
          <w:szCs w:val="22"/>
          <w:bCs w:val="0"/>
          <w:rtl w:val="1"/>
          <w:lang w:bidi="ar-SY"/>
        </w:rPr>
        <w:t>يُقترح خلال العام الأول التركيز على المكتبة والمجلة واثنين من منتجات البحث، مع تجريب محدود للأرشيف والندوات. ولا يفتح أي ذراع جديد قبل توفر مالك برنامج وبند تمويل ومعيار أخلاقي ومؤشر استخدام. تمتلك كل مبادرة «بطاقة مشروع» من صفحة واحدة، وتُراجع ربع سنويًا على قاعدة الاستمرار أو التعديل أو الإيقاف.</w:t>
      </w:r>
    </w:p>
    <w:p>
      <w:pPr>
        <w:pStyle w:val="Heading2"/>
        <w:jc w:val="right"/>
        <w:bidi w:val="1"/>
      </w:pPr>
      <w:r>
        <w:rPr>
          <w:rFonts w:ascii="Noto Kufi Arabic" w:hAnsi="Noto Kufi Arabic" w:eastAsia="Noto Kufi Arabic" w:cs="Noto Kufi Arabic"/>
          <w:b/>
          <w:color w:val="986E0B"/>
          <w:sz w:val="24"/>
          <w:szCs w:val="24"/>
          <w:bCs w:val="1"/>
          <w:rtl w:val="1"/>
          <w:lang w:bidi="ar-SY"/>
        </w:rPr>
        <w:t>منصّة الخبرة الإسلامية المقارنة</w:t>
      </w:r>
    </w:p>
    <w:p>
      <w:pPr>
        <w:jc w:val="right"/>
        <w:bidi w:val="1"/>
      </w:pPr>
      <w:r>
        <w:rPr>
          <w:rFonts w:ascii="Noto Naskh Arabic" w:hAnsi="Noto Naskh Arabic" w:eastAsia="Noto Naskh Arabic" w:cs="Noto Naskh Arabic"/>
          <w:b w:val="0"/>
          <w:color w:val="263A31"/>
          <w:sz w:val="22"/>
          <w:szCs w:val="22"/>
          <w:bCs w:val="0"/>
          <w:rtl w:val="1"/>
          <w:lang w:bidi="ar-SY"/>
        </w:rPr>
        <w:t>يمكن إنشاء مسار شبكة متخصص يربط العلماء والباحثين في الفقه والاجتماع والتربية والاقتصاد والصحة النفسية مع الجامعات والمنظمات في العالم الإسلامي؛ وتنشر الشبكة أوراقًا تقارن بين التطبيقات والمؤسسات دون فرض تجانس ثقافي أو إقصاء خبرة محلية. يظل كل رأي منسوبًا لكاتبه وخاضعًا لتدقيقه المتخصص.</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20  |  الشراكات وبناء المكانة العلمية</w:t>
      </w:r>
    </w:p>
    <w:p>
      <w:pPr>
        <w:pStyle w:val="Heading2"/>
        <w:jc w:val="right"/>
        <w:bidi w:val="1"/>
      </w:pPr>
      <w:r>
        <w:rPr>
          <w:rFonts w:ascii="Noto Kufi Arabic" w:hAnsi="Noto Kufi Arabic" w:eastAsia="Noto Kufi Arabic" w:cs="Noto Kufi Arabic"/>
          <w:b/>
          <w:color w:val="986E0B"/>
          <w:sz w:val="24"/>
          <w:szCs w:val="24"/>
          <w:bCs w:val="1"/>
          <w:rtl w:val="1"/>
          <w:lang w:bidi="ar-SY"/>
        </w:rPr>
        <w:t>خارطة أصحاب المصلحة</w:t>
      </w:r>
    </w:p>
    <w:tbl>
      <w:tblPr>
        <w:tblW w:type="auto" w:w="0"/>
        <w:jc w:val="center"/>
        <w:tblLayout w:type="fixed"/>
        <w:tblLook w:firstColumn="1" w:firstRow="1" w:lastColumn="0" w:lastRow="0" w:noHBand="0" w:noVBand="1" w:val="04A0"/>
      </w:tblPr>
      <w:tblGrid>
        <w:gridCol w:w="2376"/>
        <w:gridCol w:w="3528"/>
        <w:gridCol w:w="3744"/>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الشريك المستهدف</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المصلحة المشتركة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بداية التعاون</w:t>
            </w:r>
          </w:p>
        </w:tc>
      </w:tr>
      <w:tr>
        <w:trPr>
          <w:cantSplit/>
        </w:trPr>
        <w:tc>
          <w:tcPr>
            <w:tcW w:type="dxa" w:w="23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جمعية الشام</w:t>
            </w:r>
          </w:p>
        </w:tc>
        <w:tc>
          <w:tcPr>
            <w:tcW w:type="dxa" w:w="35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توثيق الخبرة، تقييم البرامج، تطوير الأدلة</w:t>
            </w:r>
          </w:p>
        </w:tc>
        <w:tc>
          <w:tcPr>
            <w:tcW w:type="dxa" w:w="37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مذكرة تفاهم وضوابط بيانات وحقوق</w:t>
            </w:r>
          </w:p>
        </w:tc>
      </w:tr>
      <w:tr>
        <w:trPr>
          <w:cantSplit/>
        </w:trPr>
        <w:tc>
          <w:tcPr>
            <w:tcW w:type="dxa" w:w="237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جامعات ومراكز بحث</w:t>
            </w:r>
          </w:p>
        </w:tc>
        <w:tc>
          <w:tcPr>
            <w:tcW w:type="dxa" w:w="35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تحكيم، تدريب، إشراف، دراسات مشتركة</w:t>
            </w:r>
          </w:p>
        </w:tc>
        <w:tc>
          <w:tcPr>
            <w:tcW w:type="dxa" w:w="374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ندوة منهجية مشتركة / مراجعات متبادلة</w:t>
            </w:r>
          </w:p>
        </w:tc>
      </w:tr>
      <w:tr>
        <w:trPr>
          <w:cantSplit/>
        </w:trPr>
        <w:tc>
          <w:tcPr>
            <w:tcW w:type="dxa" w:w="23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مكتبات ومتاحف وأرشيف</w:t>
            </w:r>
          </w:p>
        </w:tc>
        <w:tc>
          <w:tcPr>
            <w:tcW w:type="dxa" w:w="35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فهرسة وإيداع وحفظ واسترجاع</w:t>
            </w:r>
          </w:p>
        </w:tc>
        <w:tc>
          <w:tcPr>
            <w:tcW w:type="dxa" w:w="37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جرد مشترك وروابط قانونية للمواد</w:t>
            </w:r>
          </w:p>
        </w:tc>
      </w:tr>
      <w:tr>
        <w:trPr>
          <w:cantSplit/>
        </w:trPr>
        <w:tc>
          <w:tcPr>
            <w:tcW w:type="dxa" w:w="237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جمعيات رعاية أخرى</w:t>
            </w:r>
          </w:p>
        </w:tc>
        <w:tc>
          <w:tcPr>
            <w:tcW w:type="dxa" w:w="35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مقارنة ممارسات وتبادل تعلم</w:t>
            </w:r>
          </w:p>
        </w:tc>
        <w:tc>
          <w:tcPr>
            <w:tcW w:type="dxa" w:w="374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مجموعة عمل على قضية غير حساسة</w:t>
            </w:r>
          </w:p>
        </w:tc>
      </w:tr>
      <w:tr>
        <w:trPr>
          <w:cantSplit/>
        </w:trPr>
        <w:tc>
          <w:tcPr>
            <w:tcW w:type="dxa" w:w="237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أوقاف ومؤسسات مانحة</w:t>
            </w:r>
          </w:p>
        </w:tc>
        <w:tc>
          <w:tcPr>
            <w:tcW w:type="dxa" w:w="35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تمويل المعرفة القابلة للتطبيق</w:t>
            </w:r>
          </w:p>
        </w:tc>
        <w:tc>
          <w:tcPr>
            <w:tcW w:type="dxa" w:w="37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مشروعات محددة ذات مؤشرات شفافة</w:t>
            </w:r>
          </w:p>
        </w:tc>
      </w:tr>
      <w:tr>
        <w:trPr>
          <w:cantSplit/>
        </w:trPr>
        <w:tc>
          <w:tcPr>
            <w:tcW w:type="dxa" w:w="237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متخصصون مستقلون</w:t>
            </w:r>
          </w:p>
        </w:tc>
        <w:tc>
          <w:tcPr>
            <w:tcW w:type="dxa" w:w="35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مراجعة علمية وخبرات تقنية وقانونية</w:t>
            </w:r>
          </w:p>
        </w:tc>
        <w:tc>
          <w:tcPr>
            <w:tcW w:type="dxa" w:w="374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قائمة محكمين وعقود تضارب مصالح</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معايير قبول الشراكة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اتساق النشاط مع سلامة الأطفال ورسالة المركز والأنظمة القانونية.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الشفافية في التمويل والحقوق والملكية والقدرة على الانسحاب.</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عدم إعطاء الممول حق حذف نتائج سلبية أو تعديل استنتاجات بحثية.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صلاحيات بيانات محددة؛ لا شروط لإتاحة كشوف الأطفال أو الصور مقابل التمويل.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وجود مسؤول اتصال ومخرجات ومؤشرات ومراجعة دورية وتسوية خلاف موثقة.</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21  |  البنية التقنية الرقمية والذكاء الاصطناعي</w:t>
      </w:r>
    </w:p>
    <w:p>
      <w:pPr>
        <w:pStyle w:val="Heading2"/>
        <w:jc w:val="right"/>
        <w:bidi w:val="1"/>
      </w:pPr>
      <w:r>
        <w:rPr>
          <w:rFonts w:ascii="Noto Kufi Arabic" w:hAnsi="Noto Kufi Arabic" w:eastAsia="Noto Kufi Arabic" w:cs="Noto Kufi Arabic"/>
          <w:b/>
          <w:color w:val="986E0B"/>
          <w:sz w:val="24"/>
          <w:szCs w:val="24"/>
          <w:bCs w:val="1"/>
          <w:rtl w:val="1"/>
          <w:lang w:bidi="ar-SY"/>
        </w:rPr>
        <w:t>مبادئ منصة واحدة متعددة الخدمات</w:t>
      </w:r>
    </w:p>
    <w:p>
      <w:pPr>
        <w:jc w:val="right"/>
        <w:bidi w:val="1"/>
      </w:pPr>
      <w:r>
        <w:rPr>
          <w:rFonts w:ascii="Noto Naskh Arabic" w:hAnsi="Noto Naskh Arabic" w:eastAsia="Noto Naskh Arabic" w:cs="Noto Naskh Arabic"/>
          <w:b w:val="0"/>
          <w:color w:val="263A31"/>
          <w:sz w:val="22"/>
          <w:szCs w:val="22"/>
          <w:bCs w:val="0"/>
          <w:rtl w:val="1"/>
          <w:lang w:bidi="ar-SY"/>
        </w:rPr>
        <w:t>من الأفضل إنشاء موقع مؤسسي بسيط يعمل بوصفه بوابة واحدة، مع أقسام واضحة: عن المركز، المكتبة، الأرشيف، البحوث، المجلة، الفعاليات، الشراكات، السياسات، واتصل بنا. خلف الواجهة يمكن استخدام أدوات متخصصة قابلة للتكامل عبر معرفات وروابط ثابتة وصلاحيات منفصلة؛ لكن لا حاجة إلى بناء برمجية مخصصة مكلفة منذ البداية.</w:t>
      </w:r>
    </w:p>
    <w:tbl>
      <w:tblPr>
        <w:tblW w:type="auto" w:w="0"/>
        <w:jc w:val="center"/>
        <w:tblLayout w:type="fixed"/>
        <w:tblLook w:firstColumn="1" w:firstRow="1" w:lastColumn="0" w:lastRow="0" w:noHBand="0" w:noVBand="1" w:val="04A0"/>
      </w:tblPr>
      <w:tblGrid>
        <w:gridCol w:w="1944"/>
        <w:gridCol w:w="4032"/>
        <w:gridCol w:w="3672"/>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الطبقة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حل ممكن للدراسة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معيار الاختيار</w:t>
            </w:r>
          </w:p>
        </w:tc>
      </w:tr>
      <w:tr>
        <w:trPr>
          <w:cantSplit/>
        </w:trPr>
        <w:tc>
          <w:tcPr>
            <w:tcW w:type="dxa" w:w="19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الموقع التحريري</w:t>
            </w:r>
          </w:p>
        </w:tc>
        <w:tc>
          <w:tcPr>
            <w:tcW w:type="dxa" w:w="40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نظام إدارة محتوى مؤسسي مثل WordPress أو بديل متين</w:t>
            </w:r>
          </w:p>
        </w:tc>
        <w:tc>
          <w:tcPr>
            <w:tcW w:type="dxa" w:w="36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سهولة النشر، تعدد المحررين، دعم العربية</w:t>
            </w:r>
          </w:p>
        </w:tc>
      </w:tr>
      <w:tr>
        <w:trPr>
          <w:cantSplit/>
        </w:trPr>
        <w:tc>
          <w:tcPr>
            <w:tcW w:type="dxa" w:w="194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فهرس الكتب</w:t>
            </w:r>
          </w:p>
        </w:tc>
        <w:tc>
          <w:tcPr>
            <w:tcW w:type="dxa" w:w="40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Koha أو فهرس مصغر مهيكل في البداية</w:t>
            </w:r>
          </w:p>
        </w:tc>
        <w:tc>
          <w:tcPr>
            <w:tcW w:type="dxa" w:w="367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دعم معايير الفهرسة وتصدير البيانات</w:t>
            </w:r>
          </w:p>
        </w:tc>
      </w:tr>
      <w:tr>
        <w:trPr>
          <w:cantSplit/>
        </w:trPr>
        <w:tc>
          <w:tcPr>
            <w:tcW w:type="dxa" w:w="19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المستودع الرقمي</w:t>
            </w:r>
          </w:p>
        </w:tc>
        <w:tc>
          <w:tcPr>
            <w:tcW w:type="dxa" w:w="40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DSpace أو بديل بأدوار وصلاحيات وتخزين مستقل</w:t>
            </w:r>
          </w:p>
        </w:tc>
        <w:tc>
          <w:tcPr>
            <w:tcW w:type="dxa" w:w="36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حقوق وصول، نسخ احتياطي، بيانات وصفية</w:t>
            </w:r>
          </w:p>
        </w:tc>
      </w:tr>
      <w:tr>
        <w:trPr>
          <w:cantSplit/>
        </w:trPr>
        <w:tc>
          <w:tcPr>
            <w:tcW w:type="dxa" w:w="194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مجلة محكّمة مستقبلًا</w:t>
            </w:r>
          </w:p>
        </w:tc>
        <w:tc>
          <w:tcPr>
            <w:tcW w:type="dxa" w:w="403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OJS عند النضج بدل استخدامه لمجلة أخبار</w:t>
            </w:r>
          </w:p>
        </w:tc>
        <w:tc>
          <w:tcPr>
            <w:tcW w:type="dxa" w:w="367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تحكيم وتتبّع مراجعات وأرشفة مقالات</w:t>
            </w:r>
          </w:p>
        </w:tc>
      </w:tr>
      <w:tr>
        <w:trPr>
          <w:cantSplit/>
        </w:trPr>
        <w:tc>
          <w:tcPr>
            <w:tcW w:type="dxa" w:w="194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التقارير والتحليلات</w:t>
            </w:r>
          </w:p>
        </w:tc>
        <w:tc>
          <w:tcPr>
            <w:tcW w:type="dxa" w:w="40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أداة لوحات داخلية لبيانات مجمعة فقط</w:t>
            </w:r>
          </w:p>
        </w:tc>
        <w:tc>
          <w:tcPr>
            <w:tcW w:type="dxa" w:w="36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قابلية التدقيق وعدم تعريف الأفراد</w:t>
            </w:r>
          </w:p>
        </w:tc>
      </w:tr>
      <w:tr>
        <w:trPr>
          <w:cantSplit/>
        </w:trPr>
        <w:tc>
          <w:tcPr>
            <w:tcW w:type="dxa" w:w="194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النسخ والحماية</w:t>
            </w:r>
          </w:p>
        </w:tc>
        <w:tc>
          <w:tcPr>
            <w:tcW w:type="dxa" w:w="40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تشفير + نسخ مستقلة + استعادة دورية</w:t>
            </w:r>
          </w:p>
        </w:tc>
        <w:tc>
          <w:tcPr>
            <w:tcW w:type="dxa" w:w="367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متابعة أمنية واختبار استرداد</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الأمن والخصوصية من التصميم</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تسجيل مستخدمين بأدوار أدنى صلاحية، ومصادقة متعددة العوامل للحسابات المهمة، وتحديثات أمنية وسجل أنشطة.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فصل منصة المحتوى العام عن أي بيانات بحثية حساسة أو معلومات برامج الجمعية.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جداول احتفاظ واضحة ومراجعة صلاحيات فصلية وإجراء إخطار ومعالجة لحوادث البيانات.</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اختبارات نسخ احتياطي واستعادة، وخطة تعافي وأسماء مسؤولين بدلاء وتوثيق إدارة النطاقات والحسابات.</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سياسة استخدام ذكاء اصطناعي: مساعد في الفرز واستخراج الكلمات المفتاحية والتلخيص الأولي فقط؛ مراجعة بشرية لكل معلومة منشورة؛ منع إدخال بيانات الأطفال الحساسة إلى أدوات عامة دون أساس قانوني وضوابط تقنية.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تخصيص معايير إتاحة للمستخدمين ذوي الإعاقة، وواجهة RTL كاملة، وأحجام خطوط مقروءة وقابلية تنزيل النصوص.</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22  |  التنظيم والموارد البشرية والتشغيل</w:t>
      </w:r>
    </w:p>
    <w:p>
      <w:pPr>
        <w:pStyle w:val="Heading2"/>
        <w:jc w:val="right"/>
        <w:bidi w:val="1"/>
      </w:pPr>
      <w:r>
        <w:rPr>
          <w:rFonts w:ascii="Noto Kufi Arabic" w:hAnsi="Noto Kufi Arabic" w:eastAsia="Noto Kufi Arabic" w:cs="Noto Kufi Arabic"/>
          <w:b/>
          <w:color w:val="986E0B"/>
          <w:sz w:val="24"/>
          <w:szCs w:val="24"/>
          <w:bCs w:val="1"/>
          <w:rtl w:val="1"/>
          <w:lang w:bidi="ar-SY"/>
        </w:rPr>
        <w:t>الهيكل المستهدف عند النضج</w:t>
      </w:r>
    </w:p>
    <w:tbl>
      <w:tblPr>
        <w:tblW w:type="auto" w:w="0"/>
        <w:jc w:val="center"/>
        <w:tblLayout w:type="fixed"/>
        <w:tblLook w:firstColumn="1" w:firstRow="1" w:lastColumn="0" w:lastRow="0" w:noHBand="0" w:noVBand="1" w:val="04A0"/>
      </w:tblPr>
      <w:tblGrid>
        <w:gridCol w:w="1728"/>
        <w:gridCol w:w="4608"/>
        <w:gridCol w:w="3312"/>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مستوى</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المناصب/المهام</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الاستقلال والعلاقة</w:t>
            </w:r>
          </w:p>
        </w:tc>
      </w:tr>
      <w:tr>
        <w:trPr>
          <w:cantSplit/>
        </w:trPr>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المجلس</w:t>
            </w:r>
          </w:p>
        </w:tc>
        <w:tc>
          <w:tcPr>
            <w:tcW w:type="dxa" w:w="46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7 أعضاء + لجنة تدقيق + مجلس علمي</w:t>
            </w:r>
          </w:p>
        </w:tc>
        <w:tc>
          <w:tcPr>
            <w:tcW w:type="dxa" w:w="33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الحوكمة وتعيين/تقييم المدير؛ لا إدارة يومية</w:t>
            </w:r>
          </w:p>
        </w:tc>
      </w:tr>
      <w:tr>
        <w:trPr>
          <w:cantSplit/>
        </w:trPr>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الإدارة</w:t>
            </w:r>
          </w:p>
        </w:tc>
        <w:tc>
          <w:tcPr>
            <w:tcW w:type="dxa" w:w="460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مدير تنفيذي/عام + مدير عمليات/شراكات</w:t>
            </w:r>
          </w:p>
        </w:tc>
        <w:tc>
          <w:tcPr>
            <w:tcW w:type="dxa" w:w="331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المساءلة والميزانية والاستراتيجية</w:t>
            </w:r>
          </w:p>
        </w:tc>
      </w:tr>
      <w:tr>
        <w:trPr>
          <w:cantSplit/>
        </w:trPr>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المكتبة والأرشيف</w:t>
            </w:r>
          </w:p>
        </w:tc>
        <w:tc>
          <w:tcPr>
            <w:tcW w:type="dxa" w:w="46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أمين مكتبة/أخصائي معلومات + فهرسة متعاقدة</w:t>
            </w:r>
          </w:p>
        </w:tc>
        <w:tc>
          <w:tcPr>
            <w:tcW w:type="dxa" w:w="33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التزويد والوصف والحقوق والحفظ</w:t>
            </w:r>
          </w:p>
        </w:tc>
      </w:tr>
      <w:tr>
        <w:trPr>
          <w:cantSplit/>
        </w:trPr>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البحث</w:t>
            </w:r>
          </w:p>
        </w:tc>
        <w:tc>
          <w:tcPr>
            <w:tcW w:type="dxa" w:w="460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منسق بحوث + باحثون زائرون + خبراء</w:t>
            </w:r>
          </w:p>
        </w:tc>
        <w:tc>
          <w:tcPr>
            <w:tcW w:type="dxa" w:w="331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منهجية وتحليل ونشر وتقييم</w:t>
            </w:r>
          </w:p>
        </w:tc>
      </w:tr>
      <w:tr>
        <w:trPr>
          <w:cantSplit/>
        </w:trPr>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المجلة</w:t>
            </w:r>
          </w:p>
        </w:tc>
        <w:tc>
          <w:tcPr>
            <w:tcW w:type="dxa" w:w="460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مدير تحرير + محررون/مصممون متعاقدون</w:t>
            </w:r>
          </w:p>
        </w:tc>
        <w:tc>
          <w:tcPr>
            <w:tcW w:type="dxa" w:w="33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فصل قرار المحتوى عن الممول والترويج</w:t>
            </w:r>
          </w:p>
        </w:tc>
      </w:tr>
      <w:tr>
        <w:trPr>
          <w:cantSplit/>
        </w:trPr>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الدعم</w:t>
            </w:r>
          </w:p>
        </w:tc>
        <w:tc>
          <w:tcPr>
            <w:tcW w:type="dxa" w:w="460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مالية/امتثال/تقنية/حماية طفل مشتركة أو تعاقد</w:t>
            </w:r>
          </w:p>
        </w:tc>
        <w:tc>
          <w:tcPr>
            <w:tcW w:type="dxa" w:w="331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رقابة فصلية ومسؤوليات محددة</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فريق الحد الأدنى للسنة الأولى</w:t>
      </w:r>
    </w:p>
    <w:p>
      <w:pPr>
        <w:jc w:val="right"/>
        <w:bidi w:val="1"/>
      </w:pPr>
      <w:r>
        <w:rPr>
          <w:rFonts w:ascii="Noto Naskh Arabic" w:hAnsi="Noto Naskh Arabic" w:eastAsia="Noto Naskh Arabic" w:cs="Noto Naskh Arabic"/>
          <w:b w:val="0"/>
          <w:color w:val="263A31"/>
          <w:sz w:val="22"/>
          <w:szCs w:val="22"/>
          <w:bCs w:val="0"/>
          <w:rtl w:val="1"/>
          <w:lang w:bidi="ar-SY"/>
        </w:rPr>
        <w:t>عند توفر الاستضافة الإدارية للجمعية، يمكن الانطلاق بفريق مكافئ لنحو 3-4 وظائف كاملة: مدير تأسيسي، مسؤول مكتبة ومحتوى، منسق بحث وتحرير، ودعم إداري/تقني جزئي. يضاف محكمون ومترجمون ومستشار حماية طفل ومحاسب بنظام تعاقد واضح. وجود هذه الوظائف في الخطة لا يعني أنها ممولة أو مشغولة.</w:t>
      </w:r>
    </w:p>
    <w:p>
      <w:pPr>
        <w:pStyle w:val="Heading2"/>
        <w:jc w:val="right"/>
        <w:bidi w:val="1"/>
      </w:pPr>
      <w:r>
        <w:rPr>
          <w:rFonts w:ascii="Noto Kufi Arabic" w:hAnsi="Noto Kufi Arabic" w:eastAsia="Noto Kufi Arabic" w:cs="Noto Kufi Arabic"/>
          <w:b/>
          <w:color w:val="986E0B"/>
          <w:sz w:val="24"/>
          <w:szCs w:val="24"/>
          <w:bCs w:val="1"/>
          <w:rtl w:val="1"/>
          <w:lang w:bidi="ar-SY"/>
        </w:rPr>
        <w:t>توزيع الصلاحيات (RACI مختصر)</w:t>
      </w:r>
    </w:p>
    <w:tbl>
      <w:tblPr>
        <w:tblW w:type="auto" w:w="0"/>
        <w:jc w:val="center"/>
        <w:tblLayout w:type="fixed"/>
        <w:tblLook w:firstColumn="1" w:firstRow="1" w:lastColumn="0" w:lastRow="0" w:noHBand="0" w:noVBand="1" w:val="04A0"/>
      </w:tblPr>
      <w:tblGrid>
        <w:gridCol w:w="3096"/>
        <w:gridCol w:w="2232"/>
        <w:gridCol w:w="2232"/>
        <w:gridCol w:w="2088"/>
      </w:tblGrid>
      <w:tr>
        <w:trPr>
          <w:tblHeader w:val="true"/>
          <w:cantSplit/>
        </w:trPr>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القرار/النشاط</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المسؤول التنفيذي</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جهة الاعتماد</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جهة الاستشارة</w:t>
            </w:r>
          </w:p>
        </w:tc>
      </w:tr>
      <w:tr>
        <w:trPr>
          <w:cantSplit/>
        </w:trPr>
        <w:tc>
          <w:tcPr>
            <w:tcW w:type="dxa" w:w="30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الميزانية والعقود الكبيرة</w:t>
            </w:r>
          </w:p>
        </w:tc>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الإدارة</w:t>
            </w:r>
          </w:p>
        </w:tc>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المجلس/الجهة القانونية المخوّلة</w:t>
            </w:r>
          </w:p>
        </w:tc>
        <w:tc>
          <w:tcPr>
            <w:tcW w:type="dxa" w:w="20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التدقيق والمالية</w:t>
            </w:r>
          </w:p>
        </w:tc>
      </w:tr>
      <w:tr>
        <w:trPr>
          <w:cantSplit/>
        </w:trPr>
        <w:tc>
          <w:tcPr>
            <w:tcW w:type="dxa" w:w="309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خطة بحث</w:t>
            </w:r>
          </w:p>
        </w:tc>
        <w:tc>
          <w:tcPr>
            <w:tcW w:type="dxa" w:w="22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مدير البحث</w:t>
            </w:r>
          </w:p>
        </w:tc>
        <w:tc>
          <w:tcPr>
            <w:tcW w:type="dxa" w:w="223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المجلس العلمي وفق تفويض</w:t>
            </w:r>
          </w:p>
        </w:tc>
        <w:tc>
          <w:tcPr>
            <w:tcW w:type="dxa" w:w="208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الأخلاقيات والشركاء</w:t>
            </w:r>
          </w:p>
        </w:tc>
      </w:tr>
      <w:tr>
        <w:trPr>
          <w:cantSplit/>
        </w:trPr>
        <w:tc>
          <w:tcPr>
            <w:tcW w:type="dxa" w:w="30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نشر نتيجة بحث حساسة</w:t>
            </w:r>
          </w:p>
        </w:tc>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فريق البحث/المحرر</w:t>
            </w:r>
          </w:p>
        </w:tc>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الهيئة العلمية والتحريرية</w:t>
            </w:r>
          </w:p>
        </w:tc>
        <w:tc>
          <w:tcPr>
            <w:tcW w:type="dxa" w:w="20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حماية الطفل والقانوني</w:t>
            </w:r>
          </w:p>
        </w:tc>
      </w:tr>
      <w:tr>
        <w:trPr>
          <w:cantSplit/>
        </w:trPr>
        <w:tc>
          <w:tcPr>
            <w:tcW w:type="dxa" w:w="309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اختيار مواد المكتبة</w:t>
            </w:r>
          </w:p>
        </w:tc>
        <w:tc>
          <w:tcPr>
            <w:tcW w:type="dxa" w:w="223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أمين المكتبة</w:t>
            </w:r>
          </w:p>
        </w:tc>
        <w:tc>
          <w:tcPr>
            <w:tcW w:type="dxa" w:w="223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لجنة المكتبة ضمن سقف تفويض</w:t>
            </w:r>
          </w:p>
        </w:tc>
        <w:tc>
          <w:tcPr>
            <w:tcW w:type="dxa" w:w="208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حقوق النشر</w:t>
            </w:r>
          </w:p>
        </w:tc>
      </w:tr>
      <w:tr>
        <w:trPr>
          <w:cantSplit/>
        </w:trPr>
        <w:tc>
          <w:tcPr>
            <w:tcW w:type="dxa" w:w="30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تعيين المدير وخلافة المؤسس</w:t>
            </w:r>
          </w:p>
        </w:tc>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لجنة الترشيحات</w:t>
            </w:r>
          </w:p>
        </w:tc>
        <w:tc>
          <w:tcPr>
            <w:tcW w:type="dxa" w:w="223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مجلس غير متعارض المصالح</w:t>
            </w:r>
          </w:p>
        </w:tc>
        <w:tc>
          <w:tcPr>
            <w:tcW w:type="dxa" w:w="20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تدقيق/خبراء خارجيون</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23  |  خارطة الطريق التنفيذية: أول مئة يوم إلى خمس سنوات</w:t>
      </w:r>
    </w:p>
    <w:p>
      <w:pPr>
        <w:pStyle w:val="Heading2"/>
        <w:jc w:val="right"/>
        <w:bidi w:val="1"/>
      </w:pPr>
      <w:r>
        <w:rPr>
          <w:rFonts w:ascii="Noto Kufi Arabic" w:hAnsi="Noto Kufi Arabic" w:eastAsia="Noto Kufi Arabic" w:cs="Noto Kufi Arabic"/>
          <w:b/>
          <w:color w:val="986E0B"/>
          <w:sz w:val="24"/>
          <w:szCs w:val="24"/>
          <w:bCs w:val="1"/>
          <w:rtl w:val="1"/>
          <w:lang w:bidi="ar-SY"/>
        </w:rPr>
        <w:t>خطة الأيام 1-30: تأسيس الشرعية المؤسسية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قرار تفويض رسمي وتشكيل لجنة تأسيس وتسمية منسق للمشروع وإقرار نطاق الدراسات غير الحساسة.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دراسة قانونية موجزة للخيارات المؤسسية والبلد المسجل فيه كل نشاط، وفحص الاسم والعلامة.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إعداد ميثاق مبادئ للمركز والمكتبة وسياسة أولية للاستقلال العلمي وحماية الطفل.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مقابلة 12-18 صاحب مصلحة مختارًا من الجمعية والجامعات والخبراء، بأسئلة احتياج محددة لا تجمع بيانات أطفال.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جرد المصادر المنشورة المتاحة من الجمعية وإصداراتها، وتحديد الأصول والحقوق والتكاليف المحتملة.</w:t>
      </w:r>
    </w:p>
    <w:p>
      <w:pPr>
        <w:pStyle w:val="Heading2"/>
        <w:jc w:val="right"/>
        <w:bidi w:val="1"/>
      </w:pPr>
      <w:r>
        <w:rPr>
          <w:rFonts w:ascii="Noto Kufi Arabic" w:hAnsi="Noto Kufi Arabic" w:eastAsia="Noto Kufi Arabic" w:cs="Noto Kufi Arabic"/>
          <w:b/>
          <w:color w:val="986E0B"/>
          <w:sz w:val="24"/>
          <w:szCs w:val="24"/>
          <w:bCs w:val="1"/>
          <w:rtl w:val="1"/>
          <w:lang w:bidi="ar-SY"/>
        </w:rPr>
        <w:t>خطة الأيام 31-60: التصميم والنماذج الأولى</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إنجاز دراسة احتياج وترتيب البرامج من خلال مصفوفة أثر/تكلفة/مخاطر.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كتابة سياسات الفهرسة والتحرير والبحث والموافقات ونماذج تسليم المواد وحصر الحقوق.</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تصميم هوية بصرية لفظية أولية وقالب المجلة وبوابة صفحات ثابتة وفهرس تجريبي.</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إعداد قائمة 50-100 سجل ببليوغرافي تجريبي موثق المصدر والترخيص.</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اعتماد مخطط مالية السنة الأولى وأدوار الفريق ومذكرة التفاهم مع الجمعية.</w:t>
      </w:r>
    </w:p>
    <w:p>
      <w:pPr>
        <w:pStyle w:val="Heading2"/>
        <w:jc w:val="right"/>
        <w:bidi w:val="1"/>
      </w:pPr>
      <w:r>
        <w:rPr>
          <w:rFonts w:ascii="Noto Kufi Arabic" w:hAnsi="Noto Kufi Arabic" w:eastAsia="Noto Kufi Arabic" w:cs="Noto Kufi Arabic"/>
          <w:b/>
          <w:color w:val="986E0B"/>
          <w:sz w:val="24"/>
          <w:szCs w:val="24"/>
          <w:bCs w:val="1"/>
          <w:rtl w:val="1"/>
          <w:lang w:bidi="ar-SY"/>
        </w:rPr>
        <w:t>خطة الأيام 61-100: الاختبار والاعتماد</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اختبار فهرس المكتبة وأذوناته ونسخه الاحتياطية مع 10 مستخدمين من الجمهور المستهدف.</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إعداد العدد صفر من مجلة آفاق الرعاية ونموذج موجز بحثي للمراجعة، لا لنشر ادعاء تحكيم.</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مراجعة سياسة حماية الطفل ومنهجية البحث من مختص خارجي قبل أي جمع بيانات جديد.</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توقيع الاتفاق المؤسسي النهائي عندما يجيز القانون، واعتماد حد أدنى من التمويل الموثق.</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قرار مجلس: إطلاق محدود أو تمديد التحضير؛ مع بيان النواقص لا حفل افتتاح شكلي.</w:t>
      </w:r>
    </w:p>
    <w:p>
      <w:pPr>
        <w:pStyle w:val="Heading2"/>
        <w:jc w:val="right"/>
        <w:bidi w:val="1"/>
      </w:pPr>
      <w:r>
        <w:rPr>
          <w:rFonts w:ascii="Noto Kufi Arabic" w:hAnsi="Noto Kufi Arabic" w:eastAsia="Noto Kufi Arabic" w:cs="Noto Kufi Arabic"/>
          <w:b/>
          <w:color w:val="986E0B"/>
          <w:sz w:val="24"/>
          <w:szCs w:val="24"/>
          <w:bCs w:val="1"/>
          <w:rtl w:val="1"/>
          <w:lang w:bidi="ar-SY"/>
        </w:rPr>
        <w:t>مراحل السنة الأولى وما بعدها</w:t>
      </w:r>
    </w:p>
    <w:tbl>
      <w:tblPr>
        <w:tblW w:type="auto" w:w="0"/>
        <w:jc w:val="center"/>
        <w:tblLayout w:type="fixed"/>
        <w:tblLook w:firstColumn="1" w:firstRow="1" w:lastColumn="0" w:lastRow="0" w:noHBand="0" w:noVBand="1" w:val="04A0"/>
      </w:tblPr>
      <w:tblGrid>
        <w:gridCol w:w="1555"/>
        <w:gridCol w:w="2520"/>
        <w:gridCol w:w="3240"/>
        <w:gridCol w:w="2333"/>
      </w:tblGrid>
      <w:tr>
        <w:trPr>
          <w:tblHeader w:val="true"/>
          <w:cantSplit/>
        </w:trPr>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الفترة</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المكتبة/البيانات</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البحث/المجلة</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المؤسسة</w:t>
            </w:r>
          </w:p>
        </w:tc>
      </w:tr>
      <w:tr>
        <w:trPr>
          <w:cantSplit/>
        </w:trPr>
        <w:tc>
          <w:tcPr>
            <w:tcW w:type="dxa" w:w="1555"/>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الأشهر 4-6</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إطلاق فهرس تجريبي و250 سجلًا</w:t>
            </w:r>
          </w:p>
        </w:tc>
        <w:tc>
          <w:tcPr>
            <w:tcW w:type="dxa" w:w="324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ورقة مفاهيم + نشرة معرفية تجريبية</w:t>
            </w:r>
          </w:p>
        </w:tc>
        <w:tc>
          <w:tcPr>
            <w:tcW w:type="dxa" w:w="2333"/>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شراكات تحكيم ونظام تقارير</w:t>
            </w:r>
          </w:p>
        </w:tc>
      </w:tr>
      <w:tr>
        <w:trPr>
          <w:cantSplit/>
        </w:trPr>
        <w:tc>
          <w:tcPr>
            <w:tcW w:type="dxa" w:w="1555"/>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الأشهر 7-12</w:t>
            </w:r>
          </w:p>
        </w:tc>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400 سجل + أول مئة مادة مرخصة</w:t>
            </w:r>
          </w:p>
        </w:tc>
        <w:tc>
          <w:tcPr>
            <w:tcW w:type="dxa" w:w="324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6 أعداد مجلة شهرية + 4 أوراق معرفة إجمالًا</w:t>
            </w:r>
          </w:p>
        </w:tc>
        <w:tc>
          <w:tcPr>
            <w:tcW w:type="dxa" w:w="2333"/>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ملتقيان وملف نهاية السنة</w:t>
            </w:r>
          </w:p>
        </w:tc>
      </w:tr>
      <w:tr>
        <w:trPr>
          <w:cantSplit/>
        </w:trPr>
        <w:tc>
          <w:tcPr>
            <w:tcW w:type="dxa" w:w="1555"/>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السنة 2</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نحو 1,000 سجل وتحسين البحث</w:t>
            </w:r>
          </w:p>
        </w:tc>
        <w:tc>
          <w:tcPr>
            <w:tcW w:type="dxa" w:w="324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12 عددًا جديدًا + 4-6 منتجات بحث</w:t>
            </w:r>
          </w:p>
        </w:tc>
        <w:tc>
          <w:tcPr>
            <w:tcW w:type="dxa" w:w="2333"/>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تقييم نموذج الاستقلال والتمويل</w:t>
            </w:r>
          </w:p>
        </w:tc>
      </w:tr>
      <w:tr>
        <w:trPr>
          <w:cantSplit/>
        </w:trPr>
        <w:tc>
          <w:tcPr>
            <w:tcW w:type="dxa" w:w="1555"/>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السنة 3</w:t>
            </w:r>
          </w:p>
        </w:tc>
        <w:tc>
          <w:tcPr>
            <w:tcW w:type="dxa" w:w="252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2,000 سجل + أرشيف متعدد الشركاء</w:t>
            </w:r>
          </w:p>
        </w:tc>
        <w:tc>
          <w:tcPr>
            <w:tcW w:type="dxa" w:w="324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12 عددًا + 2 دراسات معمقة ومختبر سياسات</w:t>
            </w:r>
          </w:p>
        </w:tc>
        <w:tc>
          <w:tcPr>
            <w:tcW w:type="dxa" w:w="2333"/>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قرار قانوني بالاستقلال عند تحقق الشروط</w:t>
            </w:r>
          </w:p>
        </w:tc>
      </w:tr>
      <w:tr>
        <w:trPr>
          <w:cantSplit/>
        </w:trPr>
        <w:tc>
          <w:tcPr>
            <w:tcW w:type="dxa" w:w="1555"/>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السنتان 4-5</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5,000 سجل + خدمات وصول أوسع</w:t>
            </w:r>
          </w:p>
        </w:tc>
        <w:tc>
          <w:tcPr>
            <w:tcW w:type="dxa" w:w="324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مختبر مستقبل + تقرير سنوي متخصص</w:t>
            </w:r>
          </w:p>
        </w:tc>
        <w:tc>
          <w:tcPr>
            <w:tcW w:type="dxa" w:w="2333"/>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مراجعة حوكمة وخلافة قيادية وتقييم خارجي</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بوابات تحقق قبل التوسع</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البوابة الأولى - الترخيص: إطار قانوني صحيح ومسؤوليات واضحة.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البوابة الثانية - الأخلاقيات: سياسات معتمدة ومراجعة مستقلة وخطة حماية مُجربة.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البوابة الثالثة - التمويل: حد تشغيل موثّق مع مخزون سيولة مناسب.</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البوابة الرابعة - المنصة: اختبار أمان واستعادة بيانات وفهرسة سليمة.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البوابة الخامسة - الجودة: صدور منتجات مستقلة ومراجعات منشورة وقدرة ثابتة على استدامتها.</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24  |  الجدوى والميزانية والتمويل المستدام</w:t>
      </w:r>
    </w:p>
    <w:p>
      <w:pPr>
        <w:pStyle w:val="Heading2"/>
        <w:jc w:val="right"/>
        <w:bidi w:val="1"/>
      </w:pPr>
      <w:r>
        <w:rPr>
          <w:rFonts w:ascii="Noto Kufi Arabic" w:hAnsi="Noto Kufi Arabic" w:eastAsia="Noto Kufi Arabic" w:cs="Noto Kufi Arabic"/>
          <w:b/>
          <w:color w:val="986E0B"/>
          <w:sz w:val="24"/>
          <w:szCs w:val="24"/>
          <w:bCs w:val="1"/>
          <w:rtl w:val="1"/>
          <w:lang w:bidi="ar-SY"/>
        </w:rPr>
        <w:t>منهجية الأرقام: تقديرات للتخطيط لا عروض أسعار</w:t>
      </w: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حدود تمويل النطاق البحثي</w:t>
            </w:r>
          </w:p>
          <w:p>
            <w:pPr>
              <w:spacing w:after="0"/>
              <w:jc w:val="right"/>
              <w:bidi w:val="1"/>
            </w:pPr>
            <w:r>
              <w:rPr>
                <w:rFonts w:ascii="Noto Naskh Arabic" w:hAnsi="Noto Naskh Arabic" w:eastAsia="Noto Naskh Arabic" w:cs="Noto Naskh Arabic"/>
                <w:b w:val="0"/>
                <w:color w:val="263A31"/>
                <w:sz w:val="20"/>
                <w:szCs w:val="21"/>
                <w:bCs w:val="0"/>
                <w:rtl w:val="1"/>
                <w:lang w:bidi="ar-SY"/>
              </w:rPr>
              <w:t>الخريطة ذات المجالات الستة عشر هي «محفظة اختصاصات وأجندة مستقبلية» لا 16 دراسة ممولة في السنة الأولى. يبقى سيناريو 143 ألف دولار مثالًا تخطيطيًا للفريق الأساسي والمخرجات المحدودة؛ وأي توسع في المسوح أو قواعد البيانات أو البحوث الطولية يُلحق بميزانية مشروع مستقلة بعد التسعير والمراجعة الأخلاقية.</w:t>
            </w:r>
          </w:p>
        </w:tc>
      </w:tr>
    </w:tbl>
    <w:p>
      <w:pPr>
        <w:spacing w:after="0"/>
      </w:pPr>
    </w:p>
    <w:p>
      <w:pPr>
        <w:jc w:val="right"/>
        <w:bidi w:val="1"/>
      </w:pPr>
      <w:r>
        <w:rPr>
          <w:rFonts w:ascii="Noto Naskh Arabic" w:hAnsi="Noto Naskh Arabic" w:eastAsia="Noto Naskh Arabic" w:cs="Noto Naskh Arabic"/>
          <w:b w:val="0"/>
          <w:color w:val="263A31"/>
          <w:sz w:val="22"/>
          <w:szCs w:val="22"/>
          <w:bCs w:val="0"/>
          <w:rtl w:val="1"/>
          <w:lang w:bidi="ar-SY"/>
        </w:rPr>
        <w:t>الأرقام التالية مقوّمة بالدولار الأمريكي من أجل المقارنة فقط، وتحاكي سنة تشغيلية معيارية؛ وهي افتراضات داخلية توضيحية وليست أسعار سوق موثقة أو عرض تمويل. تتغير بقوة وفق بلد التسجيل، البلد التشغيلي، أجور العاملين، التجهيزات المتاحة من جمعية الشام، حجم التعاقد الخارجي، وأحجام البحث والتحرير. يلزم إعداد تسعير من ثلاثة عروض موثقة على الأقل للبنود المؤثرة بعد تحديد الولاية التشغيلية.</w:t>
      </w:r>
    </w:p>
    <w:tbl>
      <w:tblPr>
        <w:tblW w:type="auto" w:w="0"/>
        <w:jc w:val="center"/>
        <w:tblLayout w:type="fixed"/>
        <w:tblLook w:firstColumn="1" w:firstRow="1" w:lastColumn="0" w:lastRow="0" w:noHBand="0" w:noVBand="1" w:val="04A0"/>
      </w:tblPr>
      <w:tblGrid>
        <w:gridCol w:w="2736"/>
        <w:gridCol w:w="2520"/>
        <w:gridCol w:w="4392"/>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السيناريو</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ميزانية سنوية افتراضية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متى يصلح؟</w:t>
            </w:r>
          </w:p>
        </w:tc>
      </w:tr>
      <w:tr>
        <w:trPr>
          <w:cantSplit/>
        </w:trPr>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رشيد/مستضاف</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60 - 85 ألف دولار</w:t>
            </w:r>
          </w:p>
        </w:tc>
        <w:tc>
          <w:tcPr>
            <w:tcW w:type="dxa" w:w="43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قاعة ومحاسبة وتقنية مشتركة؛ فهرس متواضع وإنتاج محدود.</w:t>
            </w:r>
          </w:p>
        </w:tc>
      </w:tr>
      <w:tr>
        <w:trPr>
          <w:cantSplit/>
        </w:trPr>
        <w:tc>
          <w:tcPr>
            <w:tcW w:type="dxa" w:w="27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معياري/موصى بدراسته</w:t>
            </w:r>
          </w:p>
        </w:tc>
        <w:tc>
          <w:tcPr>
            <w:tcW w:type="dxa" w:w="252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130 - 160 ألف دولار</w:t>
            </w:r>
          </w:p>
        </w:tc>
        <w:tc>
          <w:tcPr>
            <w:tcW w:type="dxa" w:w="439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فريق صغير ثابت ومكتبة ناشئة ومجلة دورية وبحوث تعاقدية.</w:t>
            </w:r>
          </w:p>
        </w:tc>
      </w:tr>
      <w:tr>
        <w:trPr>
          <w:cantSplit/>
        </w:trPr>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نمو/مستقل</w:t>
            </w:r>
          </w:p>
        </w:tc>
        <w:tc>
          <w:tcPr>
            <w:tcW w:type="dxa" w:w="252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250 - 350 ألف دولار</w:t>
            </w:r>
          </w:p>
        </w:tc>
        <w:tc>
          <w:tcPr>
            <w:tcW w:type="dxa" w:w="439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إدارة وفريق بحوث أوسع وبنية تقنية مستقلة وشبكة دولية.</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تفكيك السيناريو المعياري (سنة افتراضية = 143,000 دولار)</w:t>
      </w:r>
    </w:p>
    <w:tbl>
      <w:tblPr>
        <w:tblW w:type="auto" w:w="0"/>
        <w:jc w:val="center"/>
        <w:tblLayout w:type="fixed"/>
        <w:tblLook w:firstColumn="1" w:firstRow="1" w:lastColumn="0" w:lastRow="0" w:noHBand="0" w:noVBand="1" w:val="04A0"/>
      </w:tblPr>
      <w:tblGrid>
        <w:gridCol w:w="2880"/>
        <w:gridCol w:w="1872"/>
        <w:gridCol w:w="4896"/>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البند</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التقدير بالدولار</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منطق الصرف</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رواتب وأتعاب تشغيلية</w:t>
            </w:r>
          </w:p>
        </w:tc>
        <w:tc>
          <w:tcPr>
            <w:tcW w:type="dxa" w:w="18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60,000</w:t>
            </w:r>
          </w:p>
        </w:tc>
        <w:tc>
          <w:tcPr>
            <w:tcW w:type="dxa" w:w="48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3-4 وظائف مكافئة جزئيًا/كليًا وفق البلد + إسناد تحريري</w:t>
            </w:r>
          </w:p>
        </w:tc>
      </w:tr>
      <w:tr>
        <w:trPr>
          <w:cantSplit/>
        </w:trPr>
        <w:tc>
          <w:tcPr>
            <w:tcW w:type="dxa" w:w="28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دراسات وباحثون ومحكمون</w:t>
            </w:r>
          </w:p>
        </w:tc>
        <w:tc>
          <w:tcPr>
            <w:tcW w:type="dxa" w:w="187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18,000</w:t>
            </w:r>
          </w:p>
        </w:tc>
        <w:tc>
          <w:tcPr>
            <w:tcW w:type="dxa" w:w="489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أوراق بحثية ومراجعات منهجية وتحكيم أو خبرات</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مكتبة وتزويد وحفظ</w:t>
            </w:r>
          </w:p>
        </w:tc>
        <w:tc>
          <w:tcPr>
            <w:tcW w:type="dxa" w:w="18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12,000</w:t>
            </w:r>
          </w:p>
        </w:tc>
        <w:tc>
          <w:tcPr>
            <w:tcW w:type="dxa" w:w="48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فهرسة ومقتنيات مختارة ورقمنة مرخصة وتخزين</w:t>
            </w:r>
          </w:p>
        </w:tc>
      </w:tr>
      <w:tr>
        <w:trPr>
          <w:cantSplit/>
        </w:trPr>
        <w:tc>
          <w:tcPr>
            <w:tcW w:type="dxa" w:w="288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إنتاج المجلة والترجمة</w:t>
            </w:r>
          </w:p>
        </w:tc>
        <w:tc>
          <w:tcPr>
            <w:tcW w:type="dxa" w:w="187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8,000</w:t>
            </w:r>
          </w:p>
        </w:tc>
        <w:tc>
          <w:tcPr>
            <w:tcW w:type="dxa" w:w="489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تحرير وتصميم وتدقيق وتراخيص محدودة</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المنصة والأمن والنسخ</w:t>
            </w:r>
          </w:p>
        </w:tc>
        <w:tc>
          <w:tcPr>
            <w:tcW w:type="dxa" w:w="18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9,000</w:t>
            </w:r>
          </w:p>
        </w:tc>
        <w:tc>
          <w:tcPr>
            <w:tcW w:type="dxa" w:w="48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موقع/نظام فهرسة واستضافة وأمن وتحديثات</w:t>
            </w:r>
          </w:p>
        </w:tc>
      </w:tr>
      <w:tr>
        <w:trPr>
          <w:cantSplit/>
        </w:trPr>
        <w:tc>
          <w:tcPr>
            <w:tcW w:type="dxa" w:w="28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حوكمة وأخلاقيات وقانون</w:t>
            </w:r>
          </w:p>
        </w:tc>
        <w:tc>
          <w:tcPr>
            <w:tcW w:type="dxa" w:w="187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7,000</w:t>
            </w:r>
          </w:p>
        </w:tc>
        <w:tc>
          <w:tcPr>
            <w:tcW w:type="dxa" w:w="489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استشارة قانونية ومراجعة حماية طفل وتدقيق</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شراكات وتدريب واتصال</w:t>
            </w:r>
          </w:p>
        </w:tc>
        <w:tc>
          <w:tcPr>
            <w:tcW w:type="dxa" w:w="18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6,000</w:t>
            </w:r>
          </w:p>
        </w:tc>
        <w:tc>
          <w:tcPr>
            <w:tcW w:type="dxa" w:w="48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ندوات وورش وإنتاج موجزات للجمهور</w:t>
            </w:r>
          </w:p>
        </w:tc>
      </w:tr>
      <w:tr>
        <w:trPr>
          <w:cantSplit/>
        </w:trPr>
        <w:tc>
          <w:tcPr>
            <w:tcW w:type="dxa" w:w="288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تشغيل وخدمات إدارية</w:t>
            </w:r>
          </w:p>
        </w:tc>
        <w:tc>
          <w:tcPr>
            <w:tcW w:type="dxa" w:w="187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10,000</w:t>
            </w:r>
          </w:p>
        </w:tc>
        <w:tc>
          <w:tcPr>
            <w:tcW w:type="dxa" w:w="489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خدمات ومرافق وسفر ضروري وقنوات عمل</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احتياطي مخاطر 10%</w:t>
            </w:r>
          </w:p>
        </w:tc>
        <w:tc>
          <w:tcPr>
            <w:tcW w:type="dxa" w:w="187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13,000</w:t>
            </w:r>
          </w:p>
        </w:tc>
        <w:tc>
          <w:tcPr>
            <w:tcW w:type="dxa" w:w="489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على المجموع الفرعي البالغ 130,000</w:t>
            </w:r>
          </w:p>
        </w:tc>
      </w:tr>
      <w:tr>
        <w:trPr>
          <w:cantSplit/>
        </w:trPr>
        <w:tc>
          <w:tcPr>
            <w:tcW w:type="dxa" w:w="28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الإجمالي</w:t>
            </w:r>
          </w:p>
        </w:tc>
        <w:tc>
          <w:tcPr>
            <w:tcW w:type="dxa" w:w="187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143,000</w:t>
            </w:r>
          </w:p>
        </w:tc>
        <w:tc>
          <w:tcPr>
            <w:tcW w:type="dxa" w:w="489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تقدير أساس للتحسين والتفاوض، لا التزام</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سياسة التمويل المقترحة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تمويل تأسيسي غير مقيّد بما يكفي للحفاظ على وظيفة البحث والمكتبة، ولا تربط الرواتب كليًا بمنحة مشروع قصير.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منح بحثية محددة مع استقلال النتائج وحرية نشر المخرجات وفق القانون والحقوق.</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صندوق وقف معرفي مستقل الغرض - بعد دراسة شرعية وقانونية ومالية - تُحفظ أصوله وتُصرف عوائده وفق شروط الوقف، دون افتراض عائد مضمون.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دعم التزويد والهبات العينية، بشرط وضوح حقوق الملكية والرقمنة والتخزين.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برامج تدريب واستشارات مدفوعة ضمن أهداف المركز وتراخيصه، مع تجنّب تضارب المصالح والفصل المحاسبي.</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تبرعات وشراكات من جهات مختلفة لتخفيف مخاطر احتكار ممول واحد للسياسات أو المحتوى.</w:t>
      </w:r>
    </w:p>
    <w:p>
      <w:pPr>
        <w:pStyle w:val="Heading2"/>
        <w:jc w:val="right"/>
        <w:bidi w:val="1"/>
      </w:pPr>
      <w:r>
        <w:rPr>
          <w:rFonts w:ascii="Noto Kufi Arabic" w:hAnsi="Noto Kufi Arabic" w:eastAsia="Noto Kufi Arabic" w:cs="Noto Kufi Arabic"/>
          <w:b/>
          <w:color w:val="986E0B"/>
          <w:sz w:val="24"/>
          <w:szCs w:val="24"/>
          <w:bCs w:val="1"/>
          <w:rtl w:val="1"/>
          <w:lang w:bidi="ar-SY"/>
        </w:rPr>
        <w:t>قواعد الاستدامة المالية والمشتريات</w:t>
      </w:r>
    </w:p>
    <w:p>
      <w:pPr>
        <w:jc w:val="right"/>
        <w:bidi w:val="1"/>
      </w:pPr>
      <w:r>
        <w:rPr>
          <w:rFonts w:ascii="Noto Naskh Arabic" w:hAnsi="Noto Naskh Arabic" w:eastAsia="Noto Naskh Arabic" w:cs="Noto Naskh Arabic"/>
          <w:b w:val="0"/>
          <w:color w:val="263A31"/>
          <w:sz w:val="22"/>
          <w:szCs w:val="22"/>
          <w:bCs w:val="0"/>
          <w:rtl w:val="1"/>
          <w:lang w:bidi="ar-SY"/>
        </w:rPr>
        <w:t>قبل الإطلاق الكامل يُستهدف توثيق التزامات تمويل تغطي نحو 60% من ميزانية السنة الأولى، مع خطة واقعية لاستكمال الباقي واحتياطي سيولة مناسب؛ ويُفضل التخطيط لاحتياطي تشغيلي يعادل 3-6 أشهر تدريجيًا وفق القانون وقدرة الممولين، وليس من أموال مقيدة الغرض. يعتمد المجلس حد صلاحيات وعروض أسعار وتفريق طالب الشراء عن الموافق والمدقق، مع إفصاح عن أي تعامل مع أفراد ذوي علاقة.</w:t>
      </w:r>
    </w:p>
    <w:p>
      <w:pPr>
        <w:spacing w:after="100"/>
        <w:jc w:val="right"/>
        <w:bidi w:val="1"/>
      </w:pPr>
      <w:r>
        <w:rPr>
          <w:rFonts w:ascii="Noto Naskh Arabic" w:hAnsi="Noto Naskh Arabic" w:eastAsia="Noto Naskh Arabic" w:cs="Noto Naskh Arabic"/>
          <w:b w:val="0"/>
          <w:color w:val="637169"/>
          <w:sz w:val="19"/>
          <w:szCs w:val="19"/>
          <w:bCs w:val="0"/>
          <w:rtl w:val="1"/>
          <w:lang w:bidi="ar-SY"/>
        </w:rPr>
        <w:t>الحساب التوضيحي: 60% من 143,000 = 85,800 دولار كالتزامات مقترحة قبل الإطلاق، لا كتمويل متحقق. والاحتياطي السنوي البالغ 13,000 دولار بند طوارئ ضمن التقدير، غير الاحتياطي النقدي التشغيلي طويل الأمد.</w:t>
      </w:r>
    </w:p>
    <w:p>
      <w:pPr>
        <w:pStyle w:val="Heading2"/>
        <w:jc w:val="right"/>
        <w:bidi w:val="1"/>
      </w:pPr>
      <w:r>
        <w:rPr>
          <w:rFonts w:ascii="Noto Kufi Arabic" w:hAnsi="Noto Kufi Arabic" w:eastAsia="Noto Kufi Arabic" w:cs="Noto Kufi Arabic"/>
          <w:b/>
          <w:color w:val="986E0B"/>
          <w:sz w:val="24"/>
          <w:szCs w:val="24"/>
          <w:bCs w:val="1"/>
          <w:rtl w:val="1"/>
          <w:lang w:bidi="ar-SY"/>
        </w:rPr>
        <w:t>متطلبات دراسة الجدوى النهائية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بيان الأسعار الفعلية في بلدين مرشحين للتشغيل مع تكاليف قانونية ورواتب محلية.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ثلاثة عروض تقنية واختبار لتكلفة منصات المكتبة والحفظ الرقمي.</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تحديد حجم التفرغ ورواتب الفريق والإعارة العينية من الجمعية، إن وجدت.</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توقع تدفقات نقدية شهرية لمدة 18 شهرًا مع سيناريو تأخر المنح والانخفاض الطارئ.</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مقارنة تكلفة التشغيل المستضاف مقابل الاستقلال خلال خمس سنوات، بما فيها الضرائب والتأمينات والحوكمة.</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25  |  مؤشرات الأداء وقياس الأثر</w:t>
      </w:r>
    </w:p>
    <w:p>
      <w:pPr>
        <w:pStyle w:val="Heading2"/>
        <w:jc w:val="right"/>
        <w:bidi w:val="1"/>
      </w:pPr>
      <w:r>
        <w:rPr>
          <w:rFonts w:ascii="Noto Kufi Arabic" w:hAnsi="Noto Kufi Arabic" w:eastAsia="Noto Kufi Arabic" w:cs="Noto Kufi Arabic"/>
          <w:b/>
          <w:color w:val="986E0B"/>
          <w:sz w:val="24"/>
          <w:szCs w:val="24"/>
          <w:bCs w:val="1"/>
          <w:rtl w:val="1"/>
          <w:lang w:bidi="ar-SY"/>
        </w:rPr>
        <w:t>التمييز بين الإنتاج والاستخدام والأثر</w:t>
      </w:r>
    </w:p>
    <w:p>
      <w:pPr>
        <w:jc w:val="right"/>
        <w:bidi w:val="1"/>
      </w:pPr>
      <w:r>
        <w:rPr>
          <w:rFonts w:ascii="Noto Naskh Arabic" w:hAnsi="Noto Naskh Arabic" w:eastAsia="Noto Naskh Arabic" w:cs="Noto Naskh Arabic"/>
          <w:b w:val="0"/>
          <w:color w:val="263A31"/>
          <w:sz w:val="22"/>
          <w:szCs w:val="22"/>
          <w:bCs w:val="0"/>
          <w:rtl w:val="1"/>
          <w:lang w:bidi="ar-SY"/>
        </w:rPr>
        <w:t>عدد المقتنيات وحده لا يساوي انتفاع الباحثين، وعدد المقالات لا يعني أثرًا على الأطفال. لذلك يميز المركز بين: إنتاج قابل للتحقق، جودة علمية وأخلاقية، وصول فعلي، تبنٍّ للتوصيات من الشركاء، وأثر على جودة الخدمات حين يتاح تقييم صالح. ينبغي توثيق خط الأساس قبل اعتماد نسب تحسن؛ والمؤشرات أدناه أهداف مقترحة لا نتائج قائمة.</w:t>
      </w:r>
    </w:p>
    <w:tbl>
      <w:tblPr>
        <w:tblW w:type="auto" w:w="0"/>
        <w:jc w:val="center"/>
        <w:tblLayout w:type="fixed"/>
        <w:tblLook w:firstColumn="1" w:firstRow="1" w:lastColumn="0" w:lastRow="0" w:noHBand="0" w:noVBand="1" w:val="04A0"/>
      </w:tblPr>
      <w:tblGrid>
        <w:gridCol w:w="4464"/>
        <w:gridCol w:w="1728"/>
        <w:gridCol w:w="1728"/>
        <w:gridCol w:w="1728"/>
      </w:tblGrid>
      <w:tr>
        <w:trPr>
          <w:tblHeader w:val="true"/>
          <w:cantSplit/>
        </w:trPr>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المؤشر</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نهاية سنة 1</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نهاية سنة 3</w:t>
            </w:r>
          </w:p>
        </w:tc>
        <w:tc>
          <w:tcPr>
            <w:tcW w:type="dxa" w:w="2412"/>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نهاية سنة 5</w:t>
            </w:r>
          </w:p>
        </w:tc>
      </w:tr>
      <w:tr>
        <w:trPr>
          <w:cantSplit/>
        </w:trPr>
        <w:tc>
          <w:tcPr>
            <w:tcW w:type="dxa" w:w="44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سجلات فهرسية مكتملة الحقوق</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400</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2,000</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5,000</w:t>
            </w:r>
          </w:p>
        </w:tc>
      </w:tr>
      <w:tr>
        <w:trPr>
          <w:cantSplit/>
        </w:trPr>
        <w:tc>
          <w:tcPr>
            <w:tcW w:type="dxa" w:w="446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مواد رقمية متاحة بإذن/ترخيص</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100</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500</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1,200</w:t>
            </w:r>
          </w:p>
        </w:tc>
      </w:tr>
      <w:tr>
        <w:trPr>
          <w:cantSplit/>
        </w:trPr>
        <w:tc>
          <w:tcPr>
            <w:tcW w:type="dxa" w:w="44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أعداد المجلة المهنية التراكمية</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6</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30</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54</w:t>
            </w:r>
          </w:p>
        </w:tc>
      </w:tr>
      <w:tr>
        <w:trPr>
          <w:cantSplit/>
        </w:trPr>
        <w:tc>
          <w:tcPr>
            <w:tcW w:type="dxa" w:w="446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منتجات بحث/سياسات تراكمية</w:t>
            </w:r>
          </w:p>
        </w:tc>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4</w:t>
            </w:r>
          </w:p>
        </w:tc>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16</w:t>
            </w:r>
          </w:p>
        </w:tc>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32</w:t>
            </w:r>
          </w:p>
        </w:tc>
      </w:tr>
      <w:tr>
        <w:trPr>
          <w:cantSplit/>
        </w:trPr>
        <w:tc>
          <w:tcPr>
            <w:tcW w:type="dxa" w:w="44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اتفاقات تعاون علمي مفعلة</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2</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6</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12</w:t>
            </w:r>
          </w:p>
        </w:tc>
      </w:tr>
      <w:tr>
        <w:trPr>
          <w:cantSplit/>
        </w:trPr>
        <w:tc>
          <w:tcPr>
            <w:tcW w:type="dxa" w:w="446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نسبة المواد المنشورة المستوفية لقائمة التحقق</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90%</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95%</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97%</w:t>
            </w:r>
          </w:p>
        </w:tc>
      </w:tr>
      <w:tr>
        <w:trPr>
          <w:cantSplit/>
        </w:trPr>
        <w:tc>
          <w:tcPr>
            <w:tcW w:type="dxa" w:w="44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حوادث كشف غير مصرح لبيانات أطفال</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صفر هدف</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صفر هدف</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صفر هدف</w:t>
            </w:r>
          </w:p>
        </w:tc>
      </w:tr>
      <w:tr>
        <w:trPr>
          <w:cantSplit/>
        </w:trPr>
        <w:tc>
          <w:tcPr>
            <w:tcW w:type="dxa" w:w="4464"/>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نسبة التوصيات المتبناة عند شركاء تجريبيين</w:t>
            </w:r>
          </w:p>
        </w:tc>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يقاس خط الأساس</w:t>
            </w:r>
          </w:p>
        </w:tc>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هدف 20% قابل للمراجعة</w:t>
            </w:r>
          </w:p>
        </w:tc>
        <w:tc>
          <w:tcPr>
            <w:tcW w:type="dxa" w:w="172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هدف 35% قابل للمراجعة</w:t>
            </w:r>
          </w:p>
        </w:tc>
      </w:tr>
      <w:tr>
        <w:trPr>
          <w:cantSplit/>
        </w:trPr>
        <w:tc>
          <w:tcPr>
            <w:tcW w:type="dxa" w:w="4464"/>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برنامج نموذج الشخصية المتكاملة</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أداة مفاهيمية + بروتوكول</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تقييمان تجريبيان آمنان</w:t>
            </w:r>
          </w:p>
        </w:tc>
        <w:tc>
          <w:tcPr>
            <w:tcW w:type="dxa" w:w="172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دليل مراجَع إذا أثبت جدوى</w:t>
            </w:r>
          </w:p>
        </w:tc>
      </w:tr>
      <w:tr>
        <w:trPr>
          <w:cantSplit/>
        </w:trPr>
        <w:tc>
          <w:tcPr>
            <w:tcW w:type="dxa" w:w="4464"/>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مؤشرات مرصد معلومات آمن</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قاموس + تعريفات فئات غير متنافية</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نشرة مؤشرات موثقة دون عد مكرر</w:t>
            </w:r>
          </w:p>
        </w:tc>
        <w:tc>
          <w:tcPr>
            <w:tcW w:type="dxa" w:w="172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مراجعة جودة مستقلة وأمن بيانات</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آلية القياس والمراجعة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كل شهر: لوحة أداء للمحتوى والفهرسة والتأخير والتكاليف والأخطاء المحررة.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كل ربع سنة: مجلس إدارة يراجع الميزانية والمخاطر والمؤشرات والالتزام بالاستقلال.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كل نصف سنة: استطلاع مستخدمين وشركاء، وفحص إنصاف تغطية أوضاع فقد الرعاية دون تكثير الفئات أو الوصم، واستعراض الأخطاء والإصلاحات.</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سنويًا: تقرير عام بنتائج ومحددات وعدد المواد المسحوبة أو المصححة، بالإضافة إلى تدقيق مالي مناسب.</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كل ثلاث سنوات: تقييم خارجي مستقل لمدى التأثير على قرارات الجهات الشريكة، ومراجعة الاستراتيجية.</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26  |  إدارة المخاطر واستمرارية المشروع</w:t>
      </w:r>
    </w:p>
    <w:tbl>
      <w:tblPr>
        <w:tblW w:type="auto" w:w="0"/>
        <w:jc w:val="center"/>
        <w:tblLayout w:type="fixed"/>
        <w:tblLook w:firstColumn="1" w:firstRow="1" w:lastColumn="0" w:lastRow="0" w:noHBand="0" w:noVBand="1" w:val="04A0"/>
      </w:tblPr>
      <w:tblGrid>
        <w:gridCol w:w="2952"/>
        <w:gridCol w:w="2448"/>
        <w:gridCol w:w="4248"/>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الخطر</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الأثر المرجح</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إجراء السيطرة والمالك</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تحول المركز إلى واجهة دعائية للجمعية</w:t>
            </w:r>
          </w:p>
        </w:tc>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فقد الثقة البحثية</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ميثاق استقلال وهيئة تحرير ومجلس علمي؛ الرئيس/المجلس</w:t>
            </w:r>
          </w:p>
        </w:tc>
      </w:tr>
      <w:tr>
        <w:trPr>
          <w:cantSplit/>
        </w:trPr>
        <w:tc>
          <w:tcPr>
            <w:tcW w:type="dxa" w:w="295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تسرّب بيانات أو صور أطفال</w:t>
            </w:r>
          </w:p>
        </w:tc>
        <w:tc>
          <w:tcPr>
            <w:tcW w:type="dxa" w:w="24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أذى مباشر وقانوني</w:t>
            </w:r>
          </w:p>
        </w:tc>
        <w:tc>
          <w:tcPr>
            <w:tcW w:type="dxa" w:w="42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فصل الأنظمة وتقييم مخاطر وتشفير ومسؤول حماية</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الاعتماد على المؤسس كشخص وحيد</w:t>
            </w:r>
          </w:p>
        </w:tc>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تعطل الاستمرار</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تفويض وتوثيق وخطة خلافة ومجلس فعال</w:t>
            </w:r>
          </w:p>
        </w:tc>
      </w:tr>
      <w:tr>
        <w:trPr>
          <w:cantSplit/>
        </w:trPr>
        <w:tc>
          <w:tcPr>
            <w:tcW w:type="dxa" w:w="295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تداخل مجلة جديدة مع «أقحوان الشام»</w:t>
            </w:r>
          </w:p>
        </w:tc>
        <w:tc>
          <w:tcPr>
            <w:tcW w:type="dxa" w:w="24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تكرار وتبديد الموارد</w:t>
            </w:r>
          </w:p>
        </w:tc>
        <w:tc>
          <w:tcPr>
            <w:tcW w:type="dxa" w:w="42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تمييز الجمهور والاسم والوظيفة واتفاق تنسيق</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نزاع على اسم المكتبة أو ملكيتها</w:t>
            </w:r>
          </w:p>
        </w:tc>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تعطل الوقف والأرشفة</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محضر اعتماد وعقود هبات وحقوق ووصاية مؤسسية</w:t>
            </w:r>
          </w:p>
        </w:tc>
      </w:tr>
      <w:tr>
        <w:trPr>
          <w:cantSplit/>
        </w:trPr>
        <w:tc>
          <w:tcPr>
            <w:tcW w:type="dxa" w:w="295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نشر مادة حقوقها غير واضحة</w:t>
            </w:r>
          </w:p>
        </w:tc>
        <w:tc>
          <w:tcPr>
            <w:tcW w:type="dxa" w:w="24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مخالفة وإزالة محتوى</w:t>
            </w:r>
          </w:p>
        </w:tc>
        <w:tc>
          <w:tcPr>
            <w:tcW w:type="dxa" w:w="42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سجل حقوق وتحفظ افتراضي وعملية تظلم</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خلط مجهولي الوالدين أو أبناء المطلقات بالأيتام</w:t>
            </w:r>
          </w:p>
        </w:tc>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وصم وبيانات مضللة وقرارات غير مناسبة</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معجم تعريفات متداخل، تدقيق قانوني وأخلاقي، فصل البيانات</w:t>
            </w:r>
          </w:p>
        </w:tc>
      </w:tr>
      <w:tr>
        <w:trPr>
          <w:cantSplit/>
        </w:trPr>
        <w:tc>
          <w:tcPr>
            <w:tcW w:type="dxa" w:w="295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ضعف جودة الأبحاث أو التحيز</w:t>
            </w:r>
          </w:p>
        </w:tc>
        <w:tc>
          <w:tcPr>
            <w:tcW w:type="dxa" w:w="24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قرارات مضللة</w:t>
            </w:r>
          </w:p>
        </w:tc>
        <w:tc>
          <w:tcPr>
            <w:tcW w:type="dxa" w:w="42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تحكيم مستقل وتصحيحات وسياسة تضارب مصالح</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فجوة تمويل/انسحاب مانح</w:t>
            </w:r>
          </w:p>
        </w:tc>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توقف التشغيل</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تنويع مصادر وخطة تقليص تدريجي واحتياطي</w:t>
            </w:r>
          </w:p>
        </w:tc>
      </w:tr>
      <w:tr>
        <w:trPr>
          <w:cantSplit/>
        </w:trPr>
        <w:tc>
          <w:tcPr>
            <w:tcW w:type="dxa" w:w="295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تغيّر قوانين أو ظروف بلد التشغيل</w:t>
            </w:r>
          </w:p>
        </w:tc>
        <w:tc>
          <w:tcPr>
            <w:tcW w:type="dxa" w:w="24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تعطل تسجيل أو أرشفة</w:t>
            </w:r>
          </w:p>
        </w:tc>
        <w:tc>
          <w:tcPr>
            <w:tcW w:type="dxa" w:w="424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مراجعة قانونية دورية وخطط بديلة ونسخ احتياطية</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اختلال الأمن السيبراني أو فقد الوثائق</w:t>
            </w:r>
          </w:p>
        </w:tc>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ضياع أصل معرفي</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نسخ منفصلة وفحوص سلامة واستعادة تجريبية</w:t>
            </w:r>
          </w:p>
        </w:tc>
      </w:tr>
      <w:tr>
        <w:trPr>
          <w:cantSplit/>
        </w:trPr>
        <w:tc>
          <w:tcPr>
            <w:tcW w:type="dxa" w:w="295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تضخم البرامج قبل بناء الفريق</w:t>
            </w:r>
          </w:p>
        </w:tc>
        <w:tc>
          <w:tcPr>
            <w:tcW w:type="dxa" w:w="24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إنهاك وإخفاق الوعود</w:t>
            </w:r>
          </w:p>
        </w:tc>
        <w:tc>
          <w:tcPr>
            <w:tcW w:type="dxa" w:w="424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بوابات إطلاق وسقف مشاريع وحذف ما لا ينجح</w:t>
            </w:r>
          </w:p>
        </w:tc>
      </w:tr>
      <w:tr>
        <w:trPr>
          <w:cantSplit/>
        </w:trPr>
        <w:tc>
          <w:tcPr>
            <w:tcW w:type="dxa" w:w="295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تغيير محررين أو تسيس المنصات</w:t>
            </w:r>
          </w:p>
        </w:tc>
        <w:tc>
          <w:tcPr>
            <w:tcW w:type="dxa" w:w="24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انقطاع السلسلة التحريرية</w:t>
            </w:r>
          </w:p>
        </w:tc>
        <w:tc>
          <w:tcPr>
            <w:tcW w:type="dxa" w:w="424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7"/>
                <w:szCs w:val="18"/>
                <w:bCs w:val="0"/>
                <w:rtl w:val="1"/>
                <w:lang w:bidi="ar-SY"/>
              </w:rPr>
              <w:t>توثيق إجراءات وخطة تعاقب ونسخ استمرارية</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سيناريوهات الاستجابة</w:t>
      </w:r>
    </w:p>
    <w:p>
      <w:pPr>
        <w:jc w:val="right"/>
        <w:bidi w:val="1"/>
      </w:pPr>
      <w:r>
        <w:rPr>
          <w:rFonts w:ascii="Noto Naskh Arabic" w:hAnsi="Noto Naskh Arabic" w:eastAsia="Noto Naskh Arabic" w:cs="Noto Naskh Arabic"/>
          <w:b w:val="0"/>
          <w:color w:val="263A31"/>
          <w:sz w:val="22"/>
          <w:szCs w:val="22"/>
          <w:bCs w:val="0"/>
          <w:rtl w:val="1"/>
          <w:lang w:bidi="ar-SY"/>
        </w:rPr>
        <w:t>إذا تأخر التمويل: يُحافظ على الفهرس والبحث الأساسي ونشرة موجزة بدل افتتاح فروع. إذا تأخرت الموافقات القانونية: يظل العمل بحثًا تحضيريًا داخل إطار مرخص دون قبول أموال باسم جديد. إذا وقع حادث معلومات: يُفعّل بروتوكول الاستجابة والحفظ والإبلاغ والتصحيح وفق القانون، ويوقف نشر المواد ذات الصلة حتى اكتمال التقييم.</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27  |  الهوية البصرية والتموضع الاتصالي</w:t>
      </w:r>
    </w:p>
    <w:p>
      <w:pPr>
        <w:pStyle w:val="Heading2"/>
        <w:jc w:val="right"/>
        <w:bidi w:val="1"/>
      </w:pPr>
      <w:r>
        <w:rPr>
          <w:rFonts w:ascii="Noto Kufi Arabic" w:hAnsi="Noto Kufi Arabic" w:eastAsia="Noto Kufi Arabic" w:cs="Noto Kufi Arabic"/>
          <w:b/>
          <w:color w:val="986E0B"/>
          <w:sz w:val="24"/>
          <w:szCs w:val="24"/>
          <w:bCs w:val="1"/>
          <w:rtl w:val="1"/>
          <w:lang w:bidi="ar-SY"/>
        </w:rPr>
        <w:t>نظام تسمية يحفظ الأصل ويتيح نمو الفروع</w:t>
      </w:r>
    </w:p>
    <w:p>
      <w:pPr>
        <w:jc w:val="right"/>
        <w:bidi w:val="1"/>
      </w:pPr>
      <w:r>
        <w:rPr>
          <w:rFonts w:ascii="Noto Naskh Arabic" w:hAnsi="Noto Naskh Arabic" w:eastAsia="Noto Naskh Arabic" w:cs="Noto Naskh Arabic"/>
          <w:b w:val="0"/>
          <w:color w:val="263A31"/>
          <w:sz w:val="22"/>
          <w:szCs w:val="22"/>
          <w:bCs w:val="0"/>
          <w:rtl w:val="1"/>
          <w:lang w:bidi="ar-SY"/>
        </w:rPr>
        <w:t>يقترح اعتماد اسم المركز بوصفه مظلة معرفية، مع تثبيت اسم المكتبة كأصل دائم: «مكتبة محمد شندي الراوي». يمكن تنظيم هوية لفظية للبرامج على النحو التالي: سلسلة دراسات الشام، مجلة آفاق الرعاية، أرشيف ذاكرة الشام، مرصد رعاية، منتدى الشام للمعرفة، وبرنامج الزمالة. جميع الأسماء مقترحات تحتاج فحص العلامة والالتباس وقرار اعتماد؛ ولا يُفترض احتكارها أو توافر النطاقات.</w:t>
      </w:r>
    </w:p>
    <w:p>
      <w:pPr>
        <w:pStyle w:val="Heading2"/>
        <w:jc w:val="right"/>
        <w:bidi w:val="1"/>
      </w:pPr>
      <w:r>
        <w:rPr>
          <w:rFonts w:ascii="Noto Kufi Arabic" w:hAnsi="Noto Kufi Arabic" w:eastAsia="Noto Kufi Arabic" w:cs="Noto Kufi Arabic"/>
          <w:b/>
          <w:color w:val="986E0B"/>
          <w:sz w:val="24"/>
          <w:szCs w:val="24"/>
          <w:bCs w:val="1"/>
          <w:rtl w:val="1"/>
          <w:lang w:bidi="ar-SY"/>
        </w:rPr>
        <w:t>لغة تواصل تحفظ الكرامة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يُستبدل الخطاب القائم على الشفقة المفرطة بخطاب الحق والقدرة والكرامة والتمكين.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تُستخدم صور رمزية وتوثيق مرخص بدل تكثيف صور أطفال بملامح تعريفية.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يظهر اسم المكتبة واضحًا في الغلاف والفهرس الإلكتروني وجميع تسجيلات مقتنياتها.</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تُنشر تقارير الأداء والتمويل مع شرح القيود بدل أرقام بلا تعريفات أو مصادر.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تُشرح المرجعية الإسلامية بلغة تجمع الأصالة والبحث والمساءلة، دون استبعاد جمهور يستفيد من النتائج.</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28  |  خطة التواصل والافتتاح والانتشار</w:t>
      </w:r>
    </w:p>
    <w:p>
      <w:pPr>
        <w:pStyle w:val="Heading2"/>
        <w:jc w:val="right"/>
        <w:bidi w:val="1"/>
      </w:pPr>
      <w:r>
        <w:rPr>
          <w:rFonts w:ascii="Noto Kufi Arabic" w:hAnsi="Noto Kufi Arabic" w:eastAsia="Noto Kufi Arabic" w:cs="Noto Kufi Arabic"/>
          <w:b/>
          <w:color w:val="986E0B"/>
          <w:sz w:val="24"/>
          <w:szCs w:val="24"/>
          <w:bCs w:val="1"/>
          <w:rtl w:val="1"/>
          <w:lang w:bidi="ar-SY"/>
        </w:rPr>
        <w:t>افتتاح على مرحلتين</w:t>
      </w:r>
    </w:p>
    <w:p>
      <w:pPr>
        <w:jc w:val="right"/>
        <w:bidi w:val="1"/>
      </w:pPr>
      <w:r>
        <w:rPr>
          <w:rFonts w:ascii="Noto Naskh Arabic" w:hAnsi="Noto Naskh Arabic" w:eastAsia="Noto Naskh Arabic" w:cs="Noto Naskh Arabic"/>
          <w:b w:val="0"/>
          <w:color w:val="263A31"/>
          <w:sz w:val="22"/>
          <w:szCs w:val="22"/>
          <w:bCs w:val="0"/>
          <w:rtl w:val="1"/>
          <w:lang w:bidi="ar-SY"/>
        </w:rPr>
        <w:t>أولًا «إطلاق تجريبي مغلق» لاختبار الفهرس والسياسات والنشرة وخطوط الدعم؛ ثانيًا «إطلاق مهني عام» بعد إنجاز الحد الأدنى من الحقوق والأمن والتحرير والتمويل. لا يقاس النجاح بعدد الحضور، بل بوجود سجل مكتبة يعمل، ودراسة منشورة قابلة للمراجعة، ونظام لاستقبال وتصحيح الأخطاء.</w:t>
      </w:r>
    </w:p>
    <w:p>
      <w:pPr>
        <w:pStyle w:val="Heading2"/>
        <w:jc w:val="right"/>
        <w:bidi w:val="1"/>
      </w:pPr>
      <w:r>
        <w:rPr>
          <w:rFonts w:ascii="Noto Kufi Arabic" w:hAnsi="Noto Kufi Arabic" w:eastAsia="Noto Kufi Arabic" w:cs="Noto Kufi Arabic"/>
          <w:b/>
          <w:color w:val="986E0B"/>
          <w:sz w:val="24"/>
          <w:szCs w:val="24"/>
          <w:bCs w:val="1"/>
          <w:rtl w:val="1"/>
          <w:lang w:bidi="ar-SY"/>
        </w:rPr>
        <w:t>برنامج يوم الإطلاق الرسمي المقترح</w:t>
      </w:r>
    </w:p>
    <w:tbl>
      <w:tblPr>
        <w:tblW w:type="auto" w:w="0"/>
        <w:jc w:val="center"/>
        <w:tblLayout w:type="fixed"/>
        <w:tblLook w:firstColumn="1" w:firstRow="1" w:lastColumn="0" w:lastRow="0" w:noHBand="0" w:noVBand="1" w:val="04A0"/>
      </w:tblPr>
      <w:tblGrid>
        <w:gridCol w:w="2088"/>
        <w:gridCol w:w="7560"/>
      </w:tblGrid>
      <w:tr>
        <w:trPr>
          <w:tblHeader w:val="true"/>
          <w:cantSplit/>
        </w:trPr>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الفقرة</w:t>
            </w:r>
          </w:p>
        </w:tc>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المحتوى العملي</w:t>
            </w:r>
          </w:p>
        </w:tc>
      </w:tr>
      <w:tr>
        <w:trPr>
          <w:cantSplit/>
        </w:trPr>
        <w:tc>
          <w:tcPr>
            <w:tcW w:type="dxa" w:w="20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رسالة المؤسس</w:t>
            </w:r>
          </w:p>
        </w:tc>
        <w:tc>
          <w:tcPr>
            <w:tcW w:type="dxa" w:w="75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لماذا توثيق المعرفة جزء من الوفاء لرسالة الرعاية، وكيف تنتقل إلى الأجيال؟</w:t>
            </w:r>
          </w:p>
        </w:tc>
      </w:tr>
      <w:tr>
        <w:trPr>
          <w:cantSplit/>
        </w:trPr>
        <w:tc>
          <w:tcPr>
            <w:tcW w:type="dxa" w:w="208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عرض المكتبة</w:t>
            </w:r>
          </w:p>
        </w:tc>
        <w:tc>
          <w:tcPr>
            <w:tcW w:type="dxa" w:w="756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البحث في مواد مختارة، وشرح سياسات الحقوق والأرشيف.</w:t>
            </w:r>
          </w:p>
        </w:tc>
      </w:tr>
      <w:tr>
        <w:trPr>
          <w:cantSplit/>
        </w:trPr>
        <w:tc>
          <w:tcPr>
            <w:tcW w:type="dxa" w:w="20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الورقة التأسيسية</w:t>
            </w:r>
          </w:p>
        </w:tc>
        <w:tc>
          <w:tcPr>
            <w:tcW w:type="dxa" w:w="75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عرض نتائج مسح الفجوات البحثية وجدول سنة العمل الأولى.</w:t>
            </w:r>
          </w:p>
        </w:tc>
      </w:tr>
      <w:tr>
        <w:trPr>
          <w:cantSplit/>
        </w:trPr>
        <w:tc>
          <w:tcPr>
            <w:tcW w:type="dxa" w:w="208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إعلان المجلة</w:t>
            </w:r>
          </w:p>
        </w:tc>
        <w:tc>
          <w:tcPr>
            <w:tcW w:type="dxa" w:w="756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عرض العدد صفر وسياسة التصحيح والأنواع التحريرية.</w:t>
            </w:r>
          </w:p>
        </w:tc>
      </w:tr>
      <w:tr>
        <w:trPr>
          <w:cantSplit/>
        </w:trPr>
        <w:tc>
          <w:tcPr>
            <w:tcW w:type="dxa" w:w="208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الالتزامات</w:t>
            </w:r>
          </w:p>
        </w:tc>
        <w:tc>
          <w:tcPr>
            <w:tcW w:type="dxa" w:w="756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إعلان ميثاق الحماية والاستقلال وآلية التواصل والشكاوى.</w:t>
            </w:r>
          </w:p>
        </w:tc>
      </w:tr>
      <w:tr>
        <w:trPr>
          <w:cantSplit/>
        </w:trPr>
        <w:tc>
          <w:tcPr>
            <w:tcW w:type="dxa" w:w="208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المتابعة</w:t>
            </w:r>
          </w:p>
        </w:tc>
        <w:tc>
          <w:tcPr>
            <w:tcW w:type="dxa" w:w="756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إطلاق صفحة الشراكات والدعوة لتقديم المصادر المرخصة والأبحاث.</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حزمة التواصل للشركاء</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وثيقة المشروع هذه بصيغتي Word وPDF؛ نسخ أخرى لاحقة بعد اعتماد الجهات الرسمية.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ملخص من صفحتين وقالب عرض تقديمي موجز مخصص للجهات المانحة/المؤسسات العلمية.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صفحة أسئلة شائعة: لماذا المركز؟ لمن؟ من يضمن الاستقلال؟ كيف تُحمى البيانات؟</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حقيبة تعريف بالمكتبة، نموذج هبة مواد، نموذج اقتراح دراسة، ودليل النشر بالمجلة.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تقويم فعاليات سنوي وشكل موحد للهوية والتواريخ واللغة العربية/الإنجليزية.</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29  |  القرارات النهائية المطلوبة قبل تحويل التصور إلى مؤسسة</w:t>
      </w:r>
    </w:p>
    <w:tbl>
      <w:tblPr>
        <w:tblW w:type="auto" w:w="0"/>
        <w:jc w:val="center"/>
        <w:tblLayout w:type="fixed"/>
        <w:tblLook w:firstColumn="1" w:firstRow="1" w:lastColumn="0" w:lastRow="0" w:noHBand="0" w:noVBand="1" w:val="04A0"/>
      </w:tblPr>
      <w:tblGrid>
        <w:gridCol w:w="1512"/>
        <w:gridCol w:w="4680"/>
        <w:gridCol w:w="3456"/>
      </w:tblGrid>
      <w:tr>
        <w:trPr>
          <w:tblHeader w:val="true"/>
          <w:cantSplit/>
        </w:trPr>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التصنيف</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قرار المجلس أو الجهة المعنية</w:t>
            </w:r>
          </w:p>
        </w:tc>
        <w:tc>
          <w:tcPr>
            <w:tcW w:type="dxa" w:w="3216"/>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المستند المطلوب</w:t>
            </w:r>
          </w:p>
        </w:tc>
      </w:tr>
      <w:tr>
        <w:trPr>
          <w:cantSplit/>
        </w:trPr>
        <w:tc>
          <w:tcPr>
            <w:tcW w:type="dxa" w:w="15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الهوية</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الاسم المؤقت والرسالة والجهة الحاضنة</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محضر رسمي وقرار صلاحيات</w:t>
            </w:r>
          </w:p>
        </w:tc>
      </w:tr>
      <w:tr>
        <w:trPr>
          <w:cantSplit/>
        </w:trPr>
        <w:tc>
          <w:tcPr>
            <w:tcW w:type="dxa" w:w="151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الشرعية</w:t>
            </w:r>
          </w:p>
        </w:tc>
        <w:tc>
          <w:tcPr>
            <w:tcW w:type="dxa" w:w="46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مسار التسجيل وولاية التشغيل</w:t>
            </w:r>
          </w:p>
        </w:tc>
        <w:tc>
          <w:tcPr>
            <w:tcW w:type="dxa" w:w="345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رأي قانوني وملف امتثال</w:t>
            </w:r>
          </w:p>
        </w:tc>
      </w:tr>
      <w:tr>
        <w:trPr>
          <w:cantSplit/>
        </w:trPr>
        <w:tc>
          <w:tcPr>
            <w:tcW w:type="dxa" w:w="15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الحوكمة</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تسمية لجنة تأسيس ومجلس/لجنة رقابة مستقل</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ميثاق ولائحة تضارب المصالح</w:t>
            </w:r>
          </w:p>
        </w:tc>
      </w:tr>
      <w:tr>
        <w:trPr>
          <w:cantSplit/>
        </w:trPr>
        <w:tc>
          <w:tcPr>
            <w:tcW w:type="dxa" w:w="151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المكتبة</w:t>
            </w:r>
          </w:p>
        </w:tc>
        <w:tc>
          <w:tcPr>
            <w:tcW w:type="dxa" w:w="468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تسمية المكتبة واتفاقات الحقوق والأصول</w:t>
            </w:r>
          </w:p>
        </w:tc>
        <w:tc>
          <w:tcPr>
            <w:tcW w:type="dxa" w:w="345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سياسة تزويد وإيداع وحفظ وإتاحة</w:t>
            </w:r>
          </w:p>
        </w:tc>
      </w:tr>
      <w:tr>
        <w:trPr>
          <w:cantSplit/>
        </w:trPr>
        <w:tc>
          <w:tcPr>
            <w:tcW w:type="dxa" w:w="15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البحث</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أجندة أول 12 شهرًا ولجنة أخلاقيات</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بروتوكول موافقات وحماية طفل</w:t>
            </w:r>
          </w:p>
        </w:tc>
      </w:tr>
      <w:tr>
        <w:trPr>
          <w:cantSplit/>
        </w:trPr>
        <w:tc>
          <w:tcPr>
            <w:tcW w:type="dxa" w:w="151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التحرير</w:t>
            </w:r>
          </w:p>
        </w:tc>
        <w:tc>
          <w:tcPr>
            <w:tcW w:type="dxa" w:w="46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وظيفة المجلة في ضوء «أقحوان الشام»</w:t>
            </w:r>
          </w:p>
        </w:tc>
        <w:tc>
          <w:tcPr>
            <w:tcW w:type="dxa" w:w="345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ميثاق تحرير ومستويات مراجعة</w:t>
            </w:r>
          </w:p>
        </w:tc>
      </w:tr>
      <w:tr>
        <w:trPr>
          <w:cantSplit/>
        </w:trPr>
        <w:tc>
          <w:tcPr>
            <w:tcW w:type="dxa" w:w="15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المال</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إقرار سقف إعداد جدوى وتفويض تسعير واقعي</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ميزانية مبنية على عروض وتدفق نقدي</w:t>
            </w:r>
          </w:p>
        </w:tc>
      </w:tr>
      <w:tr>
        <w:trPr>
          <w:cantSplit/>
        </w:trPr>
        <w:tc>
          <w:tcPr>
            <w:tcW w:type="dxa" w:w="151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التقنية</w:t>
            </w:r>
          </w:p>
        </w:tc>
        <w:tc>
          <w:tcPr>
            <w:tcW w:type="dxa" w:w="468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بناء نموذج أولي آمن</w:t>
            </w:r>
          </w:p>
        </w:tc>
        <w:tc>
          <w:tcPr>
            <w:tcW w:type="dxa" w:w="345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ملف احتياجات ووثيقة أمن واستعادة</w:t>
            </w:r>
          </w:p>
        </w:tc>
      </w:tr>
      <w:tr>
        <w:trPr>
          <w:cantSplit/>
        </w:trPr>
        <w:tc>
          <w:tcPr>
            <w:tcW w:type="dxa" w:w="15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الخلافة</w:t>
            </w:r>
          </w:p>
        </w:tc>
        <w:tc>
          <w:tcPr>
            <w:tcW w:type="dxa" w:w="46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اعتماد شروط انتقال المؤسس بين الأدوار</w:t>
            </w:r>
          </w:p>
        </w:tc>
        <w:tc>
          <w:tcPr>
            <w:tcW w:type="dxa" w:w="345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8"/>
                <w:bCs w:val="0"/>
                <w:rtl w:val="1"/>
                <w:lang w:bidi="ar-SY"/>
              </w:rPr>
              <w:t>خطة تعاقب وتقييم وتفويض</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AF2E8"/>
            <w:tcMar>
              <w:top w:w="145" w:type="dxa"/>
              <w:start w:w="240" w:type="dxa"/>
              <w:bottom w:w="145" w:type="dxa"/>
              <w:end w:w="240" w:type="dxa"/>
            </w:tcMar>
          </w:tcPr>
          <w:p>
            <w:pPr>
              <w:spacing w:after="80"/>
              <w:jc w:val="right"/>
              <w:bidi w:val="1"/>
            </w:pPr>
            <w:r>
              <w:rPr>
                <w:rFonts w:ascii="Noto Kufi Arabic" w:hAnsi="Noto Kufi Arabic" w:eastAsia="Noto Kufi Arabic" w:cs="Noto Kufi Arabic"/>
                <w:b/>
                <w:color w:val="123E32"/>
                <w:sz w:val="22"/>
                <w:szCs w:val="22"/>
                <w:bCs w:val="1"/>
                <w:rtl w:val="1"/>
                <w:lang w:bidi="ar-SY"/>
              </w:rPr>
              <w:t>توصية الاعتماد المرحلي</w:t>
            </w:r>
          </w:p>
          <w:p>
            <w:pPr>
              <w:spacing w:after="0"/>
              <w:jc w:val="right"/>
              <w:bidi w:val="1"/>
            </w:pPr>
            <w:r>
              <w:rPr>
                <w:rFonts w:ascii="Noto Naskh Arabic" w:hAnsi="Noto Naskh Arabic" w:eastAsia="Noto Naskh Arabic" w:cs="Noto Naskh Arabic"/>
                <w:b w:val="0"/>
                <w:color w:val="263A31"/>
                <w:sz w:val="20"/>
                <w:szCs w:val="21"/>
                <w:bCs w:val="0"/>
                <w:rtl w:val="1"/>
                <w:lang w:bidi="ar-SY"/>
              </w:rPr>
              <w:t>يوصى بالموافقة على مرحلة تحضيرية مدتها 100 يوم وبموازنة تحضيرية مستقلة تحدَّد بعد التسعير والمراجعة القانونية. في ختامها يُعرض ملف نهائي يضم خطة خمسية قابلة للتكلفة، وقرار الصفة القانونية، ونموذج الحوكمة، وسياسات حقوق الطفل، ونموذج مكتبة يعمل؛ ثم يتخذ المجلس قرار الاستثمار والتشغيل.</w:t>
            </w:r>
          </w:p>
        </w:tc>
      </w:tr>
    </w:tbl>
    <w:p>
      <w:pPr>
        <w:spacing w:after="0"/>
      </w:pP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30  |  ملاحق تشغيلية جاهزة للتحويل إلى نماذج</w:t>
      </w:r>
    </w:p>
    <w:p>
      <w:pPr>
        <w:pStyle w:val="Heading2"/>
        <w:jc w:val="right"/>
        <w:bidi w:val="1"/>
      </w:pPr>
      <w:r>
        <w:rPr>
          <w:rFonts w:ascii="Noto Kufi Arabic" w:hAnsi="Noto Kufi Arabic" w:eastAsia="Noto Kufi Arabic" w:cs="Noto Kufi Arabic"/>
          <w:b/>
          <w:color w:val="986E0B"/>
          <w:sz w:val="24"/>
          <w:szCs w:val="24"/>
          <w:bCs w:val="1"/>
          <w:rtl w:val="1"/>
          <w:lang w:bidi="ar-SY"/>
        </w:rPr>
        <w:t>الملحق أ | بطاقة اعتماد مشروع بحث</w:t>
      </w:r>
    </w:p>
    <w:tbl>
      <w:tblPr>
        <w:tblW w:type="auto" w:w="0"/>
        <w:jc w:val="center"/>
        <w:tblLayout w:type="fixed"/>
        <w:tblLook w:firstColumn="1" w:firstRow="1" w:lastColumn="0" w:lastRow="0" w:noHBand="0" w:noVBand="1" w:val="04A0"/>
      </w:tblPr>
      <w:tblGrid>
        <w:gridCol w:w="2880"/>
        <w:gridCol w:w="6768"/>
      </w:tblGrid>
      <w:tr>
        <w:trPr>
          <w:tblHeader w:val="true"/>
          <w:cantSplit/>
        </w:trPr>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الحقل</w:t>
            </w:r>
          </w:p>
        </w:tc>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متطلب التعبئة قبل الموافقة</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الاسم والمسؤول</w:t>
            </w:r>
          </w:p>
        </w:tc>
        <w:tc>
          <w:tcPr>
            <w:tcW w:type="dxa" w:w="676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عنوان واضح؛ باحث قائد؛ جهة مستفيدة؛ رقم إصدار</w:t>
            </w:r>
          </w:p>
        </w:tc>
      </w:tr>
      <w:tr>
        <w:trPr>
          <w:cantSplit/>
        </w:trPr>
        <w:tc>
          <w:tcPr>
            <w:tcW w:type="dxa" w:w="28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المشكلة والقرار</w:t>
            </w:r>
          </w:p>
        </w:tc>
        <w:tc>
          <w:tcPr>
            <w:tcW w:type="dxa" w:w="676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سؤال عملي يهم جهة محددة؛ تعريف الفئة بدقة دون وصم؛ وما القرار الذي سيتغير إذا أجيب</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المنهج والمصادر</w:t>
            </w:r>
          </w:p>
        </w:tc>
        <w:tc>
          <w:tcPr>
            <w:tcW w:type="dxa" w:w="676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التصميم والبيانات والجودة والانحياز والقيود</w:t>
            </w:r>
          </w:p>
        </w:tc>
      </w:tr>
      <w:tr>
        <w:trPr>
          <w:cantSplit/>
        </w:trPr>
        <w:tc>
          <w:tcPr>
            <w:tcW w:type="dxa" w:w="2880"/>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الأخلاقيات والحماية</w:t>
            </w:r>
          </w:p>
        </w:tc>
        <w:tc>
          <w:tcPr>
            <w:tcW w:type="dxa" w:w="6768"/>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موافقة/إعفاء موثق؛ أطفال؟ بيانات حساسة؟ إحالات؟</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الموارد والجدول</w:t>
            </w:r>
          </w:p>
        </w:tc>
        <w:tc>
          <w:tcPr>
            <w:tcW w:type="dxa" w:w="676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ميزانية بسقف، أعمدة زمنية، فريق مسؤول</w:t>
            </w:r>
          </w:p>
        </w:tc>
      </w:tr>
      <w:tr>
        <w:trPr>
          <w:cantSplit/>
        </w:trPr>
        <w:tc>
          <w:tcPr>
            <w:tcW w:type="dxa" w:w="2880"/>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النشر والاستخدام</w:t>
            </w:r>
          </w:p>
        </w:tc>
        <w:tc>
          <w:tcPr>
            <w:tcW w:type="dxa" w:w="6768"/>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من سيقرأ؟ أي رخصة؟ ماذا لو كانت النتيجة سلبية؟</w:t>
            </w:r>
          </w:p>
        </w:tc>
      </w:tr>
      <w:tr>
        <w:trPr>
          <w:cantSplit/>
        </w:trPr>
        <w:tc>
          <w:tcPr>
            <w:tcW w:type="dxa" w:w="2880"/>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قرار البوابة</w:t>
            </w:r>
          </w:p>
        </w:tc>
        <w:tc>
          <w:tcPr>
            <w:tcW w:type="dxa" w:w="6768"/>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قبول / تعديل / رفض مع التسبيب</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الملحق ب | بطاقة إيداع مادة للمكتبة</w:t>
      </w:r>
    </w:p>
    <w:tbl>
      <w:tblPr>
        <w:tblW w:type="auto" w:w="0"/>
        <w:jc w:val="center"/>
        <w:tblLayout w:type="fixed"/>
        <w:tblLook w:firstColumn="1" w:firstRow="1" w:lastColumn="0" w:lastRow="0" w:noHBand="0" w:noVBand="1" w:val="04A0"/>
      </w:tblPr>
      <w:tblGrid>
        <w:gridCol w:w="2736"/>
        <w:gridCol w:w="6912"/>
      </w:tblGrid>
      <w:tr>
        <w:trPr>
          <w:tblHeader w:val="true"/>
          <w:cantSplit/>
        </w:trPr>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الحقل</w:t>
            </w:r>
          </w:p>
        </w:tc>
        <w:tc>
          <w:tcPr>
            <w:tcW w:type="dxa" w:w="4824"/>
            <w:shd w:fill="123E32"/>
            <w:tcMar>
              <w:top w:w="115" w:type="dxa"/>
              <w:start w:w="155" w:type="dxa"/>
              <w:bottom w:w="115" w:type="dxa"/>
              <w:end w:w="155" w:type="dxa"/>
            </w:tcMar>
            <w:vAlign w:val="center"/>
          </w:tcPr>
          <w:p>
            <w:pPr>
              <w:spacing w:after="0"/>
              <w:jc w:val="right"/>
              <w:bidi w:val="1"/>
            </w:pPr>
            <w:r>
              <w:rPr>
                <w:rFonts w:ascii="Noto Kufi Arabic" w:hAnsi="Noto Kufi Arabic" w:eastAsia="Noto Kufi Arabic" w:cs="Noto Kufi Arabic"/>
                <w:b/>
                <w:color w:val="FFFFFF"/>
                <w:sz w:val="18"/>
                <w:szCs w:val="18"/>
                <w:bCs w:val="1"/>
                <w:rtl w:val="1"/>
                <w:lang w:bidi="ar-SY"/>
              </w:rPr>
              <w:t>متطلب التوثيق</w:t>
            </w:r>
          </w:p>
        </w:tc>
      </w:tr>
      <w:tr>
        <w:trPr>
          <w:cantSplit/>
        </w:trPr>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المنشئ والوصف</w:t>
            </w:r>
          </w:p>
        </w:tc>
        <w:tc>
          <w:tcPr>
            <w:tcW w:type="dxa" w:w="69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اسم المالك/المنتج والعنوان والتاريخ والنوع والمصدر</w:t>
            </w:r>
          </w:p>
        </w:tc>
      </w:tr>
      <w:tr>
        <w:trPr>
          <w:cantSplit/>
        </w:trPr>
        <w:tc>
          <w:tcPr>
            <w:tcW w:type="dxa" w:w="27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الحقوق</w:t>
            </w:r>
          </w:p>
        </w:tc>
        <w:tc>
          <w:tcPr>
            <w:tcW w:type="dxa" w:w="691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إذن حفظ؟ رقمنة؟ نشر عام؟ مقتطفات؟ ترجمة؟ مدة الترخيص؟</w:t>
            </w:r>
          </w:p>
        </w:tc>
      </w:tr>
      <w:tr>
        <w:trPr>
          <w:cantSplit/>
        </w:trPr>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الخصوصية</w:t>
            </w:r>
          </w:p>
        </w:tc>
        <w:tc>
          <w:tcPr>
            <w:tcW w:type="dxa" w:w="69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بيانات شخصية؟ قُصّر؟ صور؟ خطر إعادة التعرف؟</w:t>
            </w:r>
          </w:p>
        </w:tc>
      </w:tr>
      <w:tr>
        <w:trPr>
          <w:cantSplit/>
        </w:trPr>
        <w:tc>
          <w:tcPr>
            <w:tcW w:type="dxa" w:w="2736"/>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التصنيف</w:t>
            </w:r>
          </w:p>
        </w:tc>
        <w:tc>
          <w:tcPr>
            <w:tcW w:type="dxa" w:w="6912"/>
            <w:vAlign w:val="center"/>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الموضوع، البلد، اللغة، الكلمات المفتاحية، مستوى الوصول</w:t>
            </w:r>
          </w:p>
        </w:tc>
      </w:tr>
      <w:tr>
        <w:trPr>
          <w:cantSplit/>
        </w:trPr>
        <w:tc>
          <w:tcPr>
            <w:tcW w:type="dxa" w:w="2736"/>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الحفظ</w:t>
            </w:r>
          </w:p>
        </w:tc>
        <w:tc>
          <w:tcPr>
            <w:tcW w:type="dxa" w:w="6912"/>
            <w:vAlign w:val="center"/>
            <w:shd w:fill="F4F6F0"/>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مسار الملف ونسخة رئيسة وبصمة سلامة وتاريخ مراجعة</w:t>
            </w:r>
          </w:p>
        </w:tc>
      </w:tr>
      <w:tr>
        <w:trPr>
          <w:cantSplit/>
        </w:trPr>
        <w:tc>
          <w:tcPr>
            <w:tcW w:type="dxa" w:w="2736"/>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الموافقة</w:t>
            </w:r>
          </w:p>
        </w:tc>
        <w:tc>
          <w:tcPr>
            <w:tcW w:type="dxa" w:w="6912"/>
            <w:vAlign w:val="center"/>
            <w:shd w:fill="FBF5E4"/>
            <w:tcMar>
              <w:top w:w="90" w:type="dxa"/>
              <w:start w:w="145" w:type="dxa"/>
              <w:bottom w:w="95" w:type="dxa"/>
              <w:end w:w="145" w:type="dxa"/>
            </w:tcMar>
            <w:tcBorders>
              <w:bottom w:val="single" w:sz="4" w:color="E1E8E9"/>
            </w:tcBorders>
          </w:tcPr>
          <w:p>
            <w:pPr>
              <w:spacing w:after="0" w:line="278" w:lineRule="auto"/>
              <w:jc w:val="right"/>
              <w:bidi w:val="1"/>
            </w:pPr>
            <w:r>
              <w:rPr>
                <w:rFonts w:ascii="Noto Naskh Arabic" w:hAnsi="Noto Naskh Arabic" w:eastAsia="Noto Naskh Arabic" w:cs="Noto Naskh Arabic"/>
                <w:b w:val="0"/>
                <w:color w:val="263A31"/>
                <w:sz w:val="18"/>
                <w:szCs w:val="19"/>
                <w:bCs w:val="0"/>
                <w:rtl w:val="1"/>
                <w:lang w:bidi="ar-SY"/>
              </w:rPr>
              <w:t>اسم المراجع الحقوقي وقرار الإتاحة وتاريخه</w:t>
            </w:r>
          </w:p>
        </w:tc>
      </w:tr>
    </w:tbl>
    <w:p>
      <w:pPr>
        <w:spacing w:after="0"/>
      </w:pPr>
    </w:p>
    <w:p>
      <w:pPr>
        <w:pStyle w:val="Heading2"/>
        <w:jc w:val="right"/>
        <w:bidi w:val="1"/>
      </w:pPr>
      <w:r>
        <w:rPr>
          <w:rFonts w:ascii="Noto Kufi Arabic" w:hAnsi="Noto Kufi Arabic" w:eastAsia="Noto Kufi Arabic" w:cs="Noto Kufi Arabic"/>
          <w:b/>
          <w:color w:val="986E0B"/>
          <w:sz w:val="24"/>
          <w:szCs w:val="24"/>
          <w:bCs w:val="1"/>
          <w:rtl w:val="1"/>
          <w:lang w:bidi="ar-SY"/>
        </w:rPr>
        <w:t>الملحق ج | ميثاق مختصر لاستقلال البحث والتحرير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لا يحصل ممول أو مدير تنفيذي على حق تعديل الاستنتاج العلمي إلا عبر مراجعة موثقة تقوم على أدلة.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كل ادعاء واقعي جوهري يستند إلى مصدر يمكن تتبعه؛ وتُميَّز الآراء والتحليلات بوضوح، ويُمنع خلط الحالات القانونية والاجتماعية للأسر.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يُعلن التمويل وتضارب المصالح، وتُنشر التصحيحات والاعتذارات والسحب بشكل دائم قابل للاطلاع.</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تحظر الاستعانة بصور أو قصص الأطفال على نحو ينتهك مصلحتهم أو حقوقهم.</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للمركز رفض هبة مشروطة برفع الحماية أو بتغيير النتائج، ولمجلس الحوكمة حق طلب مراجعة مستقلة.</w:t>
      </w:r>
    </w:p>
    <w:p>
      <w:pPr>
        <w:pStyle w:val="Heading2"/>
        <w:jc w:val="right"/>
        <w:bidi w:val="1"/>
      </w:pPr>
      <w:r>
        <w:rPr>
          <w:rFonts w:ascii="Noto Kufi Arabic" w:hAnsi="Noto Kufi Arabic" w:eastAsia="Noto Kufi Arabic" w:cs="Noto Kufi Arabic"/>
          <w:b/>
          <w:color w:val="986E0B"/>
          <w:sz w:val="24"/>
          <w:szCs w:val="24"/>
          <w:bCs w:val="1"/>
          <w:rtl w:val="1"/>
          <w:lang w:bidi="ar-SY"/>
        </w:rPr>
        <w:t>الملحق د | عشرة مخرجات يمكن طلبها من الفريق التأسيسي</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ميثاق مشروع تفصيلي مع مصفوفة أصحاب مصلحة وخطة 100 يوم.</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دراسة قانونية وخيار تسجيل موثق في بلد التشغيل.</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اتفاقية تعاون مع جمعية الشام ووثيقة ملكية واستخدام اسم المكتبة.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سياسات الحماية والخصوصية والأخلاقيات والاستقلال والتحرير.</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جرد أولي للمصادر العلنية والسلاسل المنشورة والمواد ذات الحقوق المتاحة.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معجم موضوعات وبيانات وصفية وفهرس تجريبي قابل للتوسعة.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عدد صفر للمجلة مع خطة إنتاج ستة أعداد متتابعة.</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ملف أولويتين بحثيتين مع بروتوكولين كاملين وقائمة محكمين.</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سقف ميزانية مبني على عروض سعر وتوقع تدفق نقدي وأدوار فريق.</w:t>
      </w:r>
    </w:p>
    <w:p>
      <w:pPr>
        <w:spacing w:after="80"/>
        <w:ind w:left="144" w:right="259" w:hanging="202"/>
        <w:jc w:val="right"/>
        <w:bidi w:val="1"/>
      </w:pPr>
      <w:r>
        <w:rPr>
          <w:rFonts w:ascii="Noto Kufi Arabic" w:hAnsi="Noto Kufi Arabic" w:eastAsia="Noto Kufi Arabic" w:cs="Noto Kufi Arabic"/>
          <w:b/>
          <w:color w:val="205947"/>
          <w:sz w:val="20"/>
          <w:szCs w:val="20"/>
          <w:bCs w:val="1"/>
          <w:rtl w:val="1"/>
          <w:lang w:bidi="ar-SY"/>
        </w:rPr>
        <w:t xml:space="preserve">•  </w:t>
      </w:r>
      <w:r>
        <w:rPr>
          <w:rFonts w:ascii="Noto Naskh Arabic" w:hAnsi="Noto Naskh Arabic" w:eastAsia="Noto Naskh Arabic" w:cs="Noto Naskh Arabic"/>
          <w:b w:val="0"/>
          <w:color w:val="263A31"/>
          <w:sz w:val="22"/>
          <w:szCs w:val="22"/>
          <w:bCs w:val="0"/>
          <w:rtl w:val="1"/>
          <w:lang w:bidi="ar-SY"/>
        </w:rPr>
        <w:t>لوحة مؤشرات ومحضر قرار إطلاق تجريبي أو تأجيل مدروس.</w:t>
      </w:r>
    </w:p>
    <w:p>
      <w:pPr>
        <w:pStyle w:val="Heading2"/>
        <w:jc w:val="right"/>
        <w:bidi w:val="1"/>
      </w:pPr>
      <w:r>
        <w:rPr>
          <w:rFonts w:ascii="Noto Kufi Arabic" w:hAnsi="Noto Kufi Arabic" w:eastAsia="Noto Kufi Arabic" w:cs="Noto Kufi Arabic"/>
          <w:b/>
          <w:color w:val="986E0B"/>
          <w:sz w:val="24"/>
          <w:szCs w:val="24"/>
          <w:bCs w:val="1"/>
          <w:rtl w:val="1"/>
          <w:lang w:bidi="ar-SY"/>
        </w:rPr>
        <w:t>الملحق هـ | رؤية مشهد بعد عشر سنوات</w:t>
      </w:r>
    </w:p>
    <w:p>
      <w:pPr>
        <w:jc w:val="right"/>
        <w:bidi w:val="1"/>
      </w:pPr>
      <w:r>
        <w:rPr>
          <w:rFonts w:ascii="Noto Naskh Arabic" w:hAnsi="Noto Naskh Arabic" w:eastAsia="Noto Naskh Arabic" w:cs="Noto Naskh Arabic"/>
          <w:b w:val="0"/>
          <w:color w:val="263A31"/>
          <w:sz w:val="22"/>
          <w:szCs w:val="22"/>
          <w:bCs w:val="0"/>
          <w:rtl w:val="1"/>
          <w:lang w:bidi="ar-SY"/>
        </w:rPr>
        <w:t>في السيناريو الطموح الذي يتطلب مؤشرات نضج وتمويلًا مستمرًا، تصل المكتبة إلى مجموعات عربية وإسلامية ودولية كبيرة موثقة الحقوق، ويصبح أرشيف المركز مصدرًا موثوقًا لدراسات التاريخ الاجتماعي والتربوي للكفالة، وتنتج المجلة سجلًا دوريًا زمنيًا لحركة القطاع، ويستدعي صانعو القرار دراسات المركز عند صياغة نماذج الحماية والوقف والتعليم. ليس الغرض تراكم الشهادات والتكريم؛ بل أن يتمكن باحث بعد عقود من فتح وثيقة صحيحة المصدر، وفهم سياقها، واستعمالها لتحسين حياة طفل دون انتهاك كرامته.</w:t>
      </w:r>
    </w:p>
    <w:p>
      <w:pPr>
        <w:pStyle w:val="Heading1"/>
        <w:jc w:val="right"/>
        <w:bidi w:val="1"/>
        <w:pBdr>
          <w:bottom w:val="single" w:sz="11" w:color="986E0B" w:space="5"/>
        </w:pBdr>
      </w:pPr>
      <w:r>
        <w:rPr>
          <w:rFonts w:ascii="Noto Kufi Arabic" w:hAnsi="Noto Kufi Arabic" w:eastAsia="Noto Kufi Arabic" w:cs="Noto Kufi Arabic"/>
          <w:b/>
          <w:color w:val="123E32"/>
          <w:sz w:val="32"/>
          <w:szCs w:val="32"/>
          <w:bCs w:val="1"/>
          <w:rtl w:val="1"/>
          <w:lang w:bidi="ar-SY"/>
        </w:rPr>
        <w:t>31  |  المراجع ومصادر الإسناد</w:t>
      </w:r>
    </w:p>
    <w:p>
      <w:pPr>
        <w:jc w:val="right"/>
        <w:bidi w:val="1"/>
      </w:pPr>
      <w:r>
        <w:rPr>
          <w:rFonts w:ascii="Noto Naskh Arabic" w:hAnsi="Noto Naskh Arabic" w:eastAsia="Noto Naskh Arabic" w:cs="Noto Naskh Arabic"/>
          <w:b w:val="0"/>
          <w:color w:val="263A31"/>
          <w:sz w:val="22"/>
          <w:szCs w:val="22"/>
          <w:bCs w:val="0"/>
          <w:rtl w:val="1"/>
          <w:lang w:bidi="ar-SY"/>
        </w:rPr>
        <w:t>أُدرجت المصادر أدناه بوصفها وثائق استرشادية ومراجع للتحقق من الخلفية ومعايير الجودة؛ ولا يعني الاستناد إليها تبني أي جهة ناشرة للمشروع. جرى الاطلاع على المواد الإلكترونية في 18 أكتوبر 2026، وقد تتغير صفحاتها لاحقًا.</w:t>
      </w:r>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 جمعية الشام لرعاية الأيتام | من نحن / الموقع الرسمي  —  </w:t>
      </w:r>
      <w:hyperlink r:id="rId11">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2. جمعية الشام | دعوة الجمعيات والمؤسسات الخيرية للملتقى التنسيقي (23 يوليو 2013)  —  </w:t>
      </w:r>
      <w:hyperlink r:id="rId12">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3. جمعية الشام | تقرير عن البرنامج التدريبي لكوادر الجمعية (6 ديسمبر 2013)  —  </w:t>
      </w:r>
      <w:hyperlink r:id="rId13">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4. جمعية الشام | صفحة المجلة وإصدارات «أقحوان الشام»  —  </w:t>
      </w:r>
      <w:hyperlink r:id="rId14">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5. UNICEF | اتفاقية حقوق الطفل، النص الرسمي  —  </w:t>
      </w:r>
      <w:hyperlink r:id="rId15">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6. الأمم المتحدة/UNICEF | إرشادات الرعاية البديلة للأطفال  —  </w:t>
      </w:r>
      <w:hyperlink r:id="rId16">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7. UNICEF | Children in Alternative Care  —  </w:t>
      </w:r>
      <w:hyperlink r:id="rId17">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8. UNICEF Data | مؤشر الأطفال الذين فقدوا أحد الوالدين أو كليهما  —  </w:t>
      </w:r>
      <w:hyperlink r:id="rId18">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9. UNICEF Innocenti | Ethical Research Involving Children  —  </w:t>
      </w:r>
      <w:hyperlink r:id="rId19">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10. UNICEF | Policy on Ethics in Evidence Activities Involving People  —  </w:t>
      </w:r>
      <w:hyperlink r:id="rId20">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11. IFLA | Access &amp; Preservation  —  </w:t>
      </w:r>
      <w:hyperlink r:id="rId21">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12. IFLA | Collection Reproduction for Preservation  —  </w:t>
      </w:r>
      <w:hyperlink r:id="rId22">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13. COPE et al. | Principles of Transparency and Best Practice in Scholarly Publishing  —  </w:t>
      </w:r>
      <w:hyperlink r:id="rId23">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14. ISSN International Centre | General Information and Eligible Serials  —  </w:t>
      </w:r>
      <w:hyperlink r:id="rId24">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15. DOAJ | Guide to Applying  —  </w:t>
      </w:r>
      <w:hyperlink r:id="rId25">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16. UNICEF Innocenti | Prospects for Children 2026  —  </w:t>
      </w:r>
      <w:hyperlink r:id="rId26">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17. OECD | Applying Evaluation Criteria Thoughtfully (2021)  —  </w:t>
      </w:r>
      <w:hyperlink r:id="rId27">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18. IFLA | Digital Cultural Heritage Preservation and Sustainability (2026)  —  </w:t>
      </w:r>
      <w:hyperlink r:id="rId28">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19. UNICEF DATA | Children in Alternative Care - data and measurement  —  </w:t>
      </w:r>
      <w:hyperlink r:id="rId29">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20. لجنة حقوق الطفل بالأمم المتحدة | التعليق العام رقم 21 بشأن الأطفال في أوضاع الشارع (2017)  —  </w:t>
      </w:r>
      <w:hyperlink r:id="rId30">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21. الجمعية العامة للأمم المتحدة | المبادئ التوجيهية للرعاية البديلة للأطفال A/RES/64/142  —  </w:t>
      </w:r>
      <w:hyperlink r:id="rId31">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22. UNICEF | Birth Registration - identity, access and child protection  —  </w:t>
      </w:r>
      <w:hyperlink r:id="rId32">
        <w:r>
          <w:rPr>
            <w:rFonts w:ascii="Noto Naskh Arabic" w:hAnsi="Noto Naskh Arabic" w:cs="Noto Naskh Arabic" w:eastAsia="Noto Naskh Arabic"/>
            <w:color w:val="205947"/>
            <w:sz w:val="18"/>
            <w:rtl w:val="1"/>
          </w:rPr>
          <w:t>فتح المصدر</w:t>
        </w:r>
      </w:hyperlink>
    </w:p>
    <w:p>
      <w:pPr>
        <w:spacing w:after="100"/>
        <w:jc w:val="right"/>
        <w:bidi w:val="1"/>
      </w:pPr>
      <w:r>
        <w:rPr>
          <w:rFonts w:ascii="Noto Naskh Arabic" w:hAnsi="Noto Naskh Arabic" w:eastAsia="Noto Naskh Arabic" w:cs="Noto Naskh Arabic"/>
          <w:b w:val="0"/>
          <w:color w:val="263A31"/>
          <w:sz w:val="19"/>
          <w:szCs w:val="19"/>
          <w:bCs w:val="0"/>
          <w:rtl w:val="1"/>
          <w:lang w:bidi="ar-SY"/>
        </w:rPr>
        <w:t xml:space="preserve">23. UNICEF DATA | International Classification of Alternative Care of Children (ICare, 2026)  —  </w:t>
      </w:r>
      <w:hyperlink r:id="rId33">
        <w:r>
          <w:rPr>
            <w:rFonts w:ascii="Noto Naskh Arabic" w:hAnsi="Noto Naskh Arabic" w:cs="Noto Naskh Arabic" w:eastAsia="Noto Naskh Arabic"/>
            <w:color w:val="205947"/>
            <w:sz w:val="18"/>
            <w:rtl w:val="1"/>
          </w:rPr>
          <w:t>فتح المصدر</w:t>
        </w:r>
      </w:hyperlink>
    </w:p>
    <w:p>
      <w:pPr>
        <w:jc w:val="right"/>
        <w:bidi w:val="1"/>
      </w:pPr>
      <w:r>
        <w:rPr>
          <w:rFonts w:ascii="Noto Naskh Arabic" w:hAnsi="Noto Naskh Arabic" w:eastAsia="Noto Naskh Arabic" w:cs="Noto Naskh Arabic"/>
          <w:b w:val="0"/>
          <w:color w:val="263A31"/>
          <w:sz w:val="22"/>
          <w:szCs w:val="22"/>
          <w:bCs w:val="0"/>
          <w:rtl w:val="1"/>
          <w:lang w:bidi="ar-SY"/>
        </w:rPr>
        <w:t>ملاحظة تحقق: عرض موقع جمعية الشام أرقامًا تشغيلية ومنشورات حديثة وقت الاطلاع. لم تُجرِ هذه الدراسة تدقيقًا مستقلًا لهذه الأرقام، ولا تعتمد أي جزء منها أساسًا لتقدير حجم البيانات المتاحة للمركز أو حقوق استخدامها.</w:t>
      </w:r>
    </w:p>
    <w:sectPr w:rsidR="00FC693F" w:rsidRPr="0006063C" w:rsidSect="00034616">
      <w:headerReference w:type="default" r:id="rId9"/>
      <w:footerReference w:type="default" r:id="rId10"/>
      <w:pgSz w:w="12240" w:h="15840"/>
      <w:pgMar w:top="1181" w:right="1296" w:bottom="1094" w:left="1296" w:header="490"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Kufi Arabic" w:hAnsi="Noto Kufi Arabic" w:eastAsia="Noto Kufi Arabic" w:cs="Noto Kufi Arabic"/>
        <w:b w:val="0"/>
        <w:color w:val="637169"/>
        <w:sz w:val="15"/>
        <w:szCs w:val="16"/>
        <w:bCs w:val="0"/>
        <w:rtl w:val="1"/>
        <w:lang w:bidi="ar-SY"/>
      </w:rPr>
      <w:t xml:space="preserve">مقترح للعرض والمناقشة  •  تشرين الأول 2026  |  </w:t>
    </w:r>
    <w:r>
      <w:rPr>
        <w:rFonts w:ascii="Noto Kufi Arabic" w:hAnsi="Noto Kufi Arabic" w:eastAsia="Noto Kufi Arabic" w:cs="Noto Kufi Arabic"/>
        <w:b w:val="0"/>
        <w:color w:val="637169"/>
        <w:sz w:val="15"/>
        <w:szCs w:val="16"/>
        <w:bCs w:val="0"/>
        <w:rtl w:val="1"/>
        <w:lang w:bidi="ar-SY"/>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bidi w:val="1"/>
    </w:pPr>
    <w:r>
      <w:rPr>
        <w:rFonts w:ascii="Noto Kufi Arabic" w:hAnsi="Noto Kufi Arabic" w:eastAsia="Noto Kufi Arabic" w:cs="Noto Kufi Arabic"/>
        <w:b w:val="0"/>
        <w:color w:val="637169"/>
        <w:sz w:val="16"/>
        <w:szCs w:val="16"/>
        <w:bCs w:val="0"/>
        <w:rtl w:val="1"/>
        <w:lang w:bidi="ar-SY"/>
      </w:rPr>
      <w:t>مركز دراسات وأبحاث الأيتام  |  دراسة تأسيسية واستراتيجية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8" w:lineRule="auto"/>
    </w:pPr>
    <w:rPr>
      <w:rFonts w:ascii="Noto Naskh Arabic" w:hAnsi="Noto Naskh Arabic"/>
      <w:color w:val="263A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line="276" w:lineRule="auto"/>
      <w:outlineLvl w:val="0"/>
    </w:pPr>
    <w:rPr>
      <w:rFonts w:asciiTheme="majorHAnsi" w:eastAsiaTheme="majorEastAsia" w:hAnsiTheme="majorHAnsi" w:cstheme="majorBidi" w:ascii="Noto Kufi Arabic" w:hAnsi="Noto Kufi Arabic" w:cs="Noto Kufi Arabic"/>
      <w:b/>
      <w:bCs/>
      <w:color w:val="123E32"/>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outlineLvl w:val="1"/>
    </w:pPr>
    <w:rPr>
      <w:rFonts w:asciiTheme="majorHAnsi" w:eastAsiaTheme="majorEastAsia" w:hAnsiTheme="majorHAnsi" w:cstheme="majorBidi" w:ascii="Noto Kufi Arabic" w:hAnsi="Noto Kufi Arabic" w:cs="Noto Kufi Arabic"/>
      <w:b/>
      <w:bCs/>
      <w:color w:val="986E0B"/>
      <w:sz w:val="24"/>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Theme="majorHAnsi" w:eastAsiaTheme="majorEastAsia" w:hAnsiTheme="majorHAnsi" w:cstheme="majorBidi" w:ascii="Noto Kufi Arabic" w:hAnsi="Noto Kufi Arabic" w:cs="Noto Kufi Arabic"/>
      <w:b/>
      <w:bCs/>
      <w:color w:val="123E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76" w:lineRule="auto" w:before="0"/>
      <w:contextualSpacing/>
    </w:pPr>
    <w:rPr>
      <w:rFonts w:asciiTheme="majorHAnsi" w:eastAsiaTheme="majorEastAsia" w:hAnsiTheme="majorHAnsi" w:cstheme="majorBidi" w:ascii="Noto Kufi Arabic" w:hAnsi="Noto Kufi Arabic" w:cs="Noto Kufi Arabic"/>
      <w:b/>
      <w:color w:val="123E3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itamalsham.org/aboutus" TargetMode="External"/><Relationship Id="rId12" Type="http://schemas.openxmlformats.org/officeDocument/2006/relationships/hyperlink" Target="https://www.aitamalsham.org/news/257" TargetMode="External"/><Relationship Id="rId13" Type="http://schemas.openxmlformats.org/officeDocument/2006/relationships/hyperlink" Target="https://www.aitamalsham.org/news/267" TargetMode="External"/><Relationship Id="rId14" Type="http://schemas.openxmlformats.org/officeDocument/2006/relationships/hyperlink" Target="https://www.aitamalsham.org/magazine" TargetMode="External"/><Relationship Id="rId15" Type="http://schemas.openxmlformats.org/officeDocument/2006/relationships/hyperlink" Target="https://www.unicef.org/child-rights-convention/convention-text" TargetMode="External"/><Relationship Id="rId16" Type="http://schemas.openxmlformats.org/officeDocument/2006/relationships/hyperlink" Target="https://www.unicef.org/kazakhstan/en/reports/resolution-adopted-general-assembly" TargetMode="External"/><Relationship Id="rId17" Type="http://schemas.openxmlformats.org/officeDocument/2006/relationships/hyperlink" Target="https://www.unicef.org/protection/children-in-alternative-care" TargetMode="External"/><Relationship Id="rId18" Type="http://schemas.openxmlformats.org/officeDocument/2006/relationships/hyperlink" Target="https://data.unicef.org/indicator-profiles/HVA_PED_LOST/" TargetMode="External"/><Relationship Id="rId19" Type="http://schemas.openxmlformats.org/officeDocument/2006/relationships/hyperlink" Target="https://www.unicef.org/innocenti/reports/ethical-research-involving-children" TargetMode="External"/><Relationship Id="rId20" Type="http://schemas.openxmlformats.org/officeDocument/2006/relationships/hyperlink" Target="https://www.unicef.org/documents/policy-ethics-evidence-activities-involving-people-as-participants-subjects" TargetMode="External"/><Relationship Id="rId21" Type="http://schemas.openxmlformats.org/officeDocument/2006/relationships/hyperlink" Target="https://www.ifla.org/access-preservation/" TargetMode="External"/><Relationship Id="rId22" Type="http://schemas.openxmlformats.org/officeDocument/2006/relationships/hyperlink" Target="https://www.ifla.org/collection-reproduction-for-preservation/" TargetMode="External"/><Relationship Id="rId23" Type="http://schemas.openxmlformats.org/officeDocument/2006/relationships/hyperlink" Target="https://doi.org/10.24318/cope.2019.1.12" TargetMode="External"/><Relationship Id="rId24" Type="http://schemas.openxmlformats.org/officeDocument/2006/relationships/hyperlink" Target="https://publishers.issn.org/faq1" TargetMode="External"/><Relationship Id="rId25" Type="http://schemas.openxmlformats.org/officeDocument/2006/relationships/hyperlink" Target="https://doaj.org/apply/guide/" TargetMode="External"/><Relationship Id="rId26" Type="http://schemas.openxmlformats.org/officeDocument/2006/relationships/hyperlink" Target="https://www.unicef.org/innocenti/prospects-children-2026-global-outlook" TargetMode="External"/><Relationship Id="rId27" Type="http://schemas.openxmlformats.org/officeDocument/2006/relationships/hyperlink" Target="https://www.oecd.org/en/publications/applying-evaluation-criteria-thoughtfully_543e84ed-en.html" TargetMode="External"/><Relationship Id="rId28" Type="http://schemas.openxmlformats.org/officeDocument/2006/relationships/hyperlink" Target="https://www.ifla.org/news/digital-cultural-heritage-preservation-sustainability-and-public-engagement-in-the-digital-era/" TargetMode="External"/><Relationship Id="rId29" Type="http://schemas.openxmlformats.org/officeDocument/2006/relationships/hyperlink" Target="https://data.unicef.org/topic/child-protection/children-alternative-care/" TargetMode="External"/><Relationship Id="rId30" Type="http://schemas.openxmlformats.org/officeDocument/2006/relationships/hyperlink" Target="https://digitallibrary.un.org/record/1304490/?v=pdf" TargetMode="External"/><Relationship Id="rId31" Type="http://schemas.openxmlformats.org/officeDocument/2006/relationships/hyperlink" Target="https://digitallibrary.un.org/record/673583" TargetMode="External"/><Relationship Id="rId32" Type="http://schemas.openxmlformats.org/officeDocument/2006/relationships/hyperlink" Target="https://www.unicef.org/stories/birth-registration" TargetMode="External"/><Relationship Id="rId33" Type="http://schemas.openxmlformats.org/officeDocument/2006/relationships/hyperlink" Target="https://data.unicef.org/resources/i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مركز دراسات وأبحاث الأيتام - دراسة تأسيسية استراتيجية متكاملة، الإصدار الثالث</dc:title>
  <dc:subject>مكتبة محمد شندي الراوي؛ الرعاية الوالدية؛ مجهولو النسب؛ الأطفال في أوضاع الشارع؛ الأيتام؛ الحوكمة؛ المجلة</dc:subject>
  <dc:creator>مقترح مؤسسي للمناقشة</dc:creator>
  <cp:keywords>الأيتام، المكتبة، الرعاية، الدراسات، الشام، الحوكمة، مجهولو الوالدين، فقد الرعاية، أطفال الشوارع</cp:keywords>
  <dc:description>generated by python-docx</dc:description>
  <cp:lastModifiedBy/>
  <cp:revision>1</cp:revision>
  <dcterms:created xsi:type="dcterms:W3CDTF">2013-12-23T23:15:00Z</dcterms:created>
  <dcterms:modified xsi:type="dcterms:W3CDTF">2013-12-23T23:15:00Z</dcterms:modified>
  <cp:category/>
</cp:coreProperties>
</file>