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right"/>
        <w:bidi w:val="1"/>
      </w:pPr>
      <w:r>
        <w:drawing>
          <wp:inline xmlns:a="http://schemas.openxmlformats.org/drawingml/2006/main" xmlns:pic="http://schemas.openxmlformats.org/drawingml/2006/picture">
            <wp:extent cx="1481328" cy="1120742"/>
            <wp:docPr id="1" name="Picture 1"/>
            <wp:cNvGraphicFramePr>
              <a:graphicFrameLocks noChangeAspect="1"/>
            </wp:cNvGraphicFramePr>
            <a:graphic>
              <a:graphicData uri="http://schemas.openxmlformats.org/drawingml/2006/picture">
                <pic:pic>
                  <pic:nvPicPr>
                    <pic:cNvPr id="0" name="logo-cropped.png"/>
                    <pic:cNvPicPr/>
                  </pic:nvPicPr>
                  <pic:blipFill>
                    <a:blip r:embed="rId11"/>
                    <a:stretch>
                      <a:fillRect/>
                    </a:stretch>
                  </pic:blipFill>
                  <pic:spPr>
                    <a:xfrm>
                      <a:off x="0" y="0"/>
                      <a:ext cx="1481328" cy="1120742"/>
                    </a:xfrm>
                    <a:prstGeom prst="rect"/>
                  </pic:spPr>
                </pic:pic>
              </a:graphicData>
            </a:graphic>
          </wp:inline>
        </w:drawing>
      </w:r>
    </w:p>
    <w:p>
      <w:pPr>
        <w:jc w:val="right"/>
        <w:bidi w:val="1"/>
      </w:pPr>
      <w:r>
        <w:rPr>
          <w:rFonts w:ascii="Noto Kufi Arabic" w:hAnsi="Noto Kufi Arabic" w:cs="Noto Kufi Arabic" w:eastAsia="Noto Kufi Arabic"/>
          <w:b/>
          <w:i w:val="0"/>
          <w:color w:val="0C3B30"/>
          <w:sz w:val="32"/>
          <w:rtl w:val="1"/>
        </w:rPr>
        <w:t>مركز دراسات وأبحاث الأيتام</w:t>
      </w:r>
    </w:p>
    <w:p>
      <w:pPr>
        <w:spacing w:after="420" w:line="324" w:lineRule="auto"/>
        <w:jc w:val="right"/>
        <w:bidi w:val="1"/>
      </w:pPr>
      <w:r>
        <w:rPr>
          <w:rFonts w:ascii="Noto Naskh Arabic" w:hAnsi="Noto Naskh Arabic" w:cs="Noto Naskh Arabic" w:eastAsia="Noto Naskh Arabic"/>
          <w:b/>
          <w:i w:val="0"/>
          <w:color w:val="B58A28"/>
          <w:sz w:val="22"/>
          <w:rtl w:val="1"/>
        </w:rPr>
        <w:t>سلسلة الأوراق البحثية والمعرفية  |  الإصدار الأول • 01</w:t>
      </w:r>
    </w:p>
    <w:p>
      <w:pPr>
        <w:spacing w:after="300" w:line="300" w:lineRule="auto"/>
        <w:jc w:val="right"/>
        <w:bidi w:val="1"/>
      </w:pPr>
      <w:r>
        <w:rPr>
          <w:rFonts w:ascii="Noto Naskh Arabic" w:hAnsi="Noto Naskh Arabic" w:cs="Noto Naskh Arabic" w:eastAsia="Noto Naskh Arabic"/>
          <w:b/>
          <w:i w:val="0"/>
          <w:color w:val="0C3B30"/>
          <w:sz w:val="50"/>
          <w:rtl w:val="1"/>
        </w:rPr>
        <w:t>المؤسسات البحثية والمعرفية المتخصصة في شؤون الأيتام حول العالم</w:t>
      </w:r>
    </w:p>
    <w:p>
      <w:pPr>
        <w:spacing w:after="500" w:line="312" w:lineRule="auto"/>
        <w:jc w:val="right"/>
        <w:bidi w:val="1"/>
      </w:pPr>
      <w:r>
        <w:rPr>
          <w:rFonts w:ascii="Noto Naskh Arabic" w:hAnsi="Noto Naskh Arabic" w:cs="Noto Naskh Arabic" w:eastAsia="Noto Naskh Arabic"/>
          <w:b w:val="0"/>
          <w:i w:val="0"/>
          <w:color w:val="18352C"/>
          <w:sz w:val="26"/>
          <w:rtl w:val="1"/>
        </w:rPr>
        <w:t>مسح استقصائي دولي وتحليل مقارن للنماذج المؤسسية والمخرجات العلمية وفرص التعاون</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936"/>
      </w:tblGrid>
      <w:tr>
        <w:tc>
          <w:tcPr>
            <w:tcW w:type="dxa" w:w="9864"/>
            <w:shd w:fill="F5F0E5"/>
            <w:tcMar>
              <w:top w:w="150" w:type="dxa"/>
              <w:start w:w="210" w:type="dxa"/>
              <w:bottom w:w="150" w:type="dxa"/>
              <w:end w:w="210" w:type="dxa"/>
            </w:tcMar>
          </w:tcPr>
          <w:p>
            <w:pPr>
              <w:jc w:val="right"/>
              <w:bidi w:val="1"/>
            </w:pPr>
            <w:r>
              <w:rPr>
                <w:rFonts w:ascii="Noto Kufi Arabic" w:hAnsi="Noto Kufi Arabic" w:cs="Noto Kufi Arabic" w:eastAsia="Noto Kufi Arabic"/>
                <w:b/>
                <w:i w:val="0"/>
                <w:color w:val="0C3B30"/>
                <w:sz w:val="21"/>
                <w:rtl w:val="1"/>
              </w:rPr>
              <w:t>الرسالة الرئيسية للدراسة</w:t>
            </w:r>
          </w:p>
          <w:p>
            <w:pPr>
              <w:jc w:val="right"/>
              <w:bidi w:val="1"/>
            </w:pPr>
            <w:r>
              <w:rPr>
                <w:rFonts w:ascii="Noto Naskh Arabic" w:hAnsi="Noto Naskh Arabic" w:cs="Noto Naskh Arabic" w:eastAsia="Noto Naskh Arabic"/>
                <w:b w:val="0"/>
                <w:i w:val="0"/>
                <w:color w:val="18352C"/>
                <w:sz w:val="20"/>
                <w:rtl w:val="1"/>
              </w:rPr>
              <w:t>يوجد حقل عالمي متنوع لأبحاث اليُتم والرعاية الوالدية؛ والفرصة أمام المركز الجديد هي إنتاج معرفة أصيلة موثقة، وبناء مكتبة بحثية متخصصة، وربط الأدلة العلمية بتحسين الممارسة والسياسات.</w:t>
            </w:r>
          </w:p>
        </w:tc>
      </w:tr>
    </w:tbl>
    <w:p>
      <w:pPr>
        <w:spacing w:after="20"/>
      </w:pPr>
    </w:p>
    <w:p>
      <w:pPr>
        <w:spacing w:after="200" w:line="324" w:lineRule="auto"/>
        <w:jc w:val="right"/>
        <w:bidi w:val="1"/>
      </w:pPr>
      <w:r>
        <w:rPr>
          <w:rFonts w:ascii="Noto Naskh Arabic" w:hAnsi="Noto Naskh Arabic" w:cs="Noto Naskh Arabic" w:eastAsia="Noto Naskh Arabic"/>
          <w:b/>
          <w:i w:val="0"/>
          <w:color w:val="0C3B30"/>
          <w:sz w:val="22"/>
          <w:rtl w:val="1"/>
        </w:rPr>
        <w:t>النسخة الأولى للنشر والتداول • أكتوبر 2026</w:t>
      </w:r>
    </w:p>
    <w:p>
      <w:pPr>
        <w:spacing w:after="120" w:line="324" w:lineRule="auto"/>
        <w:jc w:val="right"/>
        <w:bidi w:val="1"/>
      </w:pPr>
      <w:r>
        <w:rPr>
          <w:rFonts w:ascii="Noto Naskh Arabic" w:hAnsi="Noto Naskh Arabic" w:cs="Noto Naskh Arabic" w:eastAsia="Noto Naskh Arabic"/>
          <w:b w:val="0"/>
          <w:i w:val="0"/>
          <w:color w:val="66766F"/>
          <w:sz w:val="20"/>
          <w:rtl w:val="1"/>
        </w:rPr>
        <w:t>إعداد ونشر: مركز دراسات وأبحاث الأيتام (مشروع قيد التأسيس)</w:t>
      </w:r>
    </w:p>
    <w:p>
      <w:pPr>
        <w:spacing w:after="120" w:line="324" w:lineRule="auto"/>
        <w:jc w:val="right"/>
        <w:bidi w:val="1"/>
      </w:pPr>
      <w:r>
        <w:rPr>
          <w:rFonts w:ascii="Noto Naskh Arabic" w:hAnsi="Noto Naskh Arabic" w:cs="Noto Naskh Arabic" w:eastAsia="Noto Naskh Arabic"/>
          <w:b w:val="0"/>
          <w:i w:val="0"/>
          <w:color w:val="66766F"/>
          <w:sz w:val="20"/>
          <w:rtl w:val="1"/>
        </w:rPr>
        <w:t>المشروع المعرفي المؤسس: مكتبة محمد شندي الراوي</w:t>
      </w:r>
    </w:p>
    <w:p>
      <w:pPr>
        <w:spacing w:after="300" w:line="324" w:lineRule="auto"/>
        <w:jc w:val="right"/>
        <w:bidi w:val="1"/>
      </w:pPr>
      <w:r>
        <w:rPr>
          <w:rFonts w:ascii="Noto Naskh Arabic" w:hAnsi="Noto Naskh Arabic" w:cs="Noto Naskh Arabic" w:eastAsia="Noto Naskh Arabic"/>
          <w:b w:val="0"/>
          <w:i w:val="0"/>
          <w:color w:val="66766F"/>
          <w:sz w:val="20"/>
          <w:rtl w:val="1"/>
        </w:rPr>
        <w:t>الجهة ذات العلاقة المقترحة: جمعية الشام لرعاية وكفالة الأيتام</w:t>
      </w:r>
    </w:p>
    <w:p>
      <w:pPr>
        <w:spacing w:after="0" w:line="324" w:lineRule="auto"/>
        <w:jc w:val="right"/>
        <w:bidi w:val="1"/>
      </w:pPr>
      <w:r>
        <w:rPr>
          <w:rFonts w:ascii="Noto Naskh Arabic" w:hAnsi="Noto Naskh Arabic" w:cs="Noto Naskh Arabic" w:eastAsia="Noto Naskh Arabic"/>
          <w:b w:val="0"/>
          <w:i w:val="0"/>
          <w:color w:val="66766F"/>
          <w:sz w:val="18"/>
          <w:rtl w:val="1"/>
        </w:rPr>
        <w:t>وثيقة بحث مكتبي استقصائي غير محكّمة. لا تمثل اعتمادًا رسميًا أو شراكات موقعة أو رأيًا مؤسسيًا صادرًا عن الجهات الموصوفة.</w:t>
      </w:r>
    </w:p>
    <w:p>
      <w:r>
        <w:br w:type="page"/>
      </w:r>
    </w:p>
    <w:p>
      <w:pPr>
        <w:pStyle w:val="Heading1"/>
        <w:spacing w:before="240" w:after="140"/>
        <w:jc w:val="right"/>
        <w:keepNext/>
        <w:bidi w:val="1"/>
      </w:pPr>
      <w:r>
        <w:rPr>
          <w:rFonts w:ascii="Noto Kufi Arabic" w:hAnsi="Noto Kufi Arabic" w:cs="Noto Kufi Arabic" w:eastAsia="Noto Kufi Arabic"/>
          <w:b/>
          <w:i w:val="0"/>
          <w:color w:val="0C3B30"/>
          <w:sz w:val="32"/>
          <w:rtl w:val="1"/>
        </w:rPr>
        <w:t>بيانات الإصدار والاقتباس</w:t>
      </w:r>
    </w:p>
    <w:tbl>
      <w:tblPr>
        <w:tblW w:type="auto" w:w="0"/>
        <w:jc w:val="center"/>
        <w:tblLayout w:type="fixed"/>
        <w:tblLook w:firstColumn="1" w:firstRow="1" w:lastColumn="0" w:lastRow="0" w:noHBand="0" w:noVBand="1" w:val="04A0"/>
        <w:bidiVisual/>
        <w:tblBorders>
          <w:top w:val="nil"/>
          <w:left w:val="nil"/>
          <w:bottom w:val="nil"/>
          <w:right w:val="nil"/>
          <w:insideH w:val="nil"/>
          <w:insideV w:val="nil"/>
        </w:tblBorders>
      </w:tblPr>
      <w:tblGrid>
        <w:gridCol w:w="2232"/>
        <w:gridCol w:w="7560"/>
      </w:tblGrid>
      <w:tr>
        <w:trPr>
          <w:tblHeader w:val="true"/>
        </w:trPr>
        <w:tc>
          <w:tcPr>
            <w:tcW w:type="dxa" w:w="2232"/>
            <w:vAlign w:val="center"/>
            <w:tcMar>
              <w:top w:w="100" w:type="dxa"/>
              <w:start w:w="120" w:type="dxa"/>
              <w:bottom w:w="100" w:type="dxa"/>
              <w:end w:w="120" w:type="dxa"/>
            </w:tcMar>
            <w:shd w:fill="0C3B30"/>
          </w:tcPr>
          <w:p>
            <w:pPr>
              <w:jc w:val="right"/>
              <w:bidi w:val="1"/>
            </w:pPr>
            <w:r>
              <w:rPr>
                <w:rFonts w:ascii="Noto Kufi Arabic" w:hAnsi="Noto Kufi Arabic" w:cs="Noto Kufi Arabic" w:eastAsia="Noto Kufi Arabic"/>
                <w:b/>
                <w:i w:val="0"/>
                <w:color w:val="FFFFFF"/>
                <w:sz w:val="18"/>
                <w:rtl w:val="1"/>
              </w:rPr>
              <w:t>البند</w:t>
            </w:r>
          </w:p>
        </w:tc>
        <w:tc>
          <w:tcPr>
            <w:tcW w:type="dxa" w:w="7560"/>
            <w:vAlign w:val="center"/>
            <w:tcMar>
              <w:top w:w="100" w:type="dxa"/>
              <w:start w:w="120" w:type="dxa"/>
              <w:bottom w:w="100" w:type="dxa"/>
              <w:end w:w="120" w:type="dxa"/>
            </w:tcMar>
            <w:shd w:fill="0C3B30"/>
          </w:tcPr>
          <w:p>
            <w:pPr>
              <w:jc w:val="right"/>
              <w:bidi w:val="1"/>
            </w:pPr>
            <w:r>
              <w:rPr>
                <w:rFonts w:ascii="Noto Kufi Arabic" w:hAnsi="Noto Kufi Arabic" w:cs="Noto Kufi Arabic" w:eastAsia="Noto Kufi Arabic"/>
                <w:b/>
                <w:i w:val="0"/>
                <w:color w:val="FFFFFF"/>
                <w:sz w:val="18"/>
                <w:rtl w:val="1"/>
              </w:rPr>
              <w:t>البيان</w:t>
            </w:r>
          </w:p>
        </w:tc>
      </w:tr>
      <w:tr>
        <w:tc>
          <w:tcPr>
            <w:tcW w:type="dxa" w:w="2232"/>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العنوان</w:t>
            </w:r>
          </w:p>
        </w:tc>
        <w:tc>
          <w:tcPr>
            <w:tcW w:type="dxa" w:w="7560"/>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المؤسسات البحثية والمعرفية المتخصصة في شؤون الأيتام حول العالم</w:t>
            </w:r>
          </w:p>
        </w:tc>
      </w:tr>
      <w:tr>
        <w:tc>
          <w:tcPr>
            <w:tcW w:type="dxa" w:w="2232"/>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نوع الوثيقة</w:t>
            </w:r>
          </w:p>
        </w:tc>
        <w:tc>
          <w:tcPr>
            <w:tcW w:type="dxa" w:w="7560"/>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مسح استقصائي ومقارنة مرجعية؛ دراسة مكتبية لا مسحًا ميدانيًا</w:t>
            </w:r>
          </w:p>
        </w:tc>
      </w:tr>
      <w:tr>
        <w:tc>
          <w:tcPr>
            <w:tcW w:type="dxa" w:w="2232"/>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الجهة</w:t>
            </w:r>
          </w:p>
        </w:tc>
        <w:tc>
          <w:tcPr>
            <w:tcW w:type="dxa" w:w="7560"/>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مركز دراسات وأبحاث الأيتام — في طور التأسيس</w:t>
            </w:r>
          </w:p>
        </w:tc>
      </w:tr>
      <w:tr>
        <w:tc>
          <w:tcPr>
            <w:tcW w:type="dxa" w:w="2232"/>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السلسلة</w:t>
            </w:r>
          </w:p>
        </w:tc>
        <w:tc>
          <w:tcPr>
            <w:tcW w:type="dxa" w:w="7560"/>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الأوراق البحثية والمعرفية، الإصدار 01</w:t>
            </w:r>
          </w:p>
        </w:tc>
      </w:tr>
      <w:tr>
        <w:tc>
          <w:tcPr>
            <w:tcW w:type="dxa" w:w="2232"/>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اللغة</w:t>
            </w:r>
          </w:p>
        </w:tc>
        <w:tc>
          <w:tcPr>
            <w:tcW w:type="dxa" w:w="7560"/>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العربية، مع توثيق أسماء الجهات بلغتها الأصلية</w:t>
            </w:r>
          </w:p>
        </w:tc>
      </w:tr>
      <w:tr>
        <w:tc>
          <w:tcPr>
            <w:tcW w:type="dxa" w:w="2232"/>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تاريخ إقفال البحث</w:t>
            </w:r>
          </w:p>
        </w:tc>
        <w:tc>
          <w:tcPr>
            <w:tcW w:type="dxa" w:w="7560"/>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19 أكتوبر 2026</w:t>
            </w:r>
          </w:p>
        </w:tc>
      </w:tr>
      <w:tr>
        <w:tc>
          <w:tcPr>
            <w:tcW w:type="dxa" w:w="2232"/>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صفة النشر</w:t>
            </w:r>
          </w:p>
        </w:tc>
        <w:tc>
          <w:tcPr>
            <w:tcW w:type="dxa" w:w="7560"/>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ورقة مرجعية تأسيسية غير محكّمة قابلة للتحديث</w:t>
            </w:r>
          </w:p>
        </w:tc>
      </w:tr>
      <w:tr>
        <w:tc>
          <w:tcPr>
            <w:tcW w:type="dxa" w:w="2232"/>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الاستخدام</w:t>
            </w:r>
          </w:p>
        </w:tc>
        <w:tc>
          <w:tcPr>
            <w:tcW w:type="dxa" w:w="7560"/>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التداول المهني، التعريف بالشركاء المحتملين، التخطيط المؤسسي</w:t>
            </w:r>
          </w:p>
        </w:tc>
      </w:tr>
    </w:tbl>
    <w:p>
      <w:pPr>
        <w:spacing w:after="0"/>
      </w:pPr>
    </w:p>
    <w:p>
      <w:pPr>
        <w:pStyle w:val="Heading2"/>
        <w:spacing w:before="160" w:after="140"/>
        <w:jc w:val="right"/>
        <w:keepNext/>
        <w:bidi w:val="1"/>
      </w:pPr>
      <w:r>
        <w:rPr>
          <w:rFonts w:ascii="Noto Kufi Arabic" w:hAnsi="Noto Kufi Arabic" w:cs="Noto Kufi Arabic" w:eastAsia="Noto Kufi Arabic"/>
          <w:b/>
          <w:i w:val="0"/>
          <w:color w:val="B58A28"/>
          <w:sz w:val="24"/>
          <w:rtl w:val="1"/>
        </w:rPr>
        <w:t>صيغة الاقتباس المقترحة</w:t>
      </w:r>
    </w:p>
    <w:p>
      <w:pPr>
        <w:spacing w:after="100" w:line="324" w:lineRule="auto"/>
        <w:jc w:val="right"/>
        <w:bidi w:val="1"/>
      </w:pPr>
      <w:r>
        <w:rPr>
          <w:rFonts w:ascii="Noto Naskh Arabic" w:hAnsi="Noto Naskh Arabic" w:cs="Noto Naskh Arabic" w:eastAsia="Noto Naskh Arabic"/>
          <w:b w:val="0"/>
          <w:i w:val="0"/>
          <w:rtl w:val="1"/>
        </w:rPr>
        <w:t>مركز دراسات وأبحاث الأيتام (مشروع قيد التأسيس). (2026). المؤسسات البحثية والمعرفية المتخصصة في شؤون الأيتام حول العالم: مسح استقصائي دولي وتحليل مقارن. سلسلة الأوراق البحثية والمعرفية، العدد (01).</w:t>
      </w:r>
    </w:p>
    <w:p>
      <w:pPr>
        <w:pStyle w:val="Heading2"/>
        <w:spacing w:before="160" w:after="140"/>
        <w:jc w:val="right"/>
        <w:keepNext/>
        <w:bidi w:val="1"/>
      </w:pPr>
      <w:r>
        <w:rPr>
          <w:rFonts w:ascii="Noto Kufi Arabic" w:hAnsi="Noto Kufi Arabic" w:cs="Noto Kufi Arabic" w:eastAsia="Noto Kufi Arabic"/>
          <w:b/>
          <w:i w:val="0"/>
          <w:color w:val="B58A28"/>
          <w:sz w:val="24"/>
          <w:rtl w:val="1"/>
        </w:rPr>
        <w:t>حدود المسؤولية العلمية</w:t>
      </w:r>
    </w:p>
    <w:p>
      <w:pPr>
        <w:spacing w:after="100" w:line="324" w:lineRule="auto"/>
        <w:jc w:val="right"/>
        <w:bidi w:val="1"/>
      </w:pPr>
      <w:r>
        <w:rPr>
          <w:rFonts w:ascii="Noto Naskh Arabic" w:hAnsi="Noto Naskh Arabic" w:cs="Noto Naskh Arabic" w:eastAsia="Noto Naskh Arabic"/>
          <w:b w:val="0"/>
          <w:i w:val="0"/>
          <w:rtl w:val="1"/>
        </w:rPr>
        <w:t>المادة مبنية على مواقع المؤسسات وإصداراتها الأصلية ومراجع أكاديمية وأممية منشورة، وتفرق بين المعلومة الموثقة والتحليل المقارن والتوصية المقترحة. لا تمثل مراجعة منهجية للأدبيات ولا جردًا حصريًا لجميع المؤسسات، ولا تثبت التحكيم العلمي للوثيقة. تعتمد بيانات النشاط على التواريخ الواردة في مصادرها؛ وقد تختلف الحالة التشغيلية الحالية لبعض المشروعات.</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936"/>
      </w:tblGrid>
      <w:tr>
        <w:tc>
          <w:tcPr>
            <w:tcW w:type="dxa" w:w="9864"/>
            <w:shd w:fill="F5F0E5"/>
            <w:tcMar>
              <w:top w:w="150" w:type="dxa"/>
              <w:start w:w="210" w:type="dxa"/>
              <w:bottom w:w="150" w:type="dxa"/>
              <w:end w:w="210" w:type="dxa"/>
            </w:tcMar>
          </w:tcPr>
          <w:p>
            <w:pPr>
              <w:jc w:val="right"/>
              <w:bidi w:val="1"/>
            </w:pPr>
            <w:r>
              <w:rPr>
                <w:rFonts w:ascii="Noto Kufi Arabic" w:hAnsi="Noto Kufi Arabic" w:cs="Noto Kufi Arabic" w:eastAsia="Noto Kufi Arabic"/>
                <w:b/>
                <w:i w:val="0"/>
                <w:color w:val="0C3B30"/>
                <w:sz w:val="21"/>
                <w:rtl w:val="1"/>
              </w:rPr>
              <w:t>ملاحظة تحريرية أساسية</w:t>
            </w:r>
          </w:p>
          <w:p>
            <w:pPr>
              <w:jc w:val="right"/>
              <w:bidi w:val="1"/>
            </w:pPr>
            <w:r>
              <w:rPr>
                <w:rFonts w:ascii="Noto Naskh Arabic" w:hAnsi="Noto Naskh Arabic" w:cs="Noto Naskh Arabic" w:eastAsia="Noto Naskh Arabic"/>
                <w:b w:val="0"/>
                <w:i w:val="0"/>
                <w:color w:val="18352C"/>
                <w:sz w:val="20"/>
                <w:rtl w:val="1"/>
              </w:rPr>
              <w:t>تتباين مصطلحات «اليتيم» و«فاقد الرعاية الوالدية» و«الطفل في الرعاية البديلة» و«الطفل المرتبط بالشارع». لهذا لا تجمع الدراسة تلك الفئات في تصنيف واحد، بل تدرس تقاطع أنظمة الحماية المعنية بها مع الحفاظ على تميزها الشرعي والقانوني والاجتماعي.</w:t>
            </w:r>
          </w:p>
        </w:tc>
      </w:tr>
    </w:tbl>
    <w:p>
      <w:pPr>
        <w:spacing w:after="20"/>
      </w:pPr>
    </w:p>
    <w:p>
      <w:pPr>
        <w:pStyle w:val="Heading1"/>
        <w:spacing w:before="240" w:after="140"/>
        <w:jc w:val="right"/>
        <w:keepNext/>
        <w:bidi w:val="1"/>
      </w:pPr>
      <w:r>
        <w:rPr>
          <w:rFonts w:ascii="Noto Kufi Arabic" w:hAnsi="Noto Kufi Arabic" w:cs="Noto Kufi Arabic" w:eastAsia="Noto Kufi Arabic"/>
          <w:b/>
          <w:i w:val="0"/>
          <w:color w:val="0C3B30"/>
          <w:sz w:val="32"/>
          <w:rtl w:val="1"/>
        </w:rPr>
        <w:t>فهرس القراءة</w:t>
      </w:r>
    </w:p>
    <w:p>
      <w:pPr>
        <w:spacing w:after="140" w:line="276" w:lineRule="auto"/>
        <w:jc w:val="right"/>
        <w:bidi w:val="1"/>
      </w:pPr>
      <w:r>
        <w:rPr>
          <w:rFonts w:ascii="Noto Naskh Arabic" w:hAnsi="Noto Naskh Arabic" w:cs="Noto Naskh Arabic" w:eastAsia="Noto Naskh Arabic"/>
          <w:b/>
          <w:i w:val="0"/>
          <w:color w:val="0C3B30"/>
          <w:rtl w:val="1"/>
        </w:rPr>
        <w:t>01  |  الملخص التنفيذي وخريطة النتائج</w:t>
      </w:r>
    </w:p>
    <w:p>
      <w:pPr>
        <w:spacing w:after="140" w:line="276" w:lineRule="auto"/>
        <w:jc w:val="right"/>
        <w:bidi w:val="1"/>
      </w:pPr>
      <w:r>
        <w:rPr>
          <w:rFonts w:ascii="Noto Naskh Arabic" w:hAnsi="Noto Naskh Arabic" w:cs="Noto Naskh Arabic" w:eastAsia="Noto Naskh Arabic"/>
          <w:b w:val="0"/>
          <w:i w:val="0"/>
          <w:color w:val="18352C"/>
          <w:rtl w:val="1"/>
        </w:rPr>
        <w:t>02  |  المنهجية وضوابط التصنيف</w:t>
      </w:r>
    </w:p>
    <w:p>
      <w:pPr>
        <w:spacing w:after="140" w:line="276" w:lineRule="auto"/>
        <w:jc w:val="right"/>
        <w:bidi w:val="1"/>
      </w:pPr>
      <w:r>
        <w:rPr>
          <w:rFonts w:ascii="Noto Naskh Arabic" w:hAnsi="Noto Naskh Arabic" w:cs="Noto Naskh Arabic" w:eastAsia="Noto Naskh Arabic"/>
          <w:b w:val="0"/>
          <w:i w:val="0"/>
          <w:color w:val="18352C"/>
          <w:rtl w:val="1"/>
        </w:rPr>
        <w:t>03  |  المشهد العربي والإسلامي</w:t>
      </w:r>
    </w:p>
    <w:p>
      <w:pPr>
        <w:spacing w:after="140" w:line="276" w:lineRule="auto"/>
        <w:jc w:val="right"/>
        <w:bidi w:val="1"/>
      </w:pPr>
      <w:r>
        <w:rPr>
          <w:rFonts w:ascii="Noto Naskh Arabic" w:hAnsi="Noto Naskh Arabic" w:cs="Noto Naskh Arabic" w:eastAsia="Noto Naskh Arabic"/>
          <w:b w:val="0"/>
          <w:i w:val="0"/>
          <w:color w:val="18352C"/>
          <w:rtl w:val="1"/>
        </w:rPr>
        <w:t>04  |  أوروبا وأمريكا الشمالية والدولي</w:t>
      </w:r>
    </w:p>
    <w:p>
      <w:pPr>
        <w:spacing w:after="140" w:line="276" w:lineRule="auto"/>
        <w:jc w:val="right"/>
        <w:bidi w:val="1"/>
      </w:pPr>
      <w:r>
        <w:rPr>
          <w:rFonts w:ascii="Noto Naskh Arabic" w:hAnsi="Noto Naskh Arabic" w:cs="Noto Naskh Arabic" w:eastAsia="Noto Naskh Arabic"/>
          <w:b w:val="0"/>
          <w:i w:val="0"/>
          <w:color w:val="18352C"/>
          <w:rtl w:val="1"/>
        </w:rPr>
        <w:t>05  |  آسيا وأفريقيا وأمريكا اللاتينية وأوقيانوسيا</w:t>
      </w:r>
    </w:p>
    <w:p>
      <w:pPr>
        <w:spacing w:after="140" w:line="276" w:lineRule="auto"/>
        <w:jc w:val="right"/>
        <w:bidi w:val="1"/>
      </w:pPr>
      <w:r>
        <w:rPr>
          <w:rFonts w:ascii="Noto Naskh Arabic" w:hAnsi="Noto Naskh Arabic" w:cs="Noto Naskh Arabic" w:eastAsia="Noto Naskh Arabic"/>
          <w:b w:val="0"/>
          <w:i w:val="0"/>
          <w:color w:val="18352C"/>
          <w:rtl w:val="1"/>
        </w:rPr>
        <w:t>06  |  دراسات حالة مقارنة متعمقة</w:t>
      </w:r>
    </w:p>
    <w:p>
      <w:pPr>
        <w:spacing w:after="140" w:line="276" w:lineRule="auto"/>
        <w:jc w:val="right"/>
        <w:bidi w:val="1"/>
      </w:pPr>
      <w:r>
        <w:rPr>
          <w:rFonts w:ascii="Noto Naskh Arabic" w:hAnsi="Noto Naskh Arabic" w:cs="Noto Naskh Arabic" w:eastAsia="Noto Naskh Arabic"/>
          <w:b w:val="0"/>
          <w:i w:val="0"/>
          <w:color w:val="18352C"/>
          <w:rtl w:val="1"/>
        </w:rPr>
        <w:t>07  |  خريطة المقارنة والفراغات البحثية</w:t>
      </w:r>
    </w:p>
    <w:p>
      <w:pPr>
        <w:spacing w:after="140" w:line="276" w:lineRule="auto"/>
        <w:jc w:val="right"/>
        <w:bidi w:val="1"/>
      </w:pPr>
      <w:r>
        <w:rPr>
          <w:rFonts w:ascii="Noto Naskh Arabic" w:hAnsi="Noto Naskh Arabic" w:cs="Noto Naskh Arabic" w:eastAsia="Noto Naskh Arabic"/>
          <w:b w:val="0"/>
          <w:i w:val="0"/>
          <w:color w:val="18352C"/>
          <w:rtl w:val="1"/>
        </w:rPr>
        <w:t>08  |  منظومة النشر والمكتبة والمعايير</w:t>
      </w:r>
    </w:p>
    <w:p>
      <w:pPr>
        <w:spacing w:after="140" w:line="276" w:lineRule="auto"/>
        <w:jc w:val="right"/>
        <w:bidi w:val="1"/>
      </w:pPr>
      <w:r>
        <w:rPr>
          <w:rFonts w:ascii="Noto Naskh Arabic" w:hAnsi="Noto Naskh Arabic" w:cs="Noto Naskh Arabic" w:eastAsia="Noto Naskh Arabic"/>
          <w:b w:val="0"/>
          <w:i w:val="0"/>
          <w:color w:val="18352C"/>
          <w:rtl w:val="1"/>
        </w:rPr>
        <w:t>09  |  التوجه الاستراتيجي لمركزنا وخطة السنة الأولى</w:t>
      </w:r>
    </w:p>
    <w:p>
      <w:pPr>
        <w:spacing w:after="140" w:line="276" w:lineRule="auto"/>
        <w:jc w:val="right"/>
        <w:bidi w:val="1"/>
      </w:pPr>
      <w:r>
        <w:rPr>
          <w:rFonts w:ascii="Noto Naskh Arabic" w:hAnsi="Noto Naskh Arabic" w:cs="Noto Naskh Arabic" w:eastAsia="Noto Naskh Arabic"/>
          <w:b w:val="0"/>
          <w:i w:val="0"/>
          <w:color w:val="18352C"/>
          <w:rtl w:val="1"/>
        </w:rPr>
        <w:t>10  |  الملحق المؤسسي وفهرس المراجع</w:t>
      </w:r>
    </w:p>
    <w:p>
      <w:r>
        <w:br w:type="page"/>
      </w:r>
    </w:p>
    <w:p>
      <w:pPr>
        <w:pStyle w:val="Heading1"/>
        <w:spacing w:before="240" w:after="140"/>
        <w:jc w:val="right"/>
        <w:keepNext/>
        <w:bidi w:val="1"/>
      </w:pPr>
      <w:r>
        <w:rPr>
          <w:rFonts w:ascii="Noto Kufi Arabic" w:hAnsi="Noto Kufi Arabic" w:cs="Noto Kufi Arabic" w:eastAsia="Noto Kufi Arabic"/>
          <w:b/>
          <w:i w:val="0"/>
          <w:color w:val="0C3B30"/>
          <w:sz w:val="32"/>
          <w:rtl w:val="1"/>
        </w:rPr>
        <w:t>01 | الملخص التنفيذي وخريطة النتائج</w:t>
      </w:r>
    </w:p>
    <w:p>
      <w:pPr>
        <w:spacing w:after="100" w:line="324" w:lineRule="auto"/>
        <w:jc w:val="right"/>
        <w:bidi w:val="1"/>
      </w:pPr>
      <w:r>
        <w:rPr>
          <w:rFonts w:ascii="Noto Naskh Arabic" w:hAnsi="Noto Naskh Arabic" w:cs="Noto Naskh Arabic" w:eastAsia="Noto Naskh Arabic"/>
          <w:b w:val="0"/>
          <w:i w:val="0"/>
          <w:rtl w:val="1"/>
        </w:rPr>
        <w:t>يثبت المسح وجود مؤسسات وبرامج بحثية متخصصة مباشرة في اليُتم والرعاية البديلة، فضلًا عن شبكات معرفية ووحدات بحث داخل منظمات الرعاية، ومجلات محكّمة تنشر أبحاثًا في هذا الحقل. وعليه، فالفكرة المطروحة لمركز دراسات وأبحاث الأيتام ليست «أول مركز عالمي» في المجال؛ بل مشروع يحتاج إلى موضع تخصصي واضح يضيف للمعرفة الموجودة ويرتبط بإشكالات الواقع العربي والإسلامي.</w:t>
      </w:r>
    </w:p>
    <w:p>
      <w:pPr>
        <w:spacing w:after="100" w:line="324" w:lineRule="auto"/>
        <w:jc w:val="right"/>
        <w:bidi w:val="1"/>
      </w:pPr>
      <w:r>
        <w:rPr>
          <w:rFonts w:ascii="Noto Naskh Arabic" w:hAnsi="Noto Naskh Arabic" w:cs="Noto Naskh Arabic" w:eastAsia="Noto Naskh Arabic"/>
          <w:b w:val="0"/>
          <w:i w:val="0"/>
          <w:rtl w:val="1"/>
        </w:rPr>
        <w:t>رصدت الدراسة 33 حالة مؤسسية أو برنامجًا ذا صلة، موزعة عبر بيئات عربية وإسلامية ودولية. هذا العدد يشير إلى العينة المشمولة فقط، وليس إلى عدد المراكز الموجودة حول العالم. وتفاوتت الجهات المشمولة بين كراسٍ جامعية ومراكز بحث، وبرامج مشتركة، ومنصات مكتبية، وشبكات للشباب، ومؤسسات ذات أنشطة تقييم علمي.</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936"/>
      </w:tblGrid>
      <w:tr>
        <w:tc>
          <w:tcPr>
            <w:tcW w:type="dxa" w:w="9864"/>
            <w:shd w:fill="F5F0E5"/>
            <w:tcMar>
              <w:top w:w="150" w:type="dxa"/>
              <w:start w:w="210" w:type="dxa"/>
              <w:bottom w:w="150" w:type="dxa"/>
              <w:end w:w="210" w:type="dxa"/>
            </w:tcMar>
          </w:tcPr>
          <w:p>
            <w:pPr>
              <w:jc w:val="right"/>
              <w:bidi w:val="1"/>
            </w:pPr>
            <w:r>
              <w:rPr>
                <w:rFonts w:ascii="Noto Kufi Arabic" w:hAnsi="Noto Kufi Arabic" w:cs="Noto Kufi Arabic" w:eastAsia="Noto Kufi Arabic"/>
                <w:b/>
                <w:i w:val="0"/>
                <w:color w:val="0C3B30"/>
                <w:sz w:val="21"/>
                <w:rtl w:val="1"/>
              </w:rPr>
              <w:t>الاستنتاج التأسيسي</w:t>
            </w:r>
          </w:p>
          <w:p>
            <w:pPr>
              <w:jc w:val="right"/>
              <w:bidi w:val="1"/>
            </w:pPr>
            <w:r>
              <w:rPr>
                <w:rFonts w:ascii="Noto Naskh Arabic" w:hAnsi="Noto Naskh Arabic" w:cs="Noto Naskh Arabic" w:eastAsia="Noto Naskh Arabic"/>
                <w:b w:val="0"/>
                <w:i w:val="0"/>
                <w:color w:val="18352C"/>
                <w:sz w:val="20"/>
                <w:rtl w:val="1"/>
              </w:rPr>
              <w:t>الفرصة الأهم ليست تكرار خدمات الكفالة ولا نسخ منصة دراسات قائمة؛ بل بناء «مؤسسة أدلة وذاكرة وأثر» تربط مركز الدراسات بمكتبة محمد شندي الراوي، وببرنامج بحث تطبيقي متخصص، ومنظومة نشر تدريجية، وشراكات أكاديمية مستقلة.</w:t>
            </w:r>
          </w:p>
        </w:tc>
      </w:tr>
    </w:tbl>
    <w:p>
      <w:pPr>
        <w:spacing w:after="20"/>
      </w:pPr>
    </w:p>
    <w:p>
      <w:pPr>
        <w:pStyle w:val="Heading2"/>
        <w:spacing w:before="160" w:after="140"/>
        <w:jc w:val="right"/>
        <w:keepNext/>
        <w:bidi w:val="1"/>
      </w:pPr>
      <w:r>
        <w:rPr>
          <w:rFonts w:ascii="Noto Kufi Arabic" w:hAnsi="Noto Kufi Arabic" w:cs="Noto Kufi Arabic" w:eastAsia="Noto Kufi Arabic"/>
          <w:b/>
          <w:i w:val="0"/>
          <w:color w:val="B58A28"/>
          <w:sz w:val="24"/>
          <w:rtl w:val="1"/>
        </w:rPr>
        <w:t>النتائج الرئيسية</w:t>
      </w:r>
    </w:p>
    <w:p>
      <w:pPr>
        <w:spacing w:after="80" w:line="300" w:lineRule="auto"/>
        <w:jc w:val="right"/>
        <w:bidi w:val="1"/>
      </w:pPr>
      <w:r>
        <w:rPr>
          <w:rFonts w:ascii="Noto Naskh Arabic" w:hAnsi="Noto Naskh Arabic" w:cs="Noto Naskh Arabic" w:eastAsia="Noto Naskh Arabic"/>
          <w:b/>
          <w:i w:val="0"/>
          <w:color w:val="B58A28"/>
          <w:sz w:val="24"/>
          <w:rtl w:val="1"/>
        </w:rPr>
        <w:t xml:space="preserve">•  </w:t>
      </w:r>
      <w:r>
        <w:rPr>
          <w:rFonts w:ascii="Noto Naskh Arabic" w:hAnsi="Noto Naskh Arabic" w:cs="Noto Naskh Arabic" w:eastAsia="Noto Naskh Arabic"/>
          <w:b w:val="0"/>
          <w:i w:val="0"/>
          <w:rtl w:val="1"/>
        </w:rPr>
        <w:t>وجود نظائر مباشرة في السعودية وتركيا والولايات المتحدة وكندا والهند؛ وبالتالي لا يصح وصف المركز المقترح بأنه الأول عالميًا أو عربيًا.</w:t>
      </w:r>
    </w:p>
    <w:p>
      <w:pPr>
        <w:spacing w:after="80" w:line="300" w:lineRule="auto"/>
        <w:jc w:val="right"/>
        <w:bidi w:val="1"/>
      </w:pPr>
      <w:r>
        <w:rPr>
          <w:rFonts w:ascii="Noto Naskh Arabic" w:hAnsi="Noto Naskh Arabic" w:cs="Noto Naskh Arabic" w:eastAsia="Noto Naskh Arabic"/>
          <w:b/>
          <w:i w:val="0"/>
          <w:color w:val="B58A28"/>
          <w:sz w:val="24"/>
          <w:rtl w:val="1"/>
        </w:rPr>
        <w:t xml:space="preserve">•  </w:t>
      </w:r>
      <w:r>
        <w:rPr>
          <w:rFonts w:ascii="Noto Naskh Arabic" w:hAnsi="Noto Naskh Arabic" w:cs="Noto Naskh Arabic" w:eastAsia="Noto Naskh Arabic"/>
          <w:b w:val="0"/>
          <w:i w:val="0"/>
          <w:rtl w:val="1"/>
        </w:rPr>
        <w:t>الأدبيات الدولية توسع النطاق إلى الأطفال فاقدي الرعاية الوالدية أو المعرضين لفقدانها دون إسقاط صفة اليتم على كل حالة.</w:t>
      </w:r>
    </w:p>
    <w:p>
      <w:pPr>
        <w:spacing w:after="80" w:line="300" w:lineRule="auto"/>
        <w:jc w:val="right"/>
        <w:bidi w:val="1"/>
      </w:pPr>
      <w:r>
        <w:rPr>
          <w:rFonts w:ascii="Noto Naskh Arabic" w:hAnsi="Noto Naskh Arabic" w:cs="Noto Naskh Arabic" w:eastAsia="Noto Naskh Arabic"/>
          <w:b/>
          <w:i w:val="0"/>
          <w:color w:val="B58A28"/>
          <w:sz w:val="24"/>
          <w:rtl w:val="1"/>
        </w:rPr>
        <w:t xml:space="preserve">•  </w:t>
      </w:r>
      <w:r>
        <w:rPr>
          <w:rFonts w:ascii="Noto Naskh Arabic" w:hAnsi="Noto Naskh Arabic" w:cs="Noto Naskh Arabic" w:eastAsia="Noto Naskh Arabic"/>
          <w:b w:val="0"/>
          <w:i w:val="0"/>
          <w:rtl w:val="1"/>
        </w:rPr>
        <w:t>قيمة المراكز الأكثر نضجًا تظهر في صلتها المباشرة بالسياسات والتدريب وتحسين المؤسسات، لا بمجرد عدد الملفات المنشورة.</w:t>
      </w:r>
    </w:p>
    <w:p>
      <w:pPr>
        <w:spacing w:after="80" w:line="300" w:lineRule="auto"/>
        <w:jc w:val="right"/>
        <w:bidi w:val="1"/>
      </w:pPr>
      <w:r>
        <w:rPr>
          <w:rFonts w:ascii="Noto Naskh Arabic" w:hAnsi="Noto Naskh Arabic" w:cs="Noto Naskh Arabic" w:eastAsia="Noto Naskh Arabic"/>
          <w:b/>
          <w:i w:val="0"/>
          <w:color w:val="B58A28"/>
          <w:sz w:val="24"/>
          <w:rtl w:val="1"/>
        </w:rPr>
        <w:t xml:space="preserve">•  </w:t>
      </w:r>
      <w:r>
        <w:rPr>
          <w:rFonts w:ascii="Noto Naskh Arabic" w:hAnsi="Noto Naskh Arabic" w:cs="Noto Naskh Arabic" w:eastAsia="Noto Naskh Arabic"/>
          <w:b w:val="0"/>
          <w:i w:val="0"/>
          <w:rtl w:val="1"/>
        </w:rPr>
        <w:t>هناك أمثلة لمكتبات معرفة متخصصة ومجلات علمية قائمة؛ لذا يجب أن تُبنى المكتبة والمجلة في مشروعنا على ميزة واضحة ومعايير تحرير وفهرسة.</w:t>
      </w:r>
    </w:p>
    <w:p>
      <w:pPr>
        <w:spacing w:after="80" w:line="300" w:lineRule="auto"/>
        <w:jc w:val="right"/>
        <w:bidi w:val="1"/>
      </w:pPr>
      <w:r>
        <w:rPr>
          <w:rFonts w:ascii="Noto Naskh Arabic" w:hAnsi="Noto Naskh Arabic" w:cs="Noto Naskh Arabic" w:eastAsia="Noto Naskh Arabic"/>
          <w:b/>
          <w:i w:val="0"/>
          <w:color w:val="B58A28"/>
          <w:sz w:val="24"/>
          <w:rtl w:val="1"/>
        </w:rPr>
        <w:t xml:space="preserve">•  </w:t>
      </w:r>
      <w:r>
        <w:rPr>
          <w:rFonts w:ascii="Noto Naskh Arabic" w:hAnsi="Noto Naskh Arabic" w:cs="Noto Naskh Arabic" w:eastAsia="Noto Naskh Arabic"/>
          <w:b w:val="0"/>
          <w:i w:val="0"/>
          <w:rtl w:val="1"/>
        </w:rPr>
        <w:t>الفجوة التي تصلح للتخصص العربي الإسلامي: الجمع بين التأصيل الشرعي والقانوني، والبحوث التطبيقية، ودراسة الأزمات، وتوثيق تاريخ القطاع وإتاحة بيانات مجمعة مأمونة.</w:t>
      </w:r>
    </w:p>
    <w:p>
      <w:pPr>
        <w:pStyle w:val="Heading2"/>
        <w:spacing w:before="160" w:after="140"/>
        <w:jc w:val="right"/>
        <w:keepNext/>
        <w:bidi w:val="1"/>
      </w:pPr>
      <w:r>
        <w:rPr>
          <w:rFonts w:ascii="Noto Kufi Arabic" w:hAnsi="Noto Kufi Arabic" w:cs="Noto Kufi Arabic" w:eastAsia="Noto Kufi Arabic"/>
          <w:b/>
          <w:i w:val="0"/>
          <w:color w:val="B58A28"/>
          <w:sz w:val="24"/>
          <w:rtl w:val="1"/>
        </w:rPr>
        <w:t>قواعد القراءة الصحيحة للأرقام</w:t>
      </w:r>
    </w:p>
    <w:p>
      <w:pPr>
        <w:spacing w:after="100" w:line="324" w:lineRule="auto"/>
        <w:jc w:val="right"/>
        <w:bidi w:val="1"/>
      </w:pPr>
      <w:r>
        <w:rPr>
          <w:rFonts w:ascii="Noto Naskh Arabic" w:hAnsi="Noto Naskh Arabic" w:cs="Noto Naskh Arabic" w:eastAsia="Noto Naskh Arabic"/>
          <w:b w:val="0"/>
          <w:i w:val="0"/>
          <w:rtl w:val="1"/>
        </w:rPr>
        <w:t>الأرقام الواردة داخل ملفات الجهات تخص سنة المصدر وغرضه فقط. على سبيل المثال، رقم محتويات «ويكي يتيم» المدرج في تقرير اتحاد رعاية الأيتام لعام 2023 هو لقطة تاريخية من ذلك العام، ولا يستخدم باعتباره حجم المنصة في 2026. كذلك لا يمكن مقارنة أعداد أطفال فقدوا أحد الوالدين بأعداد الأطفال في الرعاية الإيوائية؛ فهما مجموعتان غير مترادفتين.</w:t>
      </w:r>
    </w:p>
    <w:p>
      <w:pPr>
        <w:pStyle w:val="Heading1"/>
        <w:spacing w:before="240" w:after="140"/>
        <w:jc w:val="right"/>
        <w:keepNext/>
        <w:bidi w:val="1"/>
      </w:pPr>
      <w:r>
        <w:rPr>
          <w:rFonts w:ascii="Noto Kufi Arabic" w:hAnsi="Noto Kufi Arabic" w:cs="Noto Kufi Arabic" w:eastAsia="Noto Kufi Arabic"/>
          <w:b/>
          <w:i w:val="0"/>
          <w:color w:val="0C3B30"/>
          <w:sz w:val="32"/>
          <w:rtl w:val="1"/>
        </w:rPr>
        <w:t>02 | المنهجية وضوابط التصنيف</w:t>
      </w:r>
    </w:p>
    <w:p>
      <w:pPr>
        <w:pStyle w:val="Heading2"/>
        <w:spacing w:before="160" w:after="140"/>
        <w:jc w:val="right"/>
        <w:keepNext/>
        <w:bidi w:val="1"/>
      </w:pPr>
      <w:r>
        <w:rPr>
          <w:rFonts w:ascii="Noto Kufi Arabic" w:hAnsi="Noto Kufi Arabic" w:cs="Noto Kufi Arabic" w:eastAsia="Noto Kufi Arabic"/>
          <w:b/>
          <w:i w:val="0"/>
          <w:color w:val="B58A28"/>
          <w:sz w:val="24"/>
          <w:rtl w:val="1"/>
        </w:rPr>
        <w:t>سؤال البحث</w:t>
      </w:r>
    </w:p>
    <w:p>
      <w:pPr>
        <w:spacing w:after="100" w:line="324" w:lineRule="auto"/>
        <w:jc w:val="right"/>
        <w:bidi w:val="1"/>
      </w:pPr>
      <w:r>
        <w:rPr>
          <w:rFonts w:ascii="Noto Naskh Arabic" w:hAnsi="Noto Naskh Arabic" w:cs="Noto Naskh Arabic" w:eastAsia="Noto Naskh Arabic"/>
          <w:b w:val="0"/>
          <w:i w:val="0"/>
          <w:rtl w:val="1"/>
        </w:rPr>
        <w:t>ما المؤسسات والوحدات والبرامج التي تنتج معرفة منهجية تتعلق بالأيتام أو بالأطفال المحرومين من الرعاية الوالدية؟ وما أنماط حوكمتها ومخرجاتها؟ وأي العناصر يمكن اقتباسها - مع التكييف المحلي - لتطوير مشروع مركز دراسات وأبحاث الأيتام ومكتبة محمد شندي الراوي؟</w:t>
      </w:r>
    </w:p>
    <w:p>
      <w:pPr>
        <w:pStyle w:val="Heading2"/>
        <w:spacing w:before="160" w:after="140"/>
        <w:jc w:val="right"/>
        <w:keepNext/>
        <w:bidi w:val="1"/>
      </w:pPr>
      <w:r>
        <w:rPr>
          <w:rFonts w:ascii="Noto Kufi Arabic" w:hAnsi="Noto Kufi Arabic" w:cs="Noto Kufi Arabic" w:eastAsia="Noto Kufi Arabic"/>
          <w:b/>
          <w:i w:val="0"/>
          <w:color w:val="B58A28"/>
          <w:sz w:val="24"/>
          <w:rtl w:val="1"/>
        </w:rPr>
        <w:t>حدود النطاق والإدراج</w:t>
      </w:r>
    </w:p>
    <w:p>
      <w:pPr>
        <w:spacing w:after="80" w:line="300" w:lineRule="auto"/>
        <w:jc w:val="right"/>
        <w:bidi w:val="1"/>
      </w:pPr>
      <w:r>
        <w:rPr>
          <w:rFonts w:ascii="Noto Naskh Arabic" w:hAnsi="Noto Naskh Arabic" w:cs="Noto Naskh Arabic" w:eastAsia="Noto Naskh Arabic"/>
          <w:b/>
          <w:i w:val="0"/>
          <w:color w:val="B58A28"/>
          <w:sz w:val="24"/>
          <w:rtl w:val="1"/>
        </w:rPr>
        <w:t xml:space="preserve">•  </w:t>
      </w:r>
      <w:r>
        <w:rPr>
          <w:rFonts w:ascii="Noto Naskh Arabic" w:hAnsi="Noto Naskh Arabic" w:cs="Noto Naskh Arabic" w:eastAsia="Noto Naskh Arabic"/>
          <w:b w:val="0"/>
          <w:i w:val="0"/>
          <w:rtl w:val="1"/>
        </w:rPr>
        <w:t>الفترة: المراجعة المكتبية للمواقع والإصدارات المتاحة علنًا حتى 19 أكتوبر 2026، من دون ادعاء فحص كل الأنشطة أو الأرشيفات غير المنشورة.</w:t>
      </w:r>
    </w:p>
    <w:p>
      <w:pPr>
        <w:spacing w:after="80" w:line="300" w:lineRule="auto"/>
        <w:jc w:val="right"/>
        <w:bidi w:val="1"/>
      </w:pPr>
      <w:r>
        <w:rPr>
          <w:rFonts w:ascii="Noto Naskh Arabic" w:hAnsi="Noto Naskh Arabic" w:cs="Noto Naskh Arabic" w:eastAsia="Noto Naskh Arabic"/>
          <w:b/>
          <w:i w:val="0"/>
          <w:color w:val="B58A28"/>
          <w:sz w:val="24"/>
          <w:rtl w:val="1"/>
        </w:rPr>
        <w:t xml:space="preserve">•  </w:t>
      </w:r>
      <w:r>
        <w:rPr>
          <w:rFonts w:ascii="Noto Naskh Arabic" w:hAnsi="Noto Naskh Arabic" w:cs="Noto Naskh Arabic" w:eastAsia="Noto Naskh Arabic"/>
          <w:b w:val="0"/>
          <w:i w:val="0"/>
          <w:rtl w:val="1"/>
        </w:rPr>
        <w:t>الإدراج: جهة تملك صفحة مؤسسية أو إصدارًا موثقًا له صلة بالدراسات أو التقييم أو المعرفة الموجهة للسياسات والرعاية.</w:t>
      </w:r>
    </w:p>
    <w:p>
      <w:pPr>
        <w:spacing w:after="80" w:line="300" w:lineRule="auto"/>
        <w:jc w:val="right"/>
        <w:bidi w:val="1"/>
      </w:pPr>
      <w:r>
        <w:rPr>
          <w:rFonts w:ascii="Noto Naskh Arabic" w:hAnsi="Noto Naskh Arabic" w:cs="Noto Naskh Arabic" w:eastAsia="Noto Naskh Arabic"/>
          <w:b/>
          <w:i w:val="0"/>
          <w:color w:val="B58A28"/>
          <w:sz w:val="24"/>
          <w:rtl w:val="1"/>
        </w:rPr>
        <w:t xml:space="preserve">•  </w:t>
      </w:r>
      <w:r>
        <w:rPr>
          <w:rFonts w:ascii="Noto Naskh Arabic" w:hAnsi="Noto Naskh Arabic" w:cs="Noto Naskh Arabic" w:eastAsia="Noto Naskh Arabic"/>
          <w:b w:val="0"/>
          <w:i w:val="0"/>
          <w:rtl w:val="1"/>
        </w:rPr>
        <w:t>الاستبعاد النسبي: الجهات التي تقدم كفالات فحسب بلا قرينة عامة على إنتاج معرفة أو تقييم أو مشاركة بحثية؛ مع ذكر بعضها فقط كحالات تعلم تنموية مرتبطة بالمجال.</w:t>
      </w:r>
    </w:p>
    <w:p>
      <w:pPr>
        <w:spacing w:after="80" w:line="300" w:lineRule="auto"/>
        <w:jc w:val="right"/>
        <w:bidi w:val="1"/>
      </w:pPr>
      <w:r>
        <w:rPr>
          <w:rFonts w:ascii="Noto Naskh Arabic" w:hAnsi="Noto Naskh Arabic" w:cs="Noto Naskh Arabic" w:eastAsia="Noto Naskh Arabic"/>
          <w:b/>
          <w:i w:val="0"/>
          <w:color w:val="B58A28"/>
          <w:sz w:val="24"/>
          <w:rtl w:val="1"/>
        </w:rPr>
        <w:t xml:space="preserve">•  </w:t>
      </w:r>
      <w:r>
        <w:rPr>
          <w:rFonts w:ascii="Noto Naskh Arabic" w:hAnsi="Noto Naskh Arabic" w:cs="Noto Naskh Arabic" w:eastAsia="Noto Naskh Arabic"/>
          <w:b w:val="0"/>
          <w:i w:val="0"/>
          <w:rtl w:val="1"/>
        </w:rPr>
        <w:t>التوثيق: الروابط الرسمية للمؤسسات والجامعات والناشرين، والمصادر الأكاديمية والأممية، مع أرقام إحالة [R01] ونحوها إلى المراجع المفصلة.</w:t>
      </w:r>
    </w:p>
    <w:p>
      <w:pPr>
        <w:spacing w:after="80" w:line="300" w:lineRule="auto"/>
        <w:jc w:val="right"/>
        <w:bidi w:val="1"/>
      </w:pPr>
      <w:r>
        <w:rPr>
          <w:rFonts w:ascii="Noto Naskh Arabic" w:hAnsi="Noto Naskh Arabic" w:cs="Noto Naskh Arabic" w:eastAsia="Noto Naskh Arabic"/>
          <w:b/>
          <w:i w:val="0"/>
          <w:color w:val="B58A28"/>
          <w:sz w:val="24"/>
          <w:rtl w:val="1"/>
        </w:rPr>
        <w:t xml:space="preserve">•  </w:t>
      </w:r>
      <w:r>
        <w:rPr>
          <w:rFonts w:ascii="Noto Naskh Arabic" w:hAnsi="Noto Naskh Arabic" w:cs="Noto Naskh Arabic" w:eastAsia="Noto Naskh Arabic"/>
          <w:b w:val="0"/>
          <w:i w:val="0"/>
          <w:rtl w:val="1"/>
        </w:rPr>
        <w:t>القيود: يعتمد وصف العديد من الجهات على معلوماتها المعلنة؛ لا يعني وجود رابط تحققًا مستقلًا من التمويل أو الوضع القانوني أو جودة كل دراسة.</w:t>
      </w:r>
    </w:p>
    <w:p>
      <w:pPr>
        <w:pStyle w:val="Heading2"/>
        <w:spacing w:before="160" w:after="140"/>
        <w:jc w:val="right"/>
        <w:keepNext/>
        <w:bidi w:val="1"/>
      </w:pPr>
      <w:r>
        <w:rPr>
          <w:rFonts w:ascii="Noto Kufi Arabic" w:hAnsi="Noto Kufi Arabic" w:cs="Noto Kufi Arabic" w:eastAsia="Noto Kufi Arabic"/>
          <w:b/>
          <w:i w:val="0"/>
          <w:color w:val="B58A28"/>
          <w:sz w:val="24"/>
          <w:rtl w:val="1"/>
        </w:rPr>
        <w:t>طبقات الصلة البحثية</w:t>
      </w:r>
    </w:p>
    <w:tbl>
      <w:tblPr>
        <w:tblW w:type="auto" w:w="0"/>
        <w:jc w:val="center"/>
        <w:tblLayout w:type="fixed"/>
        <w:tblLook w:firstColumn="1" w:firstRow="1" w:lastColumn="0" w:lastRow="0" w:noHBand="0" w:noVBand="1" w:val="04A0"/>
        <w:bidiVisual/>
        <w:tblBorders>
          <w:top w:val="nil"/>
          <w:left w:val="nil"/>
          <w:bottom w:val="nil"/>
          <w:right w:val="nil"/>
          <w:insideH w:val="nil"/>
          <w:insideV w:val="nil"/>
        </w:tblBorders>
      </w:tblPr>
      <w:tblGrid>
        <w:gridCol w:w="1656"/>
        <w:gridCol w:w="4968"/>
        <w:gridCol w:w="3168"/>
      </w:tblGrid>
      <w:tr>
        <w:trPr>
          <w:tblHeader w:val="true"/>
        </w:trPr>
        <w:tc>
          <w:tcPr>
            <w:tcW w:type="dxa" w:w="1656"/>
            <w:vAlign w:val="center"/>
            <w:tcMar>
              <w:top w:w="100" w:type="dxa"/>
              <w:start w:w="120" w:type="dxa"/>
              <w:bottom w:w="100" w:type="dxa"/>
              <w:end w:w="120" w:type="dxa"/>
            </w:tcMar>
            <w:shd w:fill="0C3B30"/>
          </w:tcPr>
          <w:p>
            <w:pPr>
              <w:jc w:val="right"/>
              <w:bidi w:val="1"/>
            </w:pPr>
            <w:r>
              <w:rPr>
                <w:rFonts w:ascii="Noto Kufi Arabic" w:hAnsi="Noto Kufi Arabic" w:cs="Noto Kufi Arabic" w:eastAsia="Noto Kufi Arabic"/>
                <w:b/>
                <w:i w:val="0"/>
                <w:color w:val="FFFFFF"/>
                <w:sz w:val="18"/>
                <w:rtl w:val="1"/>
              </w:rPr>
              <w:t>الفئة</w:t>
            </w:r>
          </w:p>
        </w:tc>
        <w:tc>
          <w:tcPr>
            <w:tcW w:type="dxa" w:w="4968"/>
            <w:vAlign w:val="center"/>
            <w:tcMar>
              <w:top w:w="100" w:type="dxa"/>
              <w:start w:w="120" w:type="dxa"/>
              <w:bottom w:w="100" w:type="dxa"/>
              <w:end w:w="120" w:type="dxa"/>
            </w:tcMar>
            <w:shd w:fill="0C3B30"/>
          </w:tcPr>
          <w:p>
            <w:pPr>
              <w:jc w:val="right"/>
              <w:bidi w:val="1"/>
            </w:pPr>
            <w:r>
              <w:rPr>
                <w:rFonts w:ascii="Noto Kufi Arabic" w:hAnsi="Noto Kufi Arabic" w:cs="Noto Kufi Arabic" w:eastAsia="Noto Kufi Arabic"/>
                <w:b/>
                <w:i w:val="0"/>
                <w:color w:val="FFFFFF"/>
                <w:sz w:val="18"/>
                <w:rtl w:val="1"/>
              </w:rPr>
              <w:t>تعريف عملي</w:t>
            </w:r>
          </w:p>
        </w:tc>
        <w:tc>
          <w:tcPr>
            <w:tcW w:type="dxa" w:w="3168"/>
            <w:vAlign w:val="center"/>
            <w:tcMar>
              <w:top w:w="100" w:type="dxa"/>
              <w:start w:w="120" w:type="dxa"/>
              <w:bottom w:w="100" w:type="dxa"/>
              <w:end w:w="120" w:type="dxa"/>
            </w:tcMar>
            <w:shd w:fill="0C3B30"/>
          </w:tcPr>
          <w:p>
            <w:pPr>
              <w:jc w:val="right"/>
              <w:bidi w:val="1"/>
            </w:pPr>
            <w:r>
              <w:rPr>
                <w:rFonts w:ascii="Noto Kufi Arabic" w:hAnsi="Noto Kufi Arabic" w:cs="Noto Kufi Arabic" w:eastAsia="Noto Kufi Arabic"/>
                <w:b/>
                <w:i w:val="0"/>
                <w:color w:val="FFFFFF"/>
                <w:sz w:val="18"/>
                <w:rtl w:val="1"/>
              </w:rPr>
              <w:t>مثال</w:t>
            </w:r>
          </w:p>
        </w:tc>
      </w:tr>
      <w:tr>
        <w:tc>
          <w:tcPr>
            <w:tcW w:type="dxa" w:w="1656"/>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أ | ارتباط مباشر</w:t>
            </w:r>
          </w:p>
        </w:tc>
        <w:tc>
          <w:tcPr>
            <w:tcW w:type="dxa" w:w="4968"/>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اليتم أو الرعاية البديلة محور أساسي معلن في البرنامج البحثي أو المركز.</w:t>
            </w:r>
          </w:p>
        </w:tc>
        <w:tc>
          <w:tcPr>
            <w:tcW w:type="dxa" w:w="3168"/>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كرسي أم القرى، CAFO، D³</w:t>
            </w:r>
          </w:p>
        </w:tc>
      </w:tr>
      <w:tr>
        <w:tc>
          <w:tcPr>
            <w:tcW w:type="dxa" w:w="1656"/>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ب | ارتباط جوهري مجاور</w:t>
            </w:r>
          </w:p>
        </w:tc>
        <w:tc>
          <w:tcPr>
            <w:tcW w:type="dxa" w:w="4968"/>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بحث منتظم في حماية الطفل أو الرعاية الأسرية مع اختصاص أوسع.</w:t>
            </w:r>
          </w:p>
        </w:tc>
        <w:tc>
          <w:tcPr>
            <w:tcW w:type="dxa" w:w="3168"/>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Rees، UNICEF Innocenti، RELAF</w:t>
            </w:r>
          </w:p>
        </w:tc>
      </w:tr>
      <w:tr>
        <w:tc>
          <w:tcPr>
            <w:tcW w:type="dxa" w:w="1656"/>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ج | نموذج تعلم خدمي</w:t>
            </w:r>
          </w:p>
        </w:tc>
        <w:tc>
          <w:tcPr>
            <w:tcW w:type="dxa" w:w="4968"/>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جهة رعاية/تمكين مع دروس مفيدة للبحث، دون وصفها معهدًا بحثيًا.</w:t>
            </w:r>
          </w:p>
        </w:tc>
        <w:tc>
          <w:tcPr>
            <w:tcW w:type="dxa" w:w="3168"/>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صندوق الأمان، CREATE</w:t>
            </w:r>
          </w:p>
        </w:tc>
      </w:tr>
    </w:tbl>
    <w:p>
      <w:pPr>
        <w:spacing w:after="0"/>
      </w:pPr>
    </w:p>
    <w:p>
      <w:pPr>
        <w:spacing w:after="100" w:line="324" w:lineRule="auto"/>
        <w:jc w:val="right"/>
        <w:bidi w:val="1"/>
      </w:pPr>
      <w:r>
        <w:rPr>
          <w:rFonts w:ascii="Noto Naskh Arabic" w:hAnsi="Noto Naskh Arabic" w:cs="Noto Naskh Arabic" w:eastAsia="Noto Naskh Arabic"/>
          <w:b w:val="0"/>
          <w:i w:val="0"/>
          <w:rtl w:val="1"/>
        </w:rPr>
        <w:t>هذه الطبقات تصنيف تحليلي لملاءمة المقارنة، وليست ترتيبًا لجودة الجهات أو تقييمًا معتمدًا لأثرها، كما أن الرموز A/B/C تعبر عن قرب الاختصاص فقط.</w:t>
      </w:r>
    </w:p>
    <w:p>
      <w:pPr>
        <w:pStyle w:val="Heading2"/>
        <w:spacing w:before="160" w:after="140"/>
        <w:jc w:val="right"/>
        <w:keepNext/>
        <w:bidi w:val="1"/>
      </w:pPr>
      <w:r>
        <w:rPr>
          <w:rFonts w:ascii="Noto Kufi Arabic" w:hAnsi="Noto Kufi Arabic" w:cs="Noto Kufi Arabic" w:eastAsia="Noto Kufi Arabic"/>
          <w:b/>
          <w:i w:val="0"/>
          <w:color w:val="B58A28"/>
          <w:sz w:val="24"/>
          <w:rtl w:val="1"/>
        </w:rPr>
        <w:t>أخلاقيات المصطلحات وحماية الأطفال</w:t>
      </w:r>
    </w:p>
    <w:p>
      <w:pPr>
        <w:spacing w:after="100" w:line="324" w:lineRule="auto"/>
        <w:jc w:val="right"/>
        <w:bidi w:val="1"/>
      </w:pPr>
      <w:r>
        <w:rPr>
          <w:rFonts w:ascii="Noto Naskh Arabic" w:hAnsi="Noto Naskh Arabic" w:cs="Noto Naskh Arabic" w:eastAsia="Noto Naskh Arabic"/>
          <w:b w:val="0"/>
          <w:i w:val="0"/>
          <w:rtl w:val="1"/>
        </w:rPr>
        <w:t>الأطفال مجهولو الوالدين أو النسب، وأبناء الأسر التي يغيب عنها أحد الوالدين فعليًا، وأطفال الشارع، والأطفال المنفصلون عن أسرهم بسبب النزاع، كلهم فئات تتقاطع مع منظومات الرعاية والحماية؛ لكنهم ليسوا جميعًا «أيتامًا» في المعنى الفقهي أو الإحصائي. تعتمد المقارنة إطار المبادئ التوجيهية للأمم المتحدة للرعاية البديلة للأطفال A/RES/64/142، مع ضرورة التكييف الشرعي والقانوني المحلي. [R40]</w:t>
      </w:r>
    </w:p>
    <w:p>
      <w:r>
        <w:br w:type="page"/>
      </w:r>
    </w:p>
    <w:p>
      <w:pPr>
        <w:pStyle w:val="Heading1"/>
        <w:spacing w:before="240" w:after="140"/>
        <w:jc w:val="right"/>
        <w:keepNext/>
        <w:bidi w:val="1"/>
      </w:pPr>
      <w:r>
        <w:rPr>
          <w:rFonts w:ascii="Noto Kufi Arabic" w:hAnsi="Noto Kufi Arabic" w:cs="Noto Kufi Arabic" w:eastAsia="Noto Kufi Arabic"/>
          <w:b/>
          <w:i w:val="0"/>
          <w:color w:val="0C3B30"/>
          <w:sz w:val="32"/>
          <w:rtl w:val="1"/>
        </w:rPr>
        <w:t>03 | العالم العربي والإسلامي</w:t>
      </w:r>
    </w:p>
    <w:p>
      <w:pPr>
        <w:spacing w:after="100" w:line="324" w:lineRule="auto"/>
        <w:jc w:val="right"/>
        <w:bidi w:val="1"/>
      </w:pPr>
      <w:r>
        <w:rPr>
          <w:rFonts w:ascii="Noto Naskh Arabic" w:hAnsi="Noto Naskh Arabic" w:cs="Noto Naskh Arabic" w:eastAsia="Noto Naskh Arabic"/>
          <w:b w:val="0"/>
          <w:i w:val="0"/>
          <w:rtl w:val="1"/>
        </w:rPr>
        <w:t>تتوزع الخبرة العربية والإسلامية بين كرسي جامعي بحثي، ومجلس قطاعي ومنصة معرفية، ووحدات تطبيقية لتحسين الرعاية، ودراسات أثر الكفالة، وتمكين الشباب. وتُظهر هذه البيئة قابلية الجمع بين المرجعية القيمية والبحث المتعدد التخصصات دون حصر النشاط في المعونات المالية.</w:t>
      </w:r>
    </w:p>
    <w:p>
      <w:pPr>
        <w:pStyle w:val="Heading2"/>
        <w:jc w:val="right"/>
        <w:keepNext/>
        <w:bidi w:val="1"/>
      </w:pPr>
      <w:r>
        <w:rPr>
          <w:rFonts w:ascii="Noto Kufi Arabic" w:hAnsi="Noto Kufi Arabic" w:cs="Noto Kufi Arabic" w:eastAsia="Noto Kufi Arabic"/>
          <w:b/>
          <w:i w:val="0"/>
          <w:color w:val="0C3B30"/>
          <w:sz w:val="24"/>
          <w:rtl w:val="1"/>
        </w:rPr>
        <w:t>01  |  كرسي الشيخ عبداللطيف العيسى لأبحاث الأيتام - جامعة أم القرى</w:t>
      </w:r>
    </w:p>
    <w:p>
      <w:pPr>
        <w:spacing w:after="60" w:line="324" w:lineRule="auto"/>
        <w:jc w:val="right"/>
        <w:bidi w:val="1"/>
      </w:pPr>
      <w:r>
        <w:rPr>
          <w:rFonts w:ascii="Noto Naskh Arabic" w:hAnsi="Noto Naskh Arabic" w:cs="Noto Naskh Arabic" w:eastAsia="Noto Naskh Arabic"/>
          <w:b w:val="0"/>
          <w:i w:val="0"/>
          <w:color w:val="66766F"/>
          <w:sz w:val="18"/>
          <w:rtl w:val="1"/>
        </w:rPr>
        <w:t>الدولة/النطاق: السعودية  •  التصنيف: مركز/كرسي مباشر  •  الصلة: A</w:t>
      </w:r>
    </w:p>
    <w:p>
      <w:pPr>
        <w:spacing w:after="80" w:line="324" w:lineRule="auto"/>
        <w:jc w:val="right"/>
        <w:bidi w:val="1"/>
      </w:pPr>
      <w:r>
        <w:rPr>
          <w:rFonts w:ascii="Noto Naskh Arabic" w:hAnsi="Noto Naskh Arabic" w:cs="Noto Naskh Arabic" w:eastAsia="Noto Naskh Arabic"/>
          <w:b w:val="0"/>
          <w:i w:val="0"/>
          <w:rtl w:val="1"/>
        </w:rPr>
        <w:t>طبيعة العمل: كرسي جامعي أعلن بدءه عام 2019 لخدمة البحث والتدريب في قضايا رعاية الأيتام.</w:t>
      </w:r>
    </w:p>
    <w:p>
      <w:pPr>
        <w:spacing w:after="80" w:line="324" w:lineRule="auto"/>
        <w:jc w:val="right"/>
        <w:bidi w:val="1"/>
      </w:pPr>
      <w:r>
        <w:rPr>
          <w:rFonts w:ascii="Noto Naskh Arabic" w:hAnsi="Noto Naskh Arabic" w:cs="Noto Naskh Arabic" w:eastAsia="Noto Naskh Arabic"/>
          <w:b w:val="0"/>
          <w:i w:val="0"/>
          <w:rtl w:val="1"/>
        </w:rPr>
        <w:t>المخرجات الموثقة: أدلة شرعية وأخلاقية، بحوث واقع الخدمة واحتياجات الجمعيات، دعم دراسات عليا.</w:t>
      </w:r>
    </w:p>
    <w:p>
      <w:pPr>
        <w:spacing w:after="80" w:line="324" w:lineRule="auto"/>
        <w:jc w:val="right"/>
        <w:bidi w:val="1"/>
      </w:pPr>
      <w:r>
        <w:rPr>
          <w:rFonts w:ascii="Noto Naskh Arabic" w:hAnsi="Noto Naskh Arabic" w:cs="Noto Naskh Arabic" w:eastAsia="Noto Naskh Arabic"/>
          <w:b w:val="0"/>
          <w:i w:val="0"/>
          <w:rtl w:val="1"/>
        </w:rPr>
        <w:t>الدرس التطبيقي: بناء شراكة أكاديمية ومعايير مراجعة شرعية ومنهجية.</w:t>
      </w:r>
    </w:p>
    <w:p>
      <w:pPr>
        <w:spacing w:after="180" w:line="324" w:lineRule="auto"/>
        <w:jc w:val="right"/>
        <w:bidi w:val="1"/>
      </w:pPr>
      <w:r>
        <w:rPr>
          <w:rFonts w:ascii="Noto Naskh Arabic" w:hAnsi="Noto Naskh Arabic" w:cs="Noto Naskh Arabic" w:eastAsia="Noto Naskh Arabic"/>
          <w:b w:val="0"/>
          <w:i w:val="0"/>
          <w:color w:val="66766F"/>
          <w:sz w:val="18"/>
          <w:rtl w:val="1"/>
        </w:rPr>
        <w:t>ضابط المقارنة: كرسي ضمن جامعة لا مؤسسة مستقلة عامة.   [R01] [R02]</w:t>
      </w:r>
    </w:p>
    <w:p>
      <w:pPr>
        <w:pStyle w:val="Heading2"/>
        <w:jc w:val="right"/>
        <w:keepNext/>
        <w:bidi w:val="1"/>
      </w:pPr>
      <w:r>
        <w:rPr>
          <w:rFonts w:ascii="Noto Kufi Arabic" w:hAnsi="Noto Kufi Arabic" w:cs="Noto Kufi Arabic" w:eastAsia="Noto Kufi Arabic"/>
          <w:b/>
          <w:i w:val="0"/>
          <w:color w:val="0C3B30"/>
          <w:sz w:val="24"/>
          <w:rtl w:val="1"/>
        </w:rPr>
        <w:t>02  |  المجلس التخصصي لجمعيات الأيتام</w:t>
      </w:r>
    </w:p>
    <w:p>
      <w:pPr>
        <w:spacing w:after="60" w:line="324" w:lineRule="auto"/>
        <w:jc w:val="right"/>
        <w:bidi w:val="1"/>
      </w:pPr>
      <w:r>
        <w:rPr>
          <w:rFonts w:ascii="Noto Naskh Arabic" w:hAnsi="Noto Naskh Arabic" w:cs="Noto Naskh Arabic" w:eastAsia="Noto Naskh Arabic"/>
          <w:b w:val="0"/>
          <w:i w:val="0"/>
          <w:color w:val="66766F"/>
          <w:sz w:val="18"/>
          <w:rtl w:val="1"/>
        </w:rPr>
        <w:t>الدولة/النطاق: السعودية  •  التصنيف: منظومة قطاعية  •  الصلة: B</w:t>
      </w:r>
    </w:p>
    <w:p>
      <w:pPr>
        <w:spacing w:after="80" w:line="324" w:lineRule="auto"/>
        <w:jc w:val="right"/>
        <w:bidi w:val="1"/>
      </w:pPr>
      <w:r>
        <w:rPr>
          <w:rFonts w:ascii="Noto Naskh Arabic" w:hAnsi="Noto Naskh Arabic" w:cs="Noto Naskh Arabic" w:eastAsia="Noto Naskh Arabic"/>
          <w:b w:val="0"/>
          <w:i w:val="0"/>
          <w:rtl w:val="1"/>
        </w:rPr>
        <w:t>طبيعة العمل: هيئة تنسيقية لتمكين الجمعيات تتضمن البحوث والدراسات وتبادل المعرفة ضمن منتجاتها.</w:t>
      </w:r>
    </w:p>
    <w:p>
      <w:pPr>
        <w:spacing w:after="80" w:line="324" w:lineRule="auto"/>
        <w:jc w:val="right"/>
        <w:bidi w:val="1"/>
      </w:pPr>
      <w:r>
        <w:rPr>
          <w:rFonts w:ascii="Noto Naskh Arabic" w:hAnsi="Noto Naskh Arabic" w:cs="Noto Naskh Arabic" w:eastAsia="Noto Naskh Arabic"/>
          <w:b w:val="0"/>
          <w:i w:val="0"/>
          <w:rtl w:val="1"/>
        </w:rPr>
        <w:t>المخرجات الموثقة: دراسات ومسوحات قطاعية، برامج تمكين مؤسسي، تنسيق وتطوير بيانات.</w:t>
      </w:r>
    </w:p>
    <w:p>
      <w:pPr>
        <w:spacing w:after="80" w:line="324" w:lineRule="auto"/>
        <w:jc w:val="right"/>
        <w:bidi w:val="1"/>
      </w:pPr>
      <w:r>
        <w:rPr>
          <w:rFonts w:ascii="Noto Naskh Arabic" w:hAnsi="Noto Naskh Arabic" w:cs="Noto Naskh Arabic" w:eastAsia="Noto Naskh Arabic"/>
          <w:b w:val="0"/>
          <w:i w:val="0"/>
          <w:rtl w:val="1"/>
        </w:rPr>
        <w:t>الدرس التطبيقي: تأسيس حلقة بين الدراسة والقطاع المهني والشبكات.</w:t>
      </w:r>
    </w:p>
    <w:p>
      <w:pPr>
        <w:spacing w:after="180" w:line="324" w:lineRule="auto"/>
        <w:jc w:val="right"/>
        <w:bidi w:val="1"/>
      </w:pPr>
      <w:r>
        <w:rPr>
          <w:rFonts w:ascii="Noto Naskh Arabic" w:hAnsi="Noto Naskh Arabic" w:cs="Noto Naskh Arabic" w:eastAsia="Noto Naskh Arabic"/>
          <w:b w:val="0"/>
          <w:i w:val="0"/>
          <w:color w:val="66766F"/>
          <w:sz w:val="18"/>
          <w:rtl w:val="1"/>
        </w:rPr>
        <w:t>ضابط المقارنة: ليس مركز أبحاث أكاديميًا مستقلًا.   [R03]</w:t>
      </w:r>
    </w:p>
    <w:p>
      <w:pPr>
        <w:pStyle w:val="Heading2"/>
        <w:jc w:val="right"/>
        <w:keepNext/>
        <w:bidi w:val="1"/>
      </w:pPr>
      <w:r>
        <w:rPr>
          <w:rFonts w:ascii="Noto Kufi Arabic" w:hAnsi="Noto Kufi Arabic" w:cs="Noto Kufi Arabic" w:eastAsia="Noto Kufi Arabic"/>
          <w:b/>
          <w:i w:val="0"/>
          <w:color w:val="0C3B30"/>
          <w:sz w:val="24"/>
          <w:rtl w:val="1"/>
        </w:rPr>
        <w:t>03  |  منصة أيتامنا المعرفية</w:t>
      </w:r>
    </w:p>
    <w:p>
      <w:pPr>
        <w:spacing w:after="60" w:line="324" w:lineRule="auto"/>
        <w:jc w:val="right"/>
        <w:bidi w:val="1"/>
      </w:pPr>
      <w:r>
        <w:rPr>
          <w:rFonts w:ascii="Noto Naskh Arabic" w:hAnsi="Noto Naskh Arabic" w:cs="Noto Naskh Arabic" w:eastAsia="Noto Naskh Arabic"/>
          <w:b w:val="0"/>
          <w:i w:val="0"/>
          <w:color w:val="66766F"/>
          <w:sz w:val="18"/>
          <w:rtl w:val="1"/>
        </w:rPr>
        <w:t>الدولة/النطاق: السعودية  •  التصنيف: مكتبة/منصة  •  الصلة: B</w:t>
      </w:r>
    </w:p>
    <w:p>
      <w:pPr>
        <w:spacing w:after="80" w:line="324" w:lineRule="auto"/>
        <w:jc w:val="right"/>
        <w:bidi w:val="1"/>
      </w:pPr>
      <w:r>
        <w:rPr>
          <w:rFonts w:ascii="Noto Naskh Arabic" w:hAnsi="Noto Naskh Arabic" w:cs="Noto Naskh Arabic" w:eastAsia="Noto Naskh Arabic"/>
          <w:b w:val="0"/>
          <w:i w:val="0"/>
          <w:rtl w:val="1"/>
        </w:rPr>
        <w:t>طبيعة العمل: منصة معرفية يربط إليها المجلس التخصصي لتيسير الوصول إلى المعرفة في قطاع الأيتام.</w:t>
      </w:r>
    </w:p>
    <w:p>
      <w:pPr>
        <w:spacing w:after="80" w:line="324" w:lineRule="auto"/>
        <w:jc w:val="right"/>
        <w:bidi w:val="1"/>
      </w:pPr>
      <w:r>
        <w:rPr>
          <w:rFonts w:ascii="Noto Naskh Arabic" w:hAnsi="Noto Naskh Arabic" w:cs="Noto Naskh Arabic" w:eastAsia="Noto Naskh Arabic"/>
          <w:b w:val="0"/>
          <w:i w:val="0"/>
          <w:rtl w:val="1"/>
        </w:rPr>
        <w:t>المخرجات الموثقة: بوابة موارد ودراسات ومعلومات قطاعية وفق تعريف المجلس.</w:t>
      </w:r>
    </w:p>
    <w:p>
      <w:pPr>
        <w:spacing w:after="80" w:line="324" w:lineRule="auto"/>
        <w:jc w:val="right"/>
        <w:bidi w:val="1"/>
      </w:pPr>
      <w:r>
        <w:rPr>
          <w:rFonts w:ascii="Noto Naskh Arabic" w:hAnsi="Noto Naskh Arabic" w:cs="Noto Naskh Arabic" w:eastAsia="Noto Naskh Arabic"/>
          <w:b w:val="0"/>
          <w:i w:val="0"/>
          <w:rtl w:val="1"/>
        </w:rPr>
        <w:t>الدرس التطبيقي: مواءمة الفهارس وتبادل الروابط بدل إعادة بناء محتوى موجود.</w:t>
      </w:r>
    </w:p>
    <w:p>
      <w:pPr>
        <w:spacing w:after="180" w:line="324" w:lineRule="auto"/>
        <w:jc w:val="right"/>
        <w:bidi w:val="1"/>
      </w:pPr>
      <w:r>
        <w:rPr>
          <w:rFonts w:ascii="Noto Naskh Arabic" w:hAnsi="Noto Naskh Arabic" w:cs="Noto Naskh Arabic" w:eastAsia="Noto Naskh Arabic"/>
          <w:b w:val="0"/>
          <w:i w:val="0"/>
          <w:color w:val="66766F"/>
          <w:sz w:val="18"/>
          <w:rtl w:val="1"/>
        </w:rPr>
        <w:t>ضابط المقارنة: تفاصيل المجموعات والانتظام تحتاج تحققًا منفصلًا.   [R03] [R46]</w:t>
      </w:r>
    </w:p>
    <w:p>
      <w:pPr>
        <w:pStyle w:val="Heading2"/>
        <w:jc w:val="right"/>
        <w:keepNext/>
        <w:bidi w:val="1"/>
      </w:pPr>
      <w:r>
        <w:rPr>
          <w:rFonts w:ascii="Noto Kufi Arabic" w:hAnsi="Noto Kufi Arabic" w:cs="Noto Kufi Arabic" w:eastAsia="Noto Kufi Arabic"/>
          <w:b/>
          <w:i w:val="0"/>
          <w:color w:val="0C3B30"/>
          <w:sz w:val="24"/>
          <w:rtl w:val="1"/>
        </w:rPr>
        <w:t>04  |  جمعية بناء لرعاية الأيتام</w:t>
      </w:r>
    </w:p>
    <w:p>
      <w:pPr>
        <w:spacing w:after="60" w:line="324" w:lineRule="auto"/>
        <w:jc w:val="right"/>
        <w:bidi w:val="1"/>
      </w:pPr>
      <w:r>
        <w:rPr>
          <w:rFonts w:ascii="Noto Naskh Arabic" w:hAnsi="Noto Naskh Arabic" w:cs="Noto Naskh Arabic" w:eastAsia="Noto Naskh Arabic"/>
          <w:b w:val="0"/>
          <w:i w:val="0"/>
          <w:color w:val="66766F"/>
          <w:sz w:val="18"/>
          <w:rtl w:val="1"/>
        </w:rPr>
        <w:t>الدولة/النطاق: السعودية  •  التصنيف: مؤسسة تطبيقية بحثية  •  الصلة: B</w:t>
      </w:r>
    </w:p>
    <w:p>
      <w:pPr>
        <w:spacing w:after="80" w:line="324" w:lineRule="auto"/>
        <w:jc w:val="right"/>
        <w:bidi w:val="1"/>
      </w:pPr>
      <w:r>
        <w:rPr>
          <w:rFonts w:ascii="Noto Naskh Arabic" w:hAnsi="Noto Naskh Arabic" w:cs="Noto Naskh Arabic" w:eastAsia="Noto Naskh Arabic"/>
          <w:b w:val="0"/>
          <w:i w:val="0"/>
          <w:rtl w:val="1"/>
        </w:rPr>
        <w:t>طبيعة العمل: جمعية رعاية تنتج دراسات ذات ارتباط مباشر باحتياجات الأيتام وأمهاتهم والبرامج.</w:t>
      </w:r>
    </w:p>
    <w:p>
      <w:pPr>
        <w:spacing w:after="80" w:line="324" w:lineRule="auto"/>
        <w:jc w:val="right"/>
        <w:bidi w:val="1"/>
      </w:pPr>
      <w:r>
        <w:rPr>
          <w:rFonts w:ascii="Noto Naskh Arabic" w:hAnsi="Noto Naskh Arabic" w:cs="Noto Naskh Arabic" w:eastAsia="Noto Naskh Arabic"/>
          <w:b w:val="0"/>
          <w:i w:val="0"/>
          <w:rtl w:val="1"/>
        </w:rPr>
        <w:t>المخرجات الموثقة: دراسات التدريب، التحديات النفسية والاجتماعية، خط الكفاية.</w:t>
      </w:r>
    </w:p>
    <w:p>
      <w:pPr>
        <w:spacing w:after="80" w:line="324" w:lineRule="auto"/>
        <w:jc w:val="right"/>
        <w:bidi w:val="1"/>
      </w:pPr>
      <w:r>
        <w:rPr>
          <w:rFonts w:ascii="Noto Naskh Arabic" w:hAnsi="Noto Naskh Arabic" w:cs="Noto Naskh Arabic" w:eastAsia="Noto Naskh Arabic"/>
          <w:b w:val="0"/>
          <w:i w:val="0"/>
          <w:rtl w:val="1"/>
        </w:rPr>
        <w:t>الدرس التطبيقي: تصميم البحوث انطلاقًا من بيانات الفجوات الميدانية.</w:t>
      </w:r>
    </w:p>
    <w:p>
      <w:pPr>
        <w:spacing w:after="180" w:line="324" w:lineRule="auto"/>
        <w:jc w:val="right"/>
        <w:bidi w:val="1"/>
      </w:pPr>
      <w:r>
        <w:rPr>
          <w:rFonts w:ascii="Noto Naskh Arabic" w:hAnsi="Noto Naskh Arabic" w:cs="Noto Naskh Arabic" w:eastAsia="Noto Naskh Arabic"/>
          <w:b w:val="0"/>
          <w:i w:val="0"/>
          <w:color w:val="66766F"/>
          <w:sz w:val="18"/>
          <w:rtl w:val="1"/>
        </w:rPr>
        <w:t>ضابط المقارنة: إنتاج بحثي تابع لمؤسسة خدماتية.   [R04]</w:t>
      </w:r>
    </w:p>
    <w:p>
      <w:pPr>
        <w:pStyle w:val="Heading2"/>
        <w:jc w:val="right"/>
        <w:keepNext/>
        <w:bidi w:val="1"/>
      </w:pPr>
      <w:r>
        <w:rPr>
          <w:rFonts w:ascii="Noto Kufi Arabic" w:hAnsi="Noto Kufi Arabic" w:cs="Noto Kufi Arabic" w:eastAsia="Noto Kufi Arabic"/>
          <w:b/>
          <w:i w:val="0"/>
          <w:color w:val="0C3B30"/>
          <w:sz w:val="24"/>
          <w:rtl w:val="1"/>
        </w:rPr>
        <w:t>05  |  مركز دريمة لرعاية الأيتام</w:t>
      </w:r>
    </w:p>
    <w:p>
      <w:pPr>
        <w:spacing w:after="60" w:line="324" w:lineRule="auto"/>
        <w:jc w:val="right"/>
        <w:bidi w:val="1"/>
      </w:pPr>
      <w:r>
        <w:rPr>
          <w:rFonts w:ascii="Noto Naskh Arabic" w:hAnsi="Noto Naskh Arabic" w:cs="Noto Naskh Arabic" w:eastAsia="Noto Naskh Arabic"/>
          <w:b w:val="0"/>
          <w:i w:val="0"/>
          <w:color w:val="66766F"/>
          <w:sz w:val="18"/>
          <w:rtl w:val="1"/>
        </w:rPr>
        <w:t>الدولة/النطاق: قطر  •  التصنيف: مؤسسة رعاية مع دعم البحث  •  الصلة: B</w:t>
      </w:r>
    </w:p>
    <w:p>
      <w:pPr>
        <w:spacing w:after="80" w:line="324" w:lineRule="auto"/>
        <w:jc w:val="right"/>
        <w:bidi w:val="1"/>
      </w:pPr>
      <w:r>
        <w:rPr>
          <w:rFonts w:ascii="Noto Naskh Arabic" w:hAnsi="Noto Naskh Arabic" w:cs="Noto Naskh Arabic" w:eastAsia="Noto Naskh Arabic"/>
          <w:b w:val="0"/>
          <w:i w:val="0"/>
          <w:rtl w:val="1"/>
        </w:rPr>
        <w:t>طبيعة العمل: جهة رعاية تنمويّة تربط التحسين والابتكار بمبادرات بحثية وجائزة علمية.</w:t>
      </w:r>
    </w:p>
    <w:p>
      <w:pPr>
        <w:spacing w:after="80" w:line="324" w:lineRule="auto"/>
        <w:jc w:val="right"/>
        <w:bidi w:val="1"/>
      </w:pPr>
      <w:r>
        <w:rPr>
          <w:rFonts w:ascii="Noto Naskh Arabic" w:hAnsi="Noto Naskh Arabic" w:cs="Noto Naskh Arabic" w:eastAsia="Noto Naskh Arabic"/>
          <w:b w:val="0"/>
          <w:i w:val="0"/>
          <w:rtl w:val="1"/>
        </w:rPr>
        <w:t>المخرجات الموثقة: جائزة البحث العلمي، أبحاث التمكين والاحتضان والأسرة.</w:t>
      </w:r>
    </w:p>
    <w:p>
      <w:pPr>
        <w:spacing w:after="80" w:line="324" w:lineRule="auto"/>
        <w:jc w:val="right"/>
        <w:bidi w:val="1"/>
      </w:pPr>
      <w:r>
        <w:rPr>
          <w:rFonts w:ascii="Noto Naskh Arabic" w:hAnsi="Noto Naskh Arabic" w:cs="Noto Naskh Arabic" w:eastAsia="Noto Naskh Arabic"/>
          <w:b w:val="0"/>
          <w:i w:val="0"/>
          <w:rtl w:val="1"/>
        </w:rPr>
        <w:t>الدرس التطبيقي: إطلاق جائزة بحثية بالشراكة مع جامعة في مرحلة النضج.</w:t>
      </w:r>
    </w:p>
    <w:p>
      <w:pPr>
        <w:spacing w:after="180" w:line="324" w:lineRule="auto"/>
        <w:jc w:val="right"/>
        <w:bidi w:val="1"/>
      </w:pPr>
      <w:r>
        <w:rPr>
          <w:rFonts w:ascii="Noto Naskh Arabic" w:hAnsi="Noto Naskh Arabic" w:cs="Noto Naskh Arabic" w:eastAsia="Noto Naskh Arabic"/>
          <w:b w:val="0"/>
          <w:i w:val="0"/>
          <w:color w:val="66766F"/>
          <w:sz w:val="18"/>
          <w:rtl w:val="1"/>
        </w:rPr>
        <w:t>ضابط المقارنة: دعم للبحث أكثر من كونه معهد أبحاث شاملًا.   [R07]</w:t>
      </w:r>
    </w:p>
    <w:p>
      <w:pPr>
        <w:pStyle w:val="Heading2"/>
        <w:jc w:val="right"/>
        <w:keepNext/>
        <w:bidi w:val="1"/>
      </w:pPr>
      <w:r>
        <w:rPr>
          <w:rFonts w:ascii="Noto Kufi Arabic" w:hAnsi="Noto Kufi Arabic" w:cs="Noto Kufi Arabic" w:eastAsia="Noto Kufi Arabic"/>
          <w:b/>
          <w:i w:val="0"/>
          <w:color w:val="0C3B30"/>
          <w:sz w:val="24"/>
          <w:rtl w:val="1"/>
        </w:rPr>
        <w:t>06  |  جمعية سند للرعاية الوالدية البديلة</w:t>
      </w:r>
    </w:p>
    <w:p>
      <w:pPr>
        <w:spacing w:after="60" w:line="324" w:lineRule="auto"/>
        <w:jc w:val="right"/>
        <w:bidi w:val="1"/>
      </w:pPr>
      <w:r>
        <w:rPr>
          <w:rFonts w:ascii="Noto Naskh Arabic" w:hAnsi="Noto Naskh Arabic" w:cs="Noto Naskh Arabic" w:eastAsia="Noto Naskh Arabic"/>
          <w:b w:val="0"/>
          <w:i w:val="0"/>
          <w:color w:val="66766F"/>
          <w:sz w:val="18"/>
          <w:rtl w:val="1"/>
        </w:rPr>
        <w:t>الدولة/النطاق: مصر  •  التصنيف: بحث تطبيقي ومعايير  •  الصلة: A</w:t>
      </w:r>
    </w:p>
    <w:p>
      <w:pPr>
        <w:spacing w:after="80" w:line="324" w:lineRule="auto"/>
        <w:jc w:val="right"/>
        <w:bidi w:val="1"/>
      </w:pPr>
      <w:r>
        <w:rPr>
          <w:rFonts w:ascii="Noto Naskh Arabic" w:hAnsi="Noto Naskh Arabic" w:cs="Noto Naskh Arabic" w:eastAsia="Noto Naskh Arabic"/>
          <w:b w:val="0"/>
          <w:i w:val="0"/>
          <w:rtl w:val="1"/>
        </w:rPr>
        <w:t>طبيعة العمل: منظمة متخصصة في تطوير نظام الرعاية البديلة عبر المعايير والتقييم والتدريب.</w:t>
      </w:r>
    </w:p>
    <w:p>
      <w:pPr>
        <w:spacing w:after="80" w:line="324" w:lineRule="auto"/>
        <w:jc w:val="right"/>
        <w:bidi w:val="1"/>
      </w:pPr>
      <w:r>
        <w:rPr>
          <w:rFonts w:ascii="Noto Naskh Arabic" w:hAnsi="Noto Naskh Arabic" w:cs="Noto Naskh Arabic" w:eastAsia="Noto Naskh Arabic"/>
          <w:b w:val="0"/>
          <w:i w:val="0"/>
          <w:rtl w:val="1"/>
        </w:rPr>
        <w:t>المخرجات الموثقة: معايير جودة الرعاية، أدلة كفالة أسرية، التهيئة لما بعد الرعاية.</w:t>
      </w:r>
    </w:p>
    <w:p>
      <w:pPr>
        <w:spacing w:after="80" w:line="324" w:lineRule="auto"/>
        <w:jc w:val="right"/>
        <w:bidi w:val="1"/>
      </w:pPr>
      <w:r>
        <w:rPr>
          <w:rFonts w:ascii="Noto Naskh Arabic" w:hAnsi="Noto Naskh Arabic" w:cs="Noto Naskh Arabic" w:eastAsia="Noto Naskh Arabic"/>
          <w:b w:val="0"/>
          <w:i w:val="0"/>
          <w:rtl w:val="1"/>
        </w:rPr>
        <w:t>الدرس التطبيقي: تحويل البحوث إلى معايير وطنية وأدوات تقييم قابلة للتطبيق.</w:t>
      </w:r>
    </w:p>
    <w:p>
      <w:pPr>
        <w:spacing w:after="180" w:line="324" w:lineRule="auto"/>
        <w:jc w:val="right"/>
        <w:bidi w:val="1"/>
      </w:pPr>
      <w:r>
        <w:rPr>
          <w:rFonts w:ascii="Noto Naskh Arabic" w:hAnsi="Noto Naskh Arabic" w:cs="Noto Naskh Arabic" w:eastAsia="Noto Naskh Arabic"/>
          <w:b w:val="0"/>
          <w:i w:val="0"/>
          <w:color w:val="66766F"/>
          <w:sz w:val="18"/>
          <w:rtl w:val="1"/>
        </w:rPr>
        <w:t>ضابط المقارنة: تداخل مباشر بين تقديم الخدمات والبحث التطبيقي.   [R08] [R09]</w:t>
      </w:r>
    </w:p>
    <w:p>
      <w:pPr>
        <w:pStyle w:val="Heading2"/>
        <w:jc w:val="right"/>
        <w:keepNext/>
        <w:bidi w:val="1"/>
      </w:pPr>
      <w:r>
        <w:rPr>
          <w:rFonts w:ascii="Noto Kufi Arabic" w:hAnsi="Noto Kufi Arabic" w:cs="Noto Kufi Arabic" w:eastAsia="Noto Kufi Arabic"/>
          <w:b/>
          <w:i w:val="0"/>
          <w:color w:val="0C3B30"/>
          <w:sz w:val="24"/>
          <w:rtl w:val="1"/>
        </w:rPr>
        <w:t>07  |  صندوق الأمان لمستقبل الأيتام</w:t>
      </w:r>
    </w:p>
    <w:p>
      <w:pPr>
        <w:spacing w:after="60" w:line="324" w:lineRule="auto"/>
        <w:jc w:val="right"/>
        <w:bidi w:val="1"/>
      </w:pPr>
      <w:r>
        <w:rPr>
          <w:rFonts w:ascii="Noto Naskh Arabic" w:hAnsi="Noto Naskh Arabic" w:cs="Noto Naskh Arabic" w:eastAsia="Noto Naskh Arabic"/>
          <w:b w:val="0"/>
          <w:i w:val="0"/>
          <w:color w:val="66766F"/>
          <w:sz w:val="18"/>
          <w:rtl w:val="1"/>
        </w:rPr>
        <w:t>الدولة/النطاق: الأردن  •  التصنيف: تنمية الشباب  •  الصلة: C</w:t>
      </w:r>
    </w:p>
    <w:p>
      <w:pPr>
        <w:spacing w:after="80" w:line="324" w:lineRule="auto"/>
        <w:jc w:val="right"/>
        <w:bidi w:val="1"/>
      </w:pPr>
      <w:r>
        <w:rPr>
          <w:rFonts w:ascii="Noto Naskh Arabic" w:hAnsi="Noto Naskh Arabic" w:cs="Noto Naskh Arabic" w:eastAsia="Noto Naskh Arabic"/>
          <w:b w:val="0"/>
          <w:i w:val="0"/>
          <w:rtl w:val="1"/>
        </w:rPr>
        <w:t>طبيعة العمل: مؤسسة تمكين متخصصة في مسارات الشباب الأيتام بعد انتهاء الرعاية الأساسية.</w:t>
      </w:r>
    </w:p>
    <w:p>
      <w:pPr>
        <w:spacing w:after="80" w:line="324" w:lineRule="auto"/>
        <w:jc w:val="right"/>
        <w:bidi w:val="1"/>
      </w:pPr>
      <w:r>
        <w:rPr>
          <w:rFonts w:ascii="Noto Naskh Arabic" w:hAnsi="Noto Naskh Arabic" w:cs="Noto Naskh Arabic" w:eastAsia="Noto Naskh Arabic"/>
          <w:b w:val="0"/>
          <w:i w:val="0"/>
          <w:rtl w:val="1"/>
        </w:rPr>
        <w:t>المخرجات الموثقة: مسارات تعليم وتمكين واعتماد على الذات ودعم ما بعد 18.</w:t>
      </w:r>
    </w:p>
    <w:p>
      <w:pPr>
        <w:spacing w:after="80" w:line="324" w:lineRule="auto"/>
        <w:jc w:val="right"/>
        <w:bidi w:val="1"/>
      </w:pPr>
      <w:r>
        <w:rPr>
          <w:rFonts w:ascii="Noto Naskh Arabic" w:hAnsi="Noto Naskh Arabic" w:cs="Noto Naskh Arabic" w:eastAsia="Noto Naskh Arabic"/>
          <w:b w:val="0"/>
          <w:i w:val="0"/>
          <w:rtl w:val="1"/>
        </w:rPr>
        <w:t>الدرس التطبيقي: بحث انتقالي طولي من الرعاية إلى التعليم والعمل والاستقلال.</w:t>
      </w:r>
    </w:p>
    <w:p>
      <w:pPr>
        <w:spacing w:after="180" w:line="324" w:lineRule="auto"/>
        <w:jc w:val="right"/>
        <w:bidi w:val="1"/>
      </w:pPr>
      <w:r>
        <w:rPr>
          <w:rFonts w:ascii="Noto Naskh Arabic" w:hAnsi="Noto Naskh Arabic" w:cs="Noto Naskh Arabic" w:eastAsia="Noto Naskh Arabic"/>
          <w:b w:val="0"/>
          <w:i w:val="0"/>
          <w:color w:val="66766F"/>
          <w:sz w:val="18"/>
          <w:rtl w:val="1"/>
        </w:rPr>
        <w:t>ضابط المقارنة: ليس مركز بحث مستقلًا؛ قيمة المقارنة في نموذج الخدمة.   [R10]</w:t>
      </w:r>
    </w:p>
    <w:p>
      <w:pPr>
        <w:pStyle w:val="Heading2"/>
        <w:jc w:val="right"/>
        <w:keepNext/>
        <w:bidi w:val="1"/>
      </w:pPr>
      <w:r>
        <w:rPr>
          <w:rFonts w:ascii="Noto Kufi Arabic" w:hAnsi="Noto Kufi Arabic" w:cs="Noto Kufi Arabic" w:eastAsia="Noto Kufi Arabic"/>
          <w:b/>
          <w:i w:val="0"/>
          <w:color w:val="0C3B30"/>
          <w:sz w:val="24"/>
          <w:rtl w:val="1"/>
        </w:rPr>
        <w:t>08  |  اتحاد رعاية الأيتام</w:t>
      </w:r>
    </w:p>
    <w:p>
      <w:pPr>
        <w:spacing w:after="60" w:line="324" w:lineRule="auto"/>
        <w:jc w:val="right"/>
        <w:bidi w:val="1"/>
      </w:pPr>
      <w:r>
        <w:rPr>
          <w:rFonts w:ascii="Noto Naskh Arabic" w:hAnsi="Noto Naskh Arabic" w:cs="Noto Naskh Arabic" w:eastAsia="Noto Naskh Arabic"/>
          <w:b w:val="0"/>
          <w:i w:val="0"/>
          <w:color w:val="66766F"/>
          <w:sz w:val="18"/>
          <w:rtl w:val="1"/>
        </w:rPr>
        <w:t>الدولة/النطاق: تركيا  •  التصنيف: شبكة ذات وحدة بحثية  •  الصلة: A</w:t>
      </w:r>
    </w:p>
    <w:p>
      <w:pPr>
        <w:spacing w:after="80" w:line="324" w:lineRule="auto"/>
        <w:jc w:val="right"/>
        <w:bidi w:val="1"/>
      </w:pPr>
      <w:r>
        <w:rPr>
          <w:rFonts w:ascii="Noto Naskh Arabic" w:hAnsi="Noto Naskh Arabic" w:cs="Noto Naskh Arabic" w:eastAsia="Noto Naskh Arabic"/>
          <w:b w:val="0"/>
          <w:i w:val="0"/>
          <w:rtl w:val="1"/>
        </w:rPr>
        <w:t>طبيعة العمل: اتحاد عابر للمؤسسات خصص أنشطة بحثية، وأنشأ ويكي يتيم وجمع دراسات ومراجع.</w:t>
      </w:r>
    </w:p>
    <w:p>
      <w:pPr>
        <w:spacing w:after="80" w:line="324" w:lineRule="auto"/>
        <w:jc w:val="right"/>
        <w:bidi w:val="1"/>
      </w:pPr>
      <w:r>
        <w:rPr>
          <w:rFonts w:ascii="Noto Naskh Arabic" w:hAnsi="Noto Naskh Arabic" w:cs="Noto Naskh Arabic" w:eastAsia="Noto Naskh Arabic"/>
          <w:b w:val="0"/>
          <w:i w:val="0"/>
          <w:rtl w:val="1"/>
        </w:rPr>
        <w:t>المخرجات الموثقة: تقرير سنوي، ويكي يتيم، مواد بحثية وإحصائية وأدلة.</w:t>
      </w:r>
    </w:p>
    <w:p>
      <w:pPr>
        <w:spacing w:after="80" w:line="324" w:lineRule="auto"/>
        <w:jc w:val="right"/>
        <w:bidi w:val="1"/>
      </w:pPr>
      <w:r>
        <w:rPr>
          <w:rFonts w:ascii="Noto Naskh Arabic" w:hAnsi="Noto Naskh Arabic" w:cs="Noto Naskh Arabic" w:eastAsia="Noto Naskh Arabic"/>
          <w:b w:val="0"/>
          <w:i w:val="0"/>
          <w:rtl w:val="1"/>
        </w:rPr>
        <w:t>الدرس التطبيقي: بناء المكتبة بمخطط بيانات وربطها بشبكات التبادل.</w:t>
      </w:r>
    </w:p>
    <w:p>
      <w:pPr>
        <w:spacing w:after="180" w:line="324" w:lineRule="auto"/>
        <w:jc w:val="right"/>
        <w:bidi w:val="1"/>
      </w:pPr>
      <w:r>
        <w:rPr>
          <w:rFonts w:ascii="Noto Naskh Arabic" w:hAnsi="Noto Naskh Arabic" w:cs="Noto Naskh Arabic" w:eastAsia="Noto Naskh Arabic"/>
          <w:b w:val="0"/>
          <w:i w:val="0"/>
          <w:color w:val="66766F"/>
          <w:sz w:val="18"/>
          <w:rtl w:val="1"/>
        </w:rPr>
        <w:t>ضابط المقارنة: رقم 586 مادة موثق لعام 2023 لا للوقت الحالي.   [R05]</w:t>
      </w:r>
    </w:p>
    <w:p>
      <w:pPr>
        <w:pStyle w:val="Heading2"/>
        <w:jc w:val="right"/>
        <w:keepNext/>
        <w:bidi w:val="1"/>
      </w:pPr>
      <w:r>
        <w:rPr>
          <w:rFonts w:ascii="Noto Kufi Arabic" w:hAnsi="Noto Kufi Arabic" w:cs="Noto Kufi Arabic" w:eastAsia="Noto Kufi Arabic"/>
          <w:b/>
          <w:i w:val="0"/>
          <w:color w:val="0C3B30"/>
          <w:sz w:val="24"/>
          <w:rtl w:val="1"/>
        </w:rPr>
        <w:t>09  |  مؤسسة اليتيم Yetim Vakfı</w:t>
      </w:r>
    </w:p>
    <w:p>
      <w:pPr>
        <w:spacing w:after="60" w:line="324" w:lineRule="auto"/>
        <w:jc w:val="right"/>
        <w:bidi w:val="1"/>
      </w:pPr>
      <w:r>
        <w:rPr>
          <w:rFonts w:ascii="Noto Naskh Arabic" w:hAnsi="Noto Naskh Arabic" w:cs="Noto Naskh Arabic" w:eastAsia="Noto Naskh Arabic"/>
          <w:b w:val="0"/>
          <w:i w:val="0"/>
          <w:color w:val="66766F"/>
          <w:sz w:val="18"/>
          <w:rtl w:val="1"/>
        </w:rPr>
        <w:t>الدولة/النطاق: تركيا  •  التصنيف: مؤسسة ذات نشر بحثي  •  الصلة: B</w:t>
      </w:r>
    </w:p>
    <w:p>
      <w:pPr>
        <w:spacing w:after="80" w:line="324" w:lineRule="auto"/>
        <w:jc w:val="right"/>
        <w:bidi w:val="1"/>
      </w:pPr>
      <w:r>
        <w:rPr>
          <w:rFonts w:ascii="Noto Naskh Arabic" w:hAnsi="Noto Naskh Arabic" w:cs="Noto Naskh Arabic" w:eastAsia="Noto Naskh Arabic"/>
          <w:b w:val="0"/>
          <w:i w:val="0"/>
          <w:rtl w:val="1"/>
        </w:rPr>
        <w:t>طبيعة العمل: مؤسسة ينتمي إنتاجها المعرفي إلى الرعاية والنقاش العلمي حول اليتم الاجتماعي وأوضاع الأطفال.</w:t>
      </w:r>
    </w:p>
    <w:p>
      <w:pPr>
        <w:spacing w:after="80" w:line="324" w:lineRule="auto"/>
        <w:jc w:val="right"/>
        <w:bidi w:val="1"/>
      </w:pPr>
      <w:r>
        <w:rPr>
          <w:rFonts w:ascii="Noto Naskh Arabic" w:hAnsi="Noto Naskh Arabic" w:cs="Noto Naskh Arabic" w:eastAsia="Noto Naskh Arabic"/>
          <w:b w:val="0"/>
          <w:i w:val="0"/>
          <w:rtl w:val="1"/>
        </w:rPr>
        <w:t>المخرجات الموثقة: أعمال ندوة اليتم الاجتماعي 2025؛ إصدارات وكتيبات.</w:t>
      </w:r>
    </w:p>
    <w:p>
      <w:pPr>
        <w:spacing w:after="80" w:line="324" w:lineRule="auto"/>
        <w:jc w:val="right"/>
        <w:bidi w:val="1"/>
      </w:pPr>
      <w:r>
        <w:rPr>
          <w:rFonts w:ascii="Noto Naskh Arabic" w:hAnsi="Noto Naskh Arabic" w:cs="Noto Naskh Arabic" w:eastAsia="Noto Naskh Arabic"/>
          <w:b w:val="0"/>
          <w:i w:val="0"/>
          <w:rtl w:val="1"/>
        </w:rPr>
        <w:t>الدرس التطبيقي: توسيع الدراسة إلى فقدان الرعاية دون خلطه بالتعريف الشرعي لليتيم.</w:t>
      </w:r>
    </w:p>
    <w:p>
      <w:pPr>
        <w:spacing w:after="180" w:line="324" w:lineRule="auto"/>
        <w:jc w:val="right"/>
        <w:bidi w:val="1"/>
      </w:pPr>
      <w:r>
        <w:rPr>
          <w:rFonts w:ascii="Noto Naskh Arabic" w:hAnsi="Noto Naskh Arabic" w:cs="Noto Naskh Arabic" w:eastAsia="Noto Naskh Arabic"/>
          <w:b w:val="0"/>
          <w:i w:val="0"/>
          <w:color w:val="66766F"/>
          <w:sz w:val="18"/>
          <w:rtl w:val="1"/>
        </w:rPr>
        <w:t>ضابط المقارنة: المنشورات الدورية لا تعني معهدًا أكاديميًا مستقلًا.   [R06]</w:t>
      </w:r>
    </w:p>
    <w:p>
      <w:pPr>
        <w:pStyle w:val="Heading2"/>
        <w:jc w:val="right"/>
        <w:keepNext/>
        <w:bidi w:val="1"/>
      </w:pPr>
      <w:r>
        <w:rPr>
          <w:rFonts w:ascii="Noto Kufi Arabic" w:hAnsi="Noto Kufi Arabic" w:cs="Noto Kufi Arabic" w:eastAsia="Noto Kufi Arabic"/>
          <w:b/>
          <w:i w:val="0"/>
          <w:color w:val="0C3B30"/>
          <w:sz w:val="24"/>
          <w:rtl w:val="1"/>
        </w:rPr>
        <w:t>10  |  الإغاثة الإسلامية عبر العالم</w:t>
      </w:r>
    </w:p>
    <w:p>
      <w:pPr>
        <w:spacing w:after="60" w:line="324" w:lineRule="auto"/>
        <w:jc w:val="right"/>
        <w:bidi w:val="1"/>
      </w:pPr>
      <w:r>
        <w:rPr>
          <w:rFonts w:ascii="Noto Naskh Arabic" w:hAnsi="Noto Naskh Arabic" w:cs="Noto Naskh Arabic" w:eastAsia="Noto Naskh Arabic"/>
          <w:b w:val="0"/>
          <w:i w:val="0"/>
          <w:color w:val="66766F"/>
          <w:sz w:val="18"/>
          <w:rtl w:val="1"/>
        </w:rPr>
        <w:t>الدولة/النطاق: المملكة المتحدة/عالمي  •  التصنيف: بحوث تقييم أثر  •  الصلة: B</w:t>
      </w:r>
    </w:p>
    <w:p>
      <w:pPr>
        <w:spacing w:after="80" w:line="324" w:lineRule="auto"/>
        <w:jc w:val="right"/>
        <w:bidi w:val="1"/>
      </w:pPr>
      <w:r>
        <w:rPr>
          <w:rFonts w:ascii="Noto Naskh Arabic" w:hAnsi="Noto Naskh Arabic" w:cs="Noto Naskh Arabic" w:eastAsia="Noto Naskh Arabic"/>
          <w:b w:val="0"/>
          <w:i w:val="0"/>
          <w:rtl w:val="1"/>
        </w:rPr>
        <w:t>طبيعة العمل: مؤسسة إنسانية دولية نشرت دراسة عالمية لتقييم برنامج الكفالة ومخرجاته.</w:t>
      </w:r>
    </w:p>
    <w:p>
      <w:pPr>
        <w:spacing w:after="80" w:line="324" w:lineRule="auto"/>
        <w:jc w:val="right"/>
        <w:bidi w:val="1"/>
      </w:pPr>
      <w:r>
        <w:rPr>
          <w:rFonts w:ascii="Noto Naskh Arabic" w:hAnsi="Noto Naskh Arabic" w:cs="Noto Naskh Arabic" w:eastAsia="Noto Naskh Arabic"/>
          <w:b w:val="0"/>
          <w:i w:val="0"/>
          <w:rtl w:val="1"/>
        </w:rPr>
        <w:t>المخرجات الموثقة: تقرير أثر عالمي متعدد البلدان ونماذج للمتابعة والتقييم.</w:t>
      </w:r>
    </w:p>
    <w:p>
      <w:pPr>
        <w:spacing w:after="80" w:line="324" w:lineRule="auto"/>
        <w:jc w:val="right"/>
        <w:bidi w:val="1"/>
      </w:pPr>
      <w:r>
        <w:rPr>
          <w:rFonts w:ascii="Noto Naskh Arabic" w:hAnsi="Noto Naskh Arabic" w:cs="Noto Naskh Arabic" w:eastAsia="Noto Naskh Arabic"/>
          <w:b w:val="0"/>
          <w:i w:val="0"/>
          <w:rtl w:val="1"/>
        </w:rPr>
        <w:t>الدرس التطبيقي: اختبار أثر الكفالة على الأسرة والتعليم والاستقرار، لا عدد المستفيدين فقط.</w:t>
      </w:r>
    </w:p>
    <w:p>
      <w:pPr>
        <w:spacing w:after="180" w:line="324" w:lineRule="auto"/>
        <w:jc w:val="right"/>
        <w:bidi w:val="1"/>
      </w:pPr>
      <w:r>
        <w:rPr>
          <w:rFonts w:ascii="Noto Naskh Arabic" w:hAnsi="Noto Naskh Arabic" w:cs="Noto Naskh Arabic" w:eastAsia="Noto Naskh Arabic"/>
          <w:b w:val="0"/>
          <w:i w:val="0"/>
          <w:color w:val="66766F"/>
          <w:sz w:val="18"/>
          <w:rtl w:val="1"/>
        </w:rPr>
        <w:t>ضابط المقارنة: البحث أحد أنشطة المؤسسة لا رسالتها الوحيدة.   [R11]</w:t>
      </w:r>
    </w:p>
    <w:p>
      <w:r>
        <w:br w:type="page"/>
      </w:r>
    </w:p>
    <w:p>
      <w:pPr>
        <w:pStyle w:val="Heading1"/>
        <w:spacing w:before="240" w:after="140"/>
        <w:jc w:val="right"/>
        <w:keepNext/>
        <w:bidi w:val="1"/>
      </w:pPr>
      <w:r>
        <w:rPr>
          <w:rFonts w:ascii="Noto Kufi Arabic" w:hAnsi="Noto Kufi Arabic" w:cs="Noto Kufi Arabic" w:eastAsia="Noto Kufi Arabic"/>
          <w:b/>
          <w:i w:val="0"/>
          <w:color w:val="0C3B30"/>
          <w:sz w:val="32"/>
          <w:rtl w:val="1"/>
        </w:rPr>
        <w:t>04 | أوروبا وأمريكا الشمالية والمراكز الدولية</w:t>
      </w:r>
    </w:p>
    <w:p>
      <w:pPr>
        <w:spacing w:after="100" w:line="324" w:lineRule="auto"/>
        <w:jc w:val="right"/>
        <w:bidi w:val="1"/>
      </w:pPr>
      <w:r>
        <w:rPr>
          <w:rFonts w:ascii="Noto Naskh Arabic" w:hAnsi="Noto Naskh Arabic" w:cs="Noto Naskh Arabic" w:eastAsia="Noto Naskh Arabic"/>
          <w:b w:val="0"/>
          <w:i w:val="0"/>
          <w:rtl w:val="1"/>
        </w:rPr>
        <w:t>تستخدم الجهات الغربية والدولية غالبًا مفاهيم الرعاية البديلة والأطفال الذين يفتقرون إلى الرعاية الوالدية؛ ويتضمن المشهد برامج أكاديمية طويلة المدى، ومؤسسات قياس أثر، ومجلات مهنية، ومنصات تبادل معرفة وإصلاح سياسات.</w:t>
      </w:r>
    </w:p>
    <w:p>
      <w:pPr>
        <w:pStyle w:val="Heading2"/>
        <w:jc w:val="right"/>
        <w:keepNext/>
        <w:bidi w:val="1"/>
      </w:pPr>
      <w:r>
        <w:rPr>
          <w:rFonts w:ascii="Noto Kufi Arabic" w:hAnsi="Noto Kufi Arabic" w:cs="Noto Kufi Arabic" w:eastAsia="Noto Kufi Arabic"/>
          <w:b/>
          <w:i w:val="0"/>
          <w:color w:val="0C3B30"/>
          <w:sz w:val="24"/>
          <w:rtl w:val="1"/>
        </w:rPr>
        <w:t>11  |  CAFO - مركز البحوث التطبيقية للأطفال والأسر الهشة</w:t>
      </w:r>
    </w:p>
    <w:p>
      <w:pPr>
        <w:spacing w:after="60" w:line="324" w:lineRule="auto"/>
        <w:jc w:val="right"/>
        <w:bidi w:val="1"/>
      </w:pPr>
      <w:r>
        <w:rPr>
          <w:rFonts w:ascii="Noto Naskh Arabic" w:hAnsi="Noto Naskh Arabic" w:cs="Noto Naskh Arabic" w:eastAsia="Noto Naskh Arabic"/>
          <w:b w:val="0"/>
          <w:i w:val="0"/>
          <w:color w:val="66766F"/>
          <w:sz w:val="18"/>
          <w:rtl w:val="1"/>
        </w:rPr>
        <w:t>الدولة/النطاق: الولايات المتحدة  •  التصنيف: مركز بحث مباشر  •  الصلة: A</w:t>
      </w:r>
    </w:p>
    <w:p>
      <w:pPr>
        <w:spacing w:after="80" w:line="324" w:lineRule="auto"/>
        <w:jc w:val="right"/>
        <w:bidi w:val="1"/>
      </w:pPr>
      <w:r>
        <w:rPr>
          <w:rFonts w:ascii="Noto Naskh Arabic" w:hAnsi="Noto Naskh Arabic" w:cs="Noto Naskh Arabic" w:eastAsia="Noto Naskh Arabic"/>
          <w:b w:val="0"/>
          <w:i w:val="0"/>
          <w:rtl w:val="1"/>
        </w:rPr>
        <w:t>طبيعة العمل: مركز متخصص في تحويل الأدلة إلى تدريب وتقييم أدوات الرعاية ضمن مرجعية مسيحية معلنة.</w:t>
      </w:r>
    </w:p>
    <w:p>
      <w:pPr>
        <w:spacing w:after="80" w:line="324" w:lineRule="auto"/>
        <w:jc w:val="right"/>
        <w:bidi w:val="1"/>
      </w:pPr>
      <w:r>
        <w:rPr>
          <w:rFonts w:ascii="Noto Naskh Arabic" w:hAnsi="Noto Naskh Arabic" w:cs="Noto Naskh Arabic" w:eastAsia="Noto Naskh Arabic"/>
          <w:b w:val="0"/>
          <w:i w:val="0"/>
          <w:rtl w:val="1"/>
        </w:rPr>
        <w:t>المخرجات الموثقة: بحوث محكمة معلنة، مؤتمرات، CareIndex وCore Elements.</w:t>
      </w:r>
    </w:p>
    <w:p>
      <w:pPr>
        <w:spacing w:after="80" w:line="324" w:lineRule="auto"/>
        <w:jc w:val="right"/>
        <w:bidi w:val="1"/>
      </w:pPr>
      <w:r>
        <w:rPr>
          <w:rFonts w:ascii="Noto Naskh Arabic" w:hAnsi="Noto Naskh Arabic" w:cs="Noto Naskh Arabic" w:eastAsia="Noto Naskh Arabic"/>
          <w:b w:val="0"/>
          <w:i w:val="0"/>
          <w:rtl w:val="1"/>
        </w:rPr>
        <w:t>الدرس التطبيقي: تبني حلقة تقييم-تعلم-تطبيق-إعادة تقييم.</w:t>
      </w:r>
    </w:p>
    <w:p>
      <w:pPr>
        <w:spacing w:after="180" w:line="324" w:lineRule="auto"/>
        <w:jc w:val="right"/>
        <w:bidi w:val="1"/>
      </w:pPr>
      <w:r>
        <w:rPr>
          <w:rFonts w:ascii="Noto Naskh Arabic" w:hAnsi="Noto Naskh Arabic" w:cs="Noto Naskh Arabic" w:eastAsia="Noto Naskh Arabic"/>
          <w:b w:val="0"/>
          <w:i w:val="0"/>
          <w:color w:val="66766F"/>
          <w:sz w:val="18"/>
          <w:rtl w:val="1"/>
        </w:rPr>
        <w:t>ضابط المقارنة: له مرجعية دينية محددة ويستلزم تكييفًا قيميًا محليًا.   [R12] [R13] [R14]</w:t>
      </w:r>
    </w:p>
    <w:p>
      <w:pPr>
        <w:pStyle w:val="Heading2"/>
        <w:jc w:val="right"/>
        <w:keepNext/>
        <w:bidi w:val="1"/>
      </w:pPr>
      <w:r>
        <w:rPr>
          <w:rFonts w:ascii="Noto Kufi Arabic" w:hAnsi="Noto Kufi Arabic" w:cs="Noto Kufi Arabic" w:eastAsia="Noto Kufi Arabic"/>
          <w:b/>
          <w:i w:val="0"/>
          <w:color w:val="0C3B30"/>
          <w:sz w:val="24"/>
          <w:rtl w:val="1"/>
        </w:rPr>
        <w:t>12  |  برنامج Data, Dignity and Direction (D³)</w:t>
      </w:r>
    </w:p>
    <w:p>
      <w:pPr>
        <w:spacing w:after="60" w:line="324" w:lineRule="auto"/>
        <w:jc w:val="right"/>
        <w:bidi w:val="1"/>
      </w:pPr>
      <w:r>
        <w:rPr>
          <w:rFonts w:ascii="Noto Naskh Arabic" w:hAnsi="Noto Naskh Arabic" w:cs="Noto Naskh Arabic" w:eastAsia="Noto Naskh Arabic"/>
          <w:b w:val="0"/>
          <w:i w:val="0"/>
          <w:color w:val="66766F"/>
          <w:sz w:val="18"/>
          <w:rtl w:val="1"/>
        </w:rPr>
        <w:t>الدولة/النطاق: كندا/دولي  •  التصنيف: برنامج بحثي مباشر  •  الصلة: A</w:t>
      </w:r>
    </w:p>
    <w:p>
      <w:pPr>
        <w:spacing w:after="80" w:line="324" w:lineRule="auto"/>
        <w:jc w:val="right"/>
        <w:bidi w:val="1"/>
      </w:pPr>
      <w:r>
        <w:rPr>
          <w:rFonts w:ascii="Noto Naskh Arabic" w:hAnsi="Noto Naskh Arabic" w:cs="Noto Naskh Arabic" w:eastAsia="Noto Naskh Arabic"/>
          <w:b w:val="0"/>
          <w:i w:val="0"/>
          <w:rtl w:val="1"/>
        </w:rPr>
        <w:t>طبيعة العمل: مشروع بحثي جامعي عابر للدول للفترة 2026-2030 يغطي 75+ دولة وفق موقعه.</w:t>
      </w:r>
    </w:p>
    <w:p>
      <w:pPr>
        <w:spacing w:after="80" w:line="324" w:lineRule="auto"/>
        <w:jc w:val="right"/>
        <w:bidi w:val="1"/>
      </w:pPr>
      <w:r>
        <w:rPr>
          <w:rFonts w:ascii="Noto Naskh Arabic" w:hAnsi="Noto Naskh Arabic" w:cs="Noto Naskh Arabic" w:eastAsia="Noto Naskh Arabic"/>
          <w:b w:val="0"/>
          <w:i w:val="0"/>
          <w:rtl w:val="1"/>
        </w:rPr>
        <w:t>المخرجات الموثقة: تحليل بيانات كمية، دراسات نوعية، قانون وأخلاقيات، نقل معرفة.</w:t>
      </w:r>
    </w:p>
    <w:p>
      <w:pPr>
        <w:spacing w:after="80" w:line="324" w:lineRule="auto"/>
        <w:jc w:val="right"/>
        <w:bidi w:val="1"/>
      </w:pPr>
      <w:r>
        <w:rPr>
          <w:rFonts w:ascii="Noto Naskh Arabic" w:hAnsi="Noto Naskh Arabic" w:cs="Noto Naskh Arabic" w:eastAsia="Noto Naskh Arabic"/>
          <w:b w:val="0"/>
          <w:i w:val="0"/>
          <w:rtl w:val="1"/>
        </w:rPr>
        <w:t>الدرس التطبيقي: شراكات بيانات متعددة التخصصات دون بناء سجل أشخاص غير آمن.</w:t>
      </w:r>
    </w:p>
    <w:p>
      <w:pPr>
        <w:spacing w:after="180" w:line="324" w:lineRule="auto"/>
        <w:jc w:val="right"/>
        <w:bidi w:val="1"/>
      </w:pPr>
      <w:r>
        <w:rPr>
          <w:rFonts w:ascii="Noto Naskh Arabic" w:hAnsi="Noto Naskh Arabic" w:cs="Noto Naskh Arabic" w:eastAsia="Noto Naskh Arabic"/>
          <w:b w:val="0"/>
          <w:i w:val="0"/>
          <w:color w:val="66766F"/>
          <w:sz w:val="18"/>
          <w:rtl w:val="1"/>
        </w:rPr>
        <w:t>ضابط المقارنة: مشروع محدد المدة لا مؤسسة مستقلة دائمة.   [R15] [R16] [R44]</w:t>
      </w:r>
    </w:p>
    <w:p>
      <w:pPr>
        <w:pStyle w:val="Heading2"/>
        <w:jc w:val="right"/>
        <w:keepNext/>
        <w:bidi w:val="1"/>
      </w:pPr>
      <w:r>
        <w:rPr>
          <w:rFonts w:ascii="Noto Kufi Arabic" w:hAnsi="Noto Kufi Arabic" w:cs="Noto Kufi Arabic" w:eastAsia="Noto Kufi Arabic"/>
          <w:b/>
          <w:i w:val="0"/>
          <w:color w:val="0C3B30"/>
          <w:sz w:val="24"/>
          <w:rtl w:val="1"/>
        </w:rPr>
        <w:t>13  |  UNICEF Innocenti - مكتب الاستراتيجية والأدلة</w:t>
      </w:r>
    </w:p>
    <w:p>
      <w:pPr>
        <w:spacing w:after="60" w:line="324" w:lineRule="auto"/>
        <w:jc w:val="right"/>
        <w:bidi w:val="1"/>
      </w:pPr>
      <w:r>
        <w:rPr>
          <w:rFonts w:ascii="Noto Naskh Arabic" w:hAnsi="Noto Naskh Arabic" w:cs="Noto Naskh Arabic" w:eastAsia="Noto Naskh Arabic"/>
          <w:b w:val="0"/>
          <w:i w:val="0"/>
          <w:color w:val="66766F"/>
          <w:sz w:val="18"/>
          <w:rtl w:val="1"/>
        </w:rPr>
        <w:t>الدولة/النطاق: إيطاليا/دولي  •  التصنيف: مركز بحث عالمي أوسع  •  الصلة: B</w:t>
      </w:r>
    </w:p>
    <w:p>
      <w:pPr>
        <w:spacing w:after="80" w:line="324" w:lineRule="auto"/>
        <w:jc w:val="right"/>
        <w:bidi w:val="1"/>
      </w:pPr>
      <w:r>
        <w:rPr>
          <w:rFonts w:ascii="Noto Naskh Arabic" w:hAnsi="Noto Naskh Arabic" w:cs="Noto Naskh Arabic" w:eastAsia="Noto Naskh Arabic"/>
          <w:b w:val="0"/>
          <w:i w:val="0"/>
          <w:rtl w:val="1"/>
        </w:rPr>
        <w:t>طبيعة العمل: منظومة أممية للبحث والاستشراف؛ أعلنت مبادرة بحثية متخصصة في الرعاية الأسرية البديلة.</w:t>
      </w:r>
    </w:p>
    <w:p>
      <w:pPr>
        <w:spacing w:after="80" w:line="324" w:lineRule="auto"/>
        <w:jc w:val="right"/>
        <w:bidi w:val="1"/>
      </w:pPr>
      <w:r>
        <w:rPr>
          <w:rFonts w:ascii="Noto Naskh Arabic" w:hAnsi="Noto Naskh Arabic" w:cs="Noto Naskh Arabic" w:eastAsia="Noto Naskh Arabic"/>
          <w:b w:val="0"/>
          <w:i w:val="0"/>
          <w:rtl w:val="1"/>
        </w:rPr>
        <w:t>المخرجات الموثقة: مراجعة أدلة عالمية، بحوث سياقية ومشاركة الأطفال، استشراف.</w:t>
      </w:r>
    </w:p>
    <w:p>
      <w:pPr>
        <w:spacing w:after="80" w:line="324" w:lineRule="auto"/>
        <w:jc w:val="right"/>
        <w:bidi w:val="1"/>
      </w:pPr>
      <w:r>
        <w:rPr>
          <w:rFonts w:ascii="Noto Naskh Arabic" w:hAnsi="Noto Naskh Arabic" w:cs="Noto Naskh Arabic" w:eastAsia="Noto Naskh Arabic"/>
          <w:b w:val="0"/>
          <w:i w:val="0"/>
          <w:rtl w:val="1"/>
        </w:rPr>
        <w:t>الدرس التطبيقي: تأطير الدراسات حول أسئلة السياسة والفجوات والدليل المقارن.</w:t>
      </w:r>
    </w:p>
    <w:p>
      <w:pPr>
        <w:spacing w:after="180" w:line="324" w:lineRule="auto"/>
        <w:jc w:val="right"/>
        <w:bidi w:val="1"/>
      </w:pPr>
      <w:r>
        <w:rPr>
          <w:rFonts w:ascii="Noto Naskh Arabic" w:hAnsi="Noto Naskh Arabic" w:cs="Noto Naskh Arabic" w:eastAsia="Noto Naskh Arabic"/>
          <w:b w:val="0"/>
          <w:i w:val="0"/>
          <w:color w:val="66766F"/>
          <w:sz w:val="18"/>
          <w:rtl w:val="1"/>
        </w:rPr>
        <w:t>ضابط المقارنة: اختصاصه يشمل الطفولة عمومًا لا اليتم حصريًا.   [R17] [R43]</w:t>
      </w:r>
    </w:p>
    <w:p>
      <w:pPr>
        <w:pStyle w:val="Heading2"/>
        <w:jc w:val="right"/>
        <w:keepNext/>
        <w:bidi w:val="1"/>
      </w:pPr>
      <w:r>
        <w:rPr>
          <w:rFonts w:ascii="Noto Kufi Arabic" w:hAnsi="Noto Kufi Arabic" w:cs="Noto Kufi Arabic" w:eastAsia="Noto Kufi Arabic"/>
          <w:b/>
          <w:i w:val="0"/>
          <w:color w:val="0C3B30"/>
          <w:sz w:val="24"/>
          <w:rtl w:val="1"/>
        </w:rPr>
        <w:t>14  |  Rees Centre - جامعة أكسفورد</w:t>
      </w:r>
    </w:p>
    <w:p>
      <w:pPr>
        <w:spacing w:after="60" w:line="324" w:lineRule="auto"/>
        <w:jc w:val="right"/>
        <w:bidi w:val="1"/>
      </w:pPr>
      <w:r>
        <w:rPr>
          <w:rFonts w:ascii="Noto Naskh Arabic" w:hAnsi="Noto Naskh Arabic" w:cs="Noto Naskh Arabic" w:eastAsia="Noto Naskh Arabic"/>
          <w:b w:val="0"/>
          <w:i w:val="0"/>
          <w:color w:val="66766F"/>
          <w:sz w:val="18"/>
          <w:rtl w:val="1"/>
        </w:rPr>
        <w:t>الدولة/النطاق: المملكة المتحدة  •  التصنيف: مركز جامعي متخصص مجاور  •  الصلة: B</w:t>
      </w:r>
    </w:p>
    <w:p>
      <w:pPr>
        <w:spacing w:after="80" w:line="324" w:lineRule="auto"/>
        <w:jc w:val="right"/>
        <w:bidi w:val="1"/>
      </w:pPr>
      <w:r>
        <w:rPr>
          <w:rFonts w:ascii="Noto Naskh Arabic" w:hAnsi="Noto Naskh Arabic" w:cs="Noto Naskh Arabic" w:eastAsia="Noto Naskh Arabic"/>
          <w:b w:val="0"/>
          <w:i w:val="0"/>
          <w:rtl w:val="1"/>
        </w:rPr>
        <w:t>طبيعة العمل: مركز يبحث الرعاية الاجتماعية والتعليم والاحتضان والتبني ومسارات الشباب.</w:t>
      </w:r>
    </w:p>
    <w:p>
      <w:pPr>
        <w:spacing w:after="80" w:line="324" w:lineRule="auto"/>
        <w:jc w:val="right"/>
        <w:bidi w:val="1"/>
      </w:pPr>
      <w:r>
        <w:rPr>
          <w:rFonts w:ascii="Noto Naskh Arabic" w:hAnsi="Noto Naskh Arabic" w:cs="Noto Naskh Arabic" w:eastAsia="Noto Naskh Arabic"/>
          <w:b w:val="0"/>
          <w:i w:val="0"/>
          <w:rtl w:val="1"/>
        </w:rPr>
        <w:t>المخرجات الموثقة: تقييمات تدخلات، مسوح منهجية، تقارير سياسات وتعليم.</w:t>
      </w:r>
    </w:p>
    <w:p>
      <w:pPr>
        <w:spacing w:after="80" w:line="324" w:lineRule="auto"/>
        <w:jc w:val="right"/>
        <w:bidi w:val="1"/>
      </w:pPr>
      <w:r>
        <w:rPr>
          <w:rFonts w:ascii="Noto Naskh Arabic" w:hAnsi="Noto Naskh Arabic" w:cs="Noto Naskh Arabic" w:eastAsia="Noto Naskh Arabic"/>
          <w:b w:val="0"/>
          <w:i w:val="0"/>
          <w:rtl w:val="1"/>
        </w:rPr>
        <w:t>الدرس التطبيقي: ربط الرعاية بنتائج التعليم والصحة النفسية عبر تتبع زمني.</w:t>
      </w:r>
    </w:p>
    <w:p>
      <w:pPr>
        <w:spacing w:after="180" w:line="324" w:lineRule="auto"/>
        <w:jc w:val="right"/>
        <w:bidi w:val="1"/>
      </w:pPr>
      <w:r>
        <w:rPr>
          <w:rFonts w:ascii="Noto Naskh Arabic" w:hAnsi="Noto Naskh Arabic" w:cs="Noto Naskh Arabic" w:eastAsia="Noto Naskh Arabic"/>
          <w:b w:val="0"/>
          <w:i w:val="0"/>
          <w:color w:val="66766F"/>
          <w:sz w:val="18"/>
          <w:rtl w:val="1"/>
        </w:rPr>
        <w:t>ضابط المقارنة: النطاق أوسع من الأيتام ويخص نظم رعاية معينة.   [R18]</w:t>
      </w:r>
    </w:p>
    <w:p>
      <w:pPr>
        <w:pStyle w:val="Heading2"/>
        <w:jc w:val="right"/>
        <w:keepNext/>
        <w:bidi w:val="1"/>
      </w:pPr>
      <w:r>
        <w:rPr>
          <w:rFonts w:ascii="Noto Kufi Arabic" w:hAnsi="Noto Kufi Arabic" w:cs="Noto Kufi Arabic" w:eastAsia="Noto Kufi Arabic"/>
          <w:b/>
          <w:i w:val="0"/>
          <w:color w:val="0C3B30"/>
          <w:sz w:val="24"/>
          <w:rtl w:val="1"/>
        </w:rPr>
        <w:t>15  |  Chapin Hall</w:t>
      </w:r>
    </w:p>
    <w:p>
      <w:pPr>
        <w:spacing w:after="60" w:line="324" w:lineRule="auto"/>
        <w:jc w:val="right"/>
        <w:bidi w:val="1"/>
      </w:pPr>
      <w:r>
        <w:rPr>
          <w:rFonts w:ascii="Noto Naskh Arabic" w:hAnsi="Noto Naskh Arabic" w:cs="Noto Naskh Arabic" w:eastAsia="Noto Naskh Arabic"/>
          <w:b w:val="0"/>
          <w:i w:val="0"/>
          <w:color w:val="66766F"/>
          <w:sz w:val="18"/>
          <w:rtl w:val="1"/>
        </w:rPr>
        <w:t>الدولة/النطاق: الولايات المتحدة  •  التصنيف: معهد بحث سياسات  •  الصلة: B</w:t>
      </w:r>
    </w:p>
    <w:p>
      <w:pPr>
        <w:spacing w:after="80" w:line="324" w:lineRule="auto"/>
        <w:jc w:val="right"/>
        <w:bidi w:val="1"/>
      </w:pPr>
      <w:r>
        <w:rPr>
          <w:rFonts w:ascii="Noto Naskh Arabic" w:hAnsi="Noto Naskh Arabic" w:cs="Noto Naskh Arabic" w:eastAsia="Noto Naskh Arabic"/>
          <w:b w:val="0"/>
          <w:i w:val="0"/>
          <w:rtl w:val="1"/>
        </w:rPr>
        <w:t>طبيعة العمل: جهة بحث وتحليل بيانات حول الرعاية الاجتماعية وأنظمة حماية الأطفال.</w:t>
      </w:r>
    </w:p>
    <w:p>
      <w:pPr>
        <w:spacing w:after="80" w:line="324" w:lineRule="auto"/>
        <w:jc w:val="right"/>
        <w:bidi w:val="1"/>
      </w:pPr>
      <w:r>
        <w:rPr>
          <w:rFonts w:ascii="Noto Naskh Arabic" w:hAnsi="Noto Naskh Arabic" w:cs="Noto Naskh Arabic" w:eastAsia="Noto Naskh Arabic"/>
          <w:b w:val="0"/>
          <w:i w:val="0"/>
          <w:rtl w:val="1"/>
        </w:rPr>
        <w:t>المخرجات الموثقة: دراسات بيانات، احتضان، انتقال إلى السكن والعمل، برامج نظم حماية.</w:t>
      </w:r>
    </w:p>
    <w:p>
      <w:pPr>
        <w:spacing w:after="80" w:line="324" w:lineRule="auto"/>
        <w:jc w:val="right"/>
        <w:bidi w:val="1"/>
      </w:pPr>
      <w:r>
        <w:rPr>
          <w:rFonts w:ascii="Noto Naskh Arabic" w:hAnsi="Noto Naskh Arabic" w:cs="Noto Naskh Arabic" w:eastAsia="Noto Naskh Arabic"/>
          <w:b w:val="0"/>
          <w:i w:val="0"/>
          <w:rtl w:val="1"/>
        </w:rPr>
        <w:t>الدرس التطبيقي: بناء قدرات تحليل إداري ودمج البحث بصنع القرار.</w:t>
      </w:r>
    </w:p>
    <w:p>
      <w:pPr>
        <w:spacing w:after="180" w:line="324" w:lineRule="auto"/>
        <w:jc w:val="right"/>
        <w:bidi w:val="1"/>
      </w:pPr>
      <w:r>
        <w:rPr>
          <w:rFonts w:ascii="Noto Naskh Arabic" w:hAnsi="Noto Naskh Arabic" w:cs="Noto Naskh Arabic" w:eastAsia="Noto Naskh Arabic"/>
          <w:b w:val="0"/>
          <w:i w:val="0"/>
          <w:color w:val="66766F"/>
          <w:sz w:val="18"/>
          <w:rtl w:val="1"/>
        </w:rPr>
        <w:t>ضابط المقارنة: مؤسسة واسعة لا تختص بالأيتام وحدهم.   [R19]</w:t>
      </w:r>
    </w:p>
    <w:p>
      <w:pPr>
        <w:pStyle w:val="Heading2"/>
        <w:jc w:val="right"/>
        <w:keepNext/>
        <w:bidi w:val="1"/>
      </w:pPr>
      <w:r>
        <w:rPr>
          <w:rFonts w:ascii="Noto Kufi Arabic" w:hAnsi="Noto Kufi Arabic" w:cs="Noto Kufi Arabic" w:eastAsia="Noto Kufi Arabic"/>
          <w:b/>
          <w:i w:val="0"/>
          <w:color w:val="0C3B30"/>
          <w:sz w:val="24"/>
          <w:rtl w:val="1"/>
        </w:rPr>
        <w:t>16  |  CoramBAAF / Coram</w:t>
      </w:r>
    </w:p>
    <w:p>
      <w:pPr>
        <w:spacing w:after="60" w:line="324" w:lineRule="auto"/>
        <w:jc w:val="right"/>
        <w:bidi w:val="1"/>
      </w:pPr>
      <w:r>
        <w:rPr>
          <w:rFonts w:ascii="Noto Naskh Arabic" w:hAnsi="Noto Naskh Arabic" w:cs="Noto Naskh Arabic" w:eastAsia="Noto Naskh Arabic"/>
          <w:b w:val="0"/>
          <w:i w:val="0"/>
          <w:color w:val="66766F"/>
          <w:sz w:val="18"/>
          <w:rtl w:val="1"/>
        </w:rPr>
        <w:t>الدولة/النطاق: المملكة المتحدة  •  التصنيف: معرفة مهنية ونشر محكم  •  الصلة: B</w:t>
      </w:r>
    </w:p>
    <w:p>
      <w:pPr>
        <w:spacing w:after="80" w:line="324" w:lineRule="auto"/>
        <w:jc w:val="right"/>
        <w:bidi w:val="1"/>
      </w:pPr>
      <w:r>
        <w:rPr>
          <w:rFonts w:ascii="Noto Naskh Arabic" w:hAnsi="Noto Naskh Arabic" w:cs="Noto Naskh Arabic" w:eastAsia="Noto Naskh Arabic"/>
          <w:b w:val="0"/>
          <w:i w:val="0"/>
          <w:rtl w:val="1"/>
        </w:rPr>
        <w:t>طبيعة العمل: منظومة موارد ومجلة بحثية معنية بالاحتضان والرعاية الأسرية والقرابة.</w:t>
      </w:r>
    </w:p>
    <w:p>
      <w:pPr>
        <w:spacing w:after="80" w:line="324" w:lineRule="auto"/>
        <w:jc w:val="right"/>
        <w:bidi w:val="1"/>
      </w:pPr>
      <w:r>
        <w:rPr>
          <w:rFonts w:ascii="Noto Naskh Arabic" w:hAnsi="Noto Naskh Arabic" w:cs="Noto Naskh Arabic" w:eastAsia="Noto Naskh Arabic"/>
          <w:b w:val="0"/>
          <w:i w:val="0"/>
          <w:rtl w:val="1"/>
        </w:rPr>
        <w:t>المخرجات الموثقة: مجلة Adoption &amp; Fostering الفصلية، أدلة الممارسة وأبحاث.</w:t>
      </w:r>
    </w:p>
    <w:p>
      <w:pPr>
        <w:spacing w:after="80" w:line="324" w:lineRule="auto"/>
        <w:jc w:val="right"/>
        <w:bidi w:val="1"/>
      </w:pPr>
      <w:r>
        <w:rPr>
          <w:rFonts w:ascii="Noto Naskh Arabic" w:hAnsi="Noto Naskh Arabic" w:cs="Noto Naskh Arabic" w:eastAsia="Noto Naskh Arabic"/>
          <w:b w:val="0"/>
          <w:i w:val="0"/>
          <w:rtl w:val="1"/>
        </w:rPr>
        <w:t>الدرس التطبيقي: الفصل بين دورية محكمة ومجلة شهرية معرفية عامة.</w:t>
      </w:r>
    </w:p>
    <w:p>
      <w:pPr>
        <w:spacing w:after="180" w:line="324" w:lineRule="auto"/>
        <w:jc w:val="right"/>
        <w:bidi w:val="1"/>
      </w:pPr>
      <w:r>
        <w:rPr>
          <w:rFonts w:ascii="Noto Naskh Arabic" w:hAnsi="Noto Naskh Arabic" w:cs="Noto Naskh Arabic" w:eastAsia="Noto Naskh Arabic"/>
          <w:b w:val="0"/>
          <w:i w:val="0"/>
          <w:color w:val="66766F"/>
          <w:sz w:val="18"/>
          <w:rtl w:val="1"/>
        </w:rPr>
        <w:t>ضابط المقارنة: تركز على التبني والاحتضان بما يتوافق مع قانون بلدها.   [R20] [R47]</w:t>
      </w:r>
    </w:p>
    <w:p>
      <w:pPr>
        <w:pStyle w:val="Heading2"/>
        <w:jc w:val="right"/>
        <w:keepNext/>
        <w:bidi w:val="1"/>
      </w:pPr>
      <w:r>
        <w:rPr>
          <w:rFonts w:ascii="Noto Kufi Arabic" w:hAnsi="Noto Kufi Arabic" w:cs="Noto Kufi Arabic" w:eastAsia="Noto Kufi Arabic"/>
          <w:b/>
          <w:i w:val="0"/>
          <w:color w:val="0C3B30"/>
          <w:sz w:val="24"/>
          <w:rtl w:val="1"/>
        </w:rPr>
        <w:t>17  |  Know-how Centre for Alternative Care - New Bulgarian University</w:t>
      </w:r>
    </w:p>
    <w:p>
      <w:pPr>
        <w:spacing w:after="60" w:line="324" w:lineRule="auto"/>
        <w:jc w:val="right"/>
        <w:bidi w:val="1"/>
      </w:pPr>
      <w:r>
        <w:rPr>
          <w:rFonts w:ascii="Noto Naskh Arabic" w:hAnsi="Noto Naskh Arabic" w:cs="Noto Naskh Arabic" w:eastAsia="Noto Naskh Arabic"/>
          <w:b w:val="0"/>
          <w:i w:val="0"/>
          <w:color w:val="66766F"/>
          <w:sz w:val="18"/>
          <w:rtl w:val="1"/>
        </w:rPr>
        <w:t>الدولة/النطاق: بلغاريا  •  التصنيف: مركز جامعي مباشر للرعاية البديلة  •  الصلة: A</w:t>
      </w:r>
    </w:p>
    <w:p>
      <w:pPr>
        <w:spacing w:after="80" w:line="324" w:lineRule="auto"/>
        <w:jc w:val="right"/>
        <w:bidi w:val="1"/>
      </w:pPr>
      <w:r>
        <w:rPr>
          <w:rFonts w:ascii="Noto Naskh Arabic" w:hAnsi="Noto Naskh Arabic" w:cs="Noto Naskh Arabic" w:eastAsia="Noto Naskh Arabic"/>
          <w:b w:val="0"/>
          <w:i w:val="0"/>
          <w:rtl w:val="1"/>
        </w:rPr>
        <w:t>طبيعة العمل: مركز جامعي متعدد التخصصات يربط البحث التشاركي بالممارسة والسياسة.</w:t>
      </w:r>
    </w:p>
    <w:p>
      <w:pPr>
        <w:spacing w:after="80" w:line="324" w:lineRule="auto"/>
        <w:jc w:val="right"/>
        <w:bidi w:val="1"/>
      </w:pPr>
      <w:r>
        <w:rPr>
          <w:rFonts w:ascii="Noto Naskh Arabic" w:hAnsi="Noto Naskh Arabic" w:cs="Noto Naskh Arabic" w:eastAsia="Noto Naskh Arabic"/>
          <w:b w:val="0"/>
          <w:i w:val="0"/>
          <w:rtl w:val="1"/>
        </w:rPr>
        <w:t>المخرجات الموثقة: بحوث مع الأطفال والأسر، تقييم ممارسة، تدريب وتطوير قدرات.</w:t>
      </w:r>
    </w:p>
    <w:p>
      <w:pPr>
        <w:spacing w:after="80" w:line="324" w:lineRule="auto"/>
        <w:jc w:val="right"/>
        <w:bidi w:val="1"/>
      </w:pPr>
      <w:r>
        <w:rPr>
          <w:rFonts w:ascii="Noto Naskh Arabic" w:hAnsi="Noto Naskh Arabic" w:cs="Noto Naskh Arabic" w:eastAsia="Noto Naskh Arabic"/>
          <w:b w:val="0"/>
          <w:i w:val="0"/>
          <w:rtl w:val="1"/>
        </w:rPr>
        <w:t>الدرس التطبيقي: تصميم بحوث مشاركة لا تقتصر على رأي مقدمي الخدمة.</w:t>
      </w:r>
    </w:p>
    <w:p>
      <w:pPr>
        <w:spacing w:after="180" w:line="324" w:lineRule="auto"/>
        <w:jc w:val="right"/>
        <w:bidi w:val="1"/>
      </w:pPr>
      <w:r>
        <w:rPr>
          <w:rFonts w:ascii="Noto Naskh Arabic" w:hAnsi="Noto Naskh Arabic" w:cs="Noto Naskh Arabic" w:eastAsia="Noto Naskh Arabic"/>
          <w:b w:val="0"/>
          <w:i w:val="0"/>
          <w:color w:val="66766F"/>
          <w:sz w:val="18"/>
          <w:rtl w:val="1"/>
        </w:rPr>
        <w:t>ضابط المقارنة: يتصل بالرعاية البديلة عامة لا الأيتام فقط.   [R21]</w:t>
      </w:r>
    </w:p>
    <w:p>
      <w:pPr>
        <w:pStyle w:val="Heading2"/>
        <w:jc w:val="right"/>
        <w:keepNext/>
        <w:bidi w:val="1"/>
      </w:pPr>
      <w:r>
        <w:rPr>
          <w:rFonts w:ascii="Noto Kufi Arabic" w:hAnsi="Noto Kufi Arabic" w:cs="Noto Kufi Arabic" w:eastAsia="Noto Kufi Arabic"/>
          <w:b/>
          <w:i w:val="0"/>
          <w:color w:val="0C3B30"/>
          <w:sz w:val="24"/>
          <w:rtl w:val="1"/>
        </w:rPr>
        <w:t>18  |  Bucharest Early Intervention Project</w:t>
      </w:r>
    </w:p>
    <w:p>
      <w:pPr>
        <w:spacing w:after="60" w:line="324" w:lineRule="auto"/>
        <w:jc w:val="right"/>
        <w:bidi w:val="1"/>
      </w:pPr>
      <w:r>
        <w:rPr>
          <w:rFonts w:ascii="Noto Naskh Arabic" w:hAnsi="Noto Naskh Arabic" w:cs="Noto Naskh Arabic" w:eastAsia="Noto Naskh Arabic"/>
          <w:b w:val="0"/>
          <w:i w:val="0"/>
          <w:color w:val="66766F"/>
          <w:sz w:val="18"/>
          <w:rtl w:val="1"/>
        </w:rPr>
        <w:t>الدولة/النطاق: رومانيا/الولايات المتحدة  •  التصنيف: مشروع أكاديمي طولي  •  الصلة: B</w:t>
      </w:r>
    </w:p>
    <w:p>
      <w:pPr>
        <w:spacing w:after="80" w:line="324" w:lineRule="auto"/>
        <w:jc w:val="right"/>
        <w:bidi w:val="1"/>
      </w:pPr>
      <w:r>
        <w:rPr>
          <w:rFonts w:ascii="Noto Naskh Arabic" w:hAnsi="Noto Naskh Arabic" w:cs="Noto Naskh Arabic" w:eastAsia="Noto Naskh Arabic"/>
          <w:b w:val="0"/>
          <w:i w:val="0"/>
          <w:rtl w:val="1"/>
        </w:rPr>
        <w:t>طبيعة العمل: برنامج دراسات علمية طويلة المدى حول أثر العيش المبكر في المؤسسات والرعاية الأسرية.</w:t>
      </w:r>
    </w:p>
    <w:p>
      <w:pPr>
        <w:spacing w:after="80" w:line="324" w:lineRule="auto"/>
        <w:jc w:val="right"/>
        <w:bidi w:val="1"/>
      </w:pPr>
      <w:r>
        <w:rPr>
          <w:rFonts w:ascii="Noto Naskh Arabic" w:hAnsi="Noto Naskh Arabic" w:cs="Noto Naskh Arabic" w:eastAsia="Noto Naskh Arabic"/>
          <w:b w:val="0"/>
          <w:i w:val="0"/>
          <w:rtl w:val="1"/>
        </w:rPr>
        <w:t>المخرجات الموثقة: تجربة عشوائية مضبوطة، منشورات في النمو والصحة النفسية.</w:t>
      </w:r>
    </w:p>
    <w:p>
      <w:pPr>
        <w:spacing w:after="80" w:line="324" w:lineRule="auto"/>
        <w:jc w:val="right"/>
        <w:bidi w:val="1"/>
      </w:pPr>
      <w:r>
        <w:rPr>
          <w:rFonts w:ascii="Noto Naskh Arabic" w:hAnsi="Noto Naskh Arabic" w:cs="Noto Naskh Arabic" w:eastAsia="Noto Naskh Arabic"/>
          <w:b w:val="0"/>
          <w:i w:val="0"/>
          <w:rtl w:val="1"/>
        </w:rPr>
        <w:t>الدرس التطبيقي: فهم قوة التصميم السببي وحدود تعميم عيناته.</w:t>
      </w:r>
    </w:p>
    <w:p>
      <w:pPr>
        <w:spacing w:after="180" w:line="324" w:lineRule="auto"/>
        <w:jc w:val="right"/>
        <w:bidi w:val="1"/>
      </w:pPr>
      <w:r>
        <w:rPr>
          <w:rFonts w:ascii="Noto Naskh Arabic" w:hAnsi="Noto Naskh Arabic" w:cs="Noto Naskh Arabic" w:eastAsia="Noto Naskh Arabic"/>
          <w:b w:val="0"/>
          <w:i w:val="0"/>
          <w:color w:val="66766F"/>
          <w:sz w:val="18"/>
          <w:rtl w:val="1"/>
        </w:rPr>
        <w:t>ضابط المقارنة: مشروع بحث محدد لا مؤسسة خدماتية شاملة.   [R22] [R48]</w:t>
      </w:r>
    </w:p>
    <w:p>
      <w:pPr>
        <w:pStyle w:val="Heading2"/>
        <w:jc w:val="right"/>
        <w:keepNext/>
        <w:bidi w:val="1"/>
      </w:pPr>
      <w:r>
        <w:rPr>
          <w:rFonts w:ascii="Noto Kufi Arabic" w:hAnsi="Noto Kufi Arabic" w:cs="Noto Kufi Arabic" w:eastAsia="Noto Kufi Arabic"/>
          <w:b/>
          <w:i w:val="0"/>
          <w:color w:val="0C3B30"/>
          <w:sz w:val="24"/>
          <w:rtl w:val="1"/>
        </w:rPr>
        <w:t>19  |  Better Care Network</w:t>
      </w:r>
    </w:p>
    <w:p>
      <w:pPr>
        <w:spacing w:after="60" w:line="324" w:lineRule="auto"/>
        <w:jc w:val="right"/>
        <w:bidi w:val="1"/>
      </w:pPr>
      <w:r>
        <w:rPr>
          <w:rFonts w:ascii="Noto Naskh Arabic" w:hAnsi="Noto Naskh Arabic" w:cs="Noto Naskh Arabic" w:eastAsia="Noto Naskh Arabic"/>
          <w:b w:val="0"/>
          <w:i w:val="0"/>
          <w:color w:val="66766F"/>
          <w:sz w:val="18"/>
          <w:rtl w:val="1"/>
        </w:rPr>
        <w:t>الدولة/النطاق: دولي  •  التصنيف: شبكة ومكتبة معرفية  •  الصلة: B</w:t>
      </w:r>
    </w:p>
    <w:p>
      <w:pPr>
        <w:spacing w:after="80" w:line="324" w:lineRule="auto"/>
        <w:jc w:val="right"/>
        <w:bidi w:val="1"/>
      </w:pPr>
      <w:r>
        <w:rPr>
          <w:rFonts w:ascii="Noto Naskh Arabic" w:hAnsi="Noto Naskh Arabic" w:cs="Noto Naskh Arabic" w:eastAsia="Noto Naskh Arabic"/>
          <w:b w:val="0"/>
          <w:i w:val="0"/>
          <w:rtl w:val="1"/>
        </w:rPr>
        <w:t>طبيعة العمل: شبكة تنشر وتفهرس الأدلة والمراجع المتعلقة بالرعاية البديلة.</w:t>
      </w:r>
    </w:p>
    <w:p>
      <w:pPr>
        <w:spacing w:after="80" w:line="324" w:lineRule="auto"/>
        <w:jc w:val="right"/>
        <w:bidi w:val="1"/>
      </w:pPr>
      <w:r>
        <w:rPr>
          <w:rFonts w:ascii="Noto Naskh Arabic" w:hAnsi="Noto Naskh Arabic" w:cs="Noto Naskh Arabic" w:eastAsia="Noto Naskh Arabic"/>
          <w:b w:val="0"/>
          <w:i w:val="0"/>
          <w:rtl w:val="1"/>
        </w:rPr>
        <w:t>المخرجات الموثقة: مكتبة متخصصة وتصنيفات سياسات ووثائق وأدوات بحث.</w:t>
      </w:r>
    </w:p>
    <w:p>
      <w:pPr>
        <w:spacing w:after="80" w:line="324" w:lineRule="auto"/>
        <w:jc w:val="right"/>
        <w:bidi w:val="1"/>
      </w:pPr>
      <w:r>
        <w:rPr>
          <w:rFonts w:ascii="Noto Naskh Arabic" w:hAnsi="Noto Naskh Arabic" w:cs="Noto Naskh Arabic" w:eastAsia="Noto Naskh Arabic"/>
          <w:b w:val="0"/>
          <w:i w:val="0"/>
          <w:rtl w:val="1"/>
        </w:rPr>
        <w:t>الدرس التطبيقي: تصنيف المصادر وميتا-بيانات قابلة للبحث، احترام حقوق النسخ.</w:t>
      </w:r>
    </w:p>
    <w:p>
      <w:pPr>
        <w:spacing w:after="180" w:line="324" w:lineRule="auto"/>
        <w:jc w:val="right"/>
        <w:bidi w:val="1"/>
      </w:pPr>
      <w:r>
        <w:rPr>
          <w:rFonts w:ascii="Noto Naskh Arabic" w:hAnsi="Noto Naskh Arabic" w:cs="Noto Naskh Arabic" w:eastAsia="Noto Naskh Arabic"/>
          <w:b w:val="0"/>
          <w:i w:val="0"/>
          <w:color w:val="66766F"/>
          <w:sz w:val="18"/>
          <w:rtl w:val="1"/>
        </w:rPr>
        <w:t>ضابط المقارنة: ليست جهة تحكيم علمي لكل مادة منشورة.   [R23]</w:t>
      </w:r>
    </w:p>
    <w:p>
      <w:pPr>
        <w:pStyle w:val="Heading2"/>
        <w:jc w:val="right"/>
        <w:keepNext/>
        <w:bidi w:val="1"/>
      </w:pPr>
      <w:r>
        <w:rPr>
          <w:rFonts w:ascii="Noto Kufi Arabic" w:hAnsi="Noto Kufi Arabic" w:cs="Noto Kufi Arabic" w:eastAsia="Noto Kufi Arabic"/>
          <w:b/>
          <w:i w:val="0"/>
          <w:color w:val="0C3B30"/>
          <w:sz w:val="24"/>
          <w:rtl w:val="1"/>
        </w:rPr>
        <w:t>20  |  SOS Children’s Villages International</w:t>
      </w:r>
    </w:p>
    <w:p>
      <w:pPr>
        <w:spacing w:after="60" w:line="324" w:lineRule="auto"/>
        <w:jc w:val="right"/>
        <w:bidi w:val="1"/>
      </w:pPr>
      <w:r>
        <w:rPr>
          <w:rFonts w:ascii="Noto Naskh Arabic" w:hAnsi="Noto Naskh Arabic" w:cs="Noto Naskh Arabic" w:eastAsia="Noto Naskh Arabic"/>
          <w:b w:val="0"/>
          <w:i w:val="0"/>
          <w:color w:val="66766F"/>
          <w:sz w:val="18"/>
          <w:rtl w:val="1"/>
        </w:rPr>
        <w:t>الدولة/النطاق: دولي  •  التصنيف: منظمة رعاية تنتج بحوثًا  •  الصلة: B</w:t>
      </w:r>
    </w:p>
    <w:p>
      <w:pPr>
        <w:spacing w:after="80" w:line="324" w:lineRule="auto"/>
        <w:jc w:val="right"/>
        <w:bidi w:val="1"/>
      </w:pPr>
      <w:r>
        <w:rPr>
          <w:rFonts w:ascii="Noto Naskh Arabic" w:hAnsi="Noto Naskh Arabic" w:cs="Noto Naskh Arabic" w:eastAsia="Noto Naskh Arabic"/>
          <w:b w:val="0"/>
          <w:i w:val="0"/>
          <w:rtl w:val="1"/>
        </w:rPr>
        <w:t>طبيعة العمل: جهة رعاية دولية أصدرت بحثًا مقارنًا عن مسببات الانفصال الأسري في ثماني دول عام 2024.</w:t>
      </w:r>
    </w:p>
    <w:p>
      <w:pPr>
        <w:spacing w:after="80" w:line="324" w:lineRule="auto"/>
        <w:jc w:val="right"/>
        <w:bidi w:val="1"/>
      </w:pPr>
      <w:r>
        <w:rPr>
          <w:rFonts w:ascii="Noto Naskh Arabic" w:hAnsi="Noto Naskh Arabic" w:cs="Noto Naskh Arabic" w:eastAsia="Noto Naskh Arabic"/>
          <w:b w:val="0"/>
          <w:i w:val="0"/>
          <w:rtl w:val="1"/>
        </w:rPr>
        <w:t>المخرجات الموثقة: دراسات مقارنة، مشاركة خبرات معيشة، تقارير عمل وسياسات.</w:t>
      </w:r>
    </w:p>
    <w:p>
      <w:pPr>
        <w:spacing w:after="80" w:line="324" w:lineRule="auto"/>
        <w:jc w:val="right"/>
        <w:bidi w:val="1"/>
      </w:pPr>
      <w:r>
        <w:rPr>
          <w:rFonts w:ascii="Noto Naskh Arabic" w:hAnsi="Noto Naskh Arabic" w:cs="Noto Naskh Arabic" w:eastAsia="Noto Naskh Arabic"/>
          <w:b w:val="0"/>
          <w:i w:val="0"/>
          <w:rtl w:val="1"/>
        </w:rPr>
        <w:t>الدرس التطبيقي: إنتاج بحوث مشتركة بين الميدان والجامعات تشمل صوت الأسرة.</w:t>
      </w:r>
    </w:p>
    <w:p>
      <w:pPr>
        <w:spacing w:after="180" w:line="324" w:lineRule="auto"/>
        <w:jc w:val="right"/>
        <w:bidi w:val="1"/>
      </w:pPr>
      <w:r>
        <w:rPr>
          <w:rFonts w:ascii="Noto Naskh Arabic" w:hAnsi="Noto Naskh Arabic" w:cs="Noto Naskh Arabic" w:eastAsia="Noto Naskh Arabic"/>
          <w:b w:val="0"/>
          <w:i w:val="0"/>
          <w:color w:val="66766F"/>
          <w:sz w:val="18"/>
          <w:rtl w:val="1"/>
        </w:rPr>
        <w:t>ضابط المقارنة: ليست معهدًا بحثيًا مستقلًا في الأساس.   [R24]</w:t>
      </w:r>
    </w:p>
    <w:p>
      <w:pPr>
        <w:pStyle w:val="Heading2"/>
        <w:jc w:val="right"/>
        <w:keepNext/>
        <w:bidi w:val="1"/>
      </w:pPr>
      <w:r>
        <w:rPr>
          <w:rFonts w:ascii="Noto Kufi Arabic" w:hAnsi="Noto Kufi Arabic" w:cs="Noto Kufi Arabic" w:eastAsia="Noto Kufi Arabic"/>
          <w:b/>
          <w:i w:val="0"/>
          <w:color w:val="0C3B30"/>
          <w:sz w:val="24"/>
          <w:rtl w:val="1"/>
        </w:rPr>
        <w:t>21  |  Lumos Foundation</w:t>
      </w:r>
    </w:p>
    <w:p>
      <w:pPr>
        <w:spacing w:after="60" w:line="324" w:lineRule="auto"/>
        <w:jc w:val="right"/>
        <w:bidi w:val="1"/>
      </w:pPr>
      <w:r>
        <w:rPr>
          <w:rFonts w:ascii="Noto Naskh Arabic" w:hAnsi="Noto Naskh Arabic" w:cs="Noto Naskh Arabic" w:eastAsia="Noto Naskh Arabic"/>
          <w:b w:val="0"/>
          <w:i w:val="0"/>
          <w:color w:val="66766F"/>
          <w:sz w:val="18"/>
          <w:rtl w:val="1"/>
        </w:rPr>
        <w:t>الدولة/النطاق: المملكة المتحدة/دولي  •  التصنيف: مركز سياسات وممارسة  •  الصلة: B</w:t>
      </w:r>
    </w:p>
    <w:p>
      <w:pPr>
        <w:spacing w:after="80" w:line="324" w:lineRule="auto"/>
        <w:jc w:val="right"/>
        <w:bidi w:val="1"/>
      </w:pPr>
      <w:r>
        <w:rPr>
          <w:rFonts w:ascii="Noto Naskh Arabic" w:hAnsi="Noto Naskh Arabic" w:cs="Noto Naskh Arabic" w:eastAsia="Noto Naskh Arabic"/>
          <w:b w:val="0"/>
          <w:i w:val="0"/>
          <w:rtl w:val="1"/>
        </w:rPr>
        <w:t>طبيعة العمل: مؤسسة تعمل على إصلاح أنظمة الرعاية ولديها مكتبة تقارير وسياسات.</w:t>
      </w:r>
    </w:p>
    <w:p>
      <w:pPr>
        <w:spacing w:after="80" w:line="324" w:lineRule="auto"/>
        <w:jc w:val="right"/>
        <w:bidi w:val="1"/>
      </w:pPr>
      <w:r>
        <w:rPr>
          <w:rFonts w:ascii="Noto Naskh Arabic" w:hAnsi="Noto Naskh Arabic" w:cs="Noto Naskh Arabic" w:eastAsia="Noto Naskh Arabic"/>
          <w:b w:val="0"/>
          <w:i w:val="0"/>
          <w:rtl w:val="1"/>
        </w:rPr>
        <w:t>المخرجات الموثقة: أوراق سياسات وتدريب ومنشورات دعم تحول الرعاية.</w:t>
      </w:r>
    </w:p>
    <w:p>
      <w:pPr>
        <w:spacing w:after="80" w:line="324" w:lineRule="auto"/>
        <w:jc w:val="right"/>
        <w:bidi w:val="1"/>
      </w:pPr>
      <w:r>
        <w:rPr>
          <w:rFonts w:ascii="Noto Naskh Arabic" w:hAnsi="Noto Naskh Arabic" w:cs="Noto Naskh Arabic" w:eastAsia="Noto Naskh Arabic"/>
          <w:b w:val="0"/>
          <w:i w:val="0"/>
          <w:rtl w:val="1"/>
        </w:rPr>
        <w:t>الدرس التطبيقي: ترجمة المعرفة إلى إصلاح سياسات مع تتبع نتائج الحماية.</w:t>
      </w:r>
    </w:p>
    <w:p>
      <w:pPr>
        <w:spacing w:after="180" w:line="324" w:lineRule="auto"/>
        <w:jc w:val="right"/>
        <w:bidi w:val="1"/>
      </w:pPr>
      <w:r>
        <w:rPr>
          <w:rFonts w:ascii="Noto Naskh Arabic" w:hAnsi="Noto Naskh Arabic" w:cs="Noto Naskh Arabic" w:eastAsia="Noto Naskh Arabic"/>
          <w:b w:val="0"/>
          <w:i w:val="0"/>
          <w:color w:val="66766F"/>
          <w:sz w:val="18"/>
          <w:rtl w:val="1"/>
        </w:rPr>
        <w:t>ضابط المقارنة: تتبنى موقفًا من الرعاية المؤسسية ينبغي مقارنته بأدلة السياقات.   [R25]</w:t>
      </w:r>
    </w:p>
    <w:p>
      <w:pPr>
        <w:pStyle w:val="Heading2"/>
        <w:jc w:val="right"/>
        <w:keepNext/>
        <w:bidi w:val="1"/>
      </w:pPr>
      <w:r>
        <w:rPr>
          <w:rFonts w:ascii="Noto Kufi Arabic" w:hAnsi="Noto Kufi Arabic" w:cs="Noto Kufi Arabic" w:eastAsia="Noto Kufi Arabic"/>
          <w:b/>
          <w:i w:val="0"/>
          <w:color w:val="0C3B30"/>
          <w:sz w:val="24"/>
          <w:rtl w:val="1"/>
        </w:rPr>
        <w:t>22  |  Hope and Homes for Children</w:t>
      </w:r>
    </w:p>
    <w:p>
      <w:pPr>
        <w:spacing w:after="60" w:line="324" w:lineRule="auto"/>
        <w:jc w:val="right"/>
        <w:bidi w:val="1"/>
      </w:pPr>
      <w:r>
        <w:rPr>
          <w:rFonts w:ascii="Noto Naskh Arabic" w:hAnsi="Noto Naskh Arabic" w:cs="Noto Naskh Arabic" w:eastAsia="Noto Naskh Arabic"/>
          <w:b w:val="0"/>
          <w:i w:val="0"/>
          <w:color w:val="66766F"/>
          <w:sz w:val="18"/>
          <w:rtl w:val="1"/>
        </w:rPr>
        <w:t>الدولة/النطاق: المملكة المتحدة/دولي  •  التصنيف: مؤسسة إصلاح أنظمة  •  الصلة: B</w:t>
      </w:r>
    </w:p>
    <w:p>
      <w:pPr>
        <w:spacing w:after="80" w:line="324" w:lineRule="auto"/>
        <w:jc w:val="right"/>
        <w:bidi w:val="1"/>
      </w:pPr>
      <w:r>
        <w:rPr>
          <w:rFonts w:ascii="Noto Naskh Arabic" w:hAnsi="Noto Naskh Arabic" w:cs="Noto Naskh Arabic" w:eastAsia="Noto Naskh Arabic"/>
          <w:b w:val="0"/>
          <w:i w:val="0"/>
          <w:rtl w:val="1"/>
        </w:rPr>
        <w:t>طبيعة العمل: مؤسسة مناصرة وإصلاح للرعاية تنتج منشورات وخرائط عمل لنقل الرعاية إلى الأسرة.</w:t>
      </w:r>
    </w:p>
    <w:p>
      <w:pPr>
        <w:spacing w:after="80" w:line="324" w:lineRule="auto"/>
        <w:jc w:val="right"/>
        <w:bidi w:val="1"/>
      </w:pPr>
      <w:r>
        <w:rPr>
          <w:rFonts w:ascii="Noto Naskh Arabic" w:hAnsi="Noto Naskh Arabic" w:cs="Noto Naskh Arabic" w:eastAsia="Noto Naskh Arabic"/>
          <w:b w:val="0"/>
          <w:i w:val="0"/>
          <w:rtl w:val="1"/>
        </w:rPr>
        <w:t>المخرجات الموثقة: تقارير بشأن الإصلاح والتمويل والممارسة والدول.</w:t>
      </w:r>
    </w:p>
    <w:p>
      <w:pPr>
        <w:spacing w:after="80" w:line="324" w:lineRule="auto"/>
        <w:jc w:val="right"/>
        <w:bidi w:val="1"/>
      </w:pPr>
      <w:r>
        <w:rPr>
          <w:rFonts w:ascii="Noto Naskh Arabic" w:hAnsi="Noto Naskh Arabic" w:cs="Noto Naskh Arabic" w:eastAsia="Noto Naskh Arabic"/>
          <w:b w:val="0"/>
          <w:i w:val="0"/>
          <w:rtl w:val="1"/>
        </w:rPr>
        <w:t>الدرس التطبيقي: ربط تغيّر السياسة بإستراتيجية تغيير مؤسسي تدريجية.</w:t>
      </w:r>
    </w:p>
    <w:p>
      <w:pPr>
        <w:spacing w:after="180" w:line="324" w:lineRule="auto"/>
        <w:jc w:val="right"/>
        <w:bidi w:val="1"/>
      </w:pPr>
      <w:r>
        <w:rPr>
          <w:rFonts w:ascii="Noto Naskh Arabic" w:hAnsi="Noto Naskh Arabic" w:cs="Noto Naskh Arabic" w:eastAsia="Noto Naskh Arabic"/>
          <w:b w:val="0"/>
          <w:i w:val="0"/>
          <w:color w:val="66766F"/>
          <w:sz w:val="18"/>
          <w:rtl w:val="1"/>
        </w:rPr>
        <w:t>ضابط المقارنة: موقف إصلاحي معلن، لا بد من تقييم التطبيقات محليًا.   [R26]</w:t>
      </w:r>
    </w:p>
    <w:p>
      <w:pPr>
        <w:pStyle w:val="Heading2"/>
        <w:jc w:val="right"/>
        <w:keepNext/>
        <w:bidi w:val="1"/>
      </w:pPr>
      <w:r>
        <w:rPr>
          <w:rFonts w:ascii="Noto Kufi Arabic" w:hAnsi="Noto Kufi Arabic" w:cs="Noto Kufi Arabic" w:eastAsia="Noto Kufi Arabic"/>
          <w:b/>
          <w:i w:val="0"/>
          <w:color w:val="0C3B30"/>
          <w:sz w:val="24"/>
          <w:rtl w:val="1"/>
        </w:rPr>
        <w:t>23  |  Family for Every Child</w:t>
      </w:r>
    </w:p>
    <w:p>
      <w:pPr>
        <w:spacing w:after="60" w:line="324" w:lineRule="auto"/>
        <w:jc w:val="right"/>
        <w:bidi w:val="1"/>
      </w:pPr>
      <w:r>
        <w:rPr>
          <w:rFonts w:ascii="Noto Naskh Arabic" w:hAnsi="Noto Naskh Arabic" w:cs="Noto Naskh Arabic" w:eastAsia="Noto Naskh Arabic"/>
          <w:b w:val="0"/>
          <w:i w:val="0"/>
          <w:color w:val="66766F"/>
          <w:sz w:val="18"/>
          <w:rtl w:val="1"/>
        </w:rPr>
        <w:t>الدولة/النطاق: دولي  •  التصنيف: تحالف بحث وممارسة  •  الصلة: B</w:t>
      </w:r>
    </w:p>
    <w:p>
      <w:pPr>
        <w:spacing w:after="80" w:line="324" w:lineRule="auto"/>
        <w:jc w:val="right"/>
        <w:bidi w:val="1"/>
      </w:pPr>
      <w:r>
        <w:rPr>
          <w:rFonts w:ascii="Noto Naskh Arabic" w:hAnsi="Noto Naskh Arabic" w:cs="Noto Naskh Arabic" w:eastAsia="Noto Naskh Arabic"/>
          <w:b w:val="0"/>
          <w:i w:val="0"/>
          <w:rtl w:val="1"/>
        </w:rPr>
        <w:t>طبيعة العمل: تحالف مؤسسات محلية يجمع نماذج الممارسة ويطور أدوات للتقييم التشاركي.</w:t>
      </w:r>
    </w:p>
    <w:p>
      <w:pPr>
        <w:spacing w:after="80" w:line="324" w:lineRule="auto"/>
        <w:jc w:val="right"/>
        <w:bidi w:val="1"/>
      </w:pPr>
      <w:r>
        <w:rPr>
          <w:rFonts w:ascii="Noto Naskh Arabic" w:hAnsi="Noto Naskh Arabic" w:cs="Noto Naskh Arabic" w:eastAsia="Noto Naskh Arabic"/>
          <w:b w:val="0"/>
          <w:i w:val="0"/>
          <w:rtl w:val="1"/>
        </w:rPr>
        <w:t>المخرجات الموثقة: مكتبة موارد وأدوات لتقييم البرامج وقضايا القرابة.</w:t>
      </w:r>
    </w:p>
    <w:p>
      <w:pPr>
        <w:spacing w:after="80" w:line="324" w:lineRule="auto"/>
        <w:jc w:val="right"/>
        <w:bidi w:val="1"/>
      </w:pPr>
      <w:r>
        <w:rPr>
          <w:rFonts w:ascii="Noto Naskh Arabic" w:hAnsi="Noto Naskh Arabic" w:cs="Noto Naskh Arabic" w:eastAsia="Noto Naskh Arabic"/>
          <w:b w:val="0"/>
          <w:i w:val="0"/>
          <w:rtl w:val="1"/>
        </w:rPr>
        <w:t>الدرس التطبيقي: تعلم أقران بين المنظمات وأدلة طورتها الجهات الميدانية.</w:t>
      </w:r>
    </w:p>
    <w:p>
      <w:pPr>
        <w:spacing w:after="180" w:line="324" w:lineRule="auto"/>
        <w:jc w:val="right"/>
        <w:bidi w:val="1"/>
      </w:pPr>
      <w:r>
        <w:rPr>
          <w:rFonts w:ascii="Noto Naskh Arabic" w:hAnsi="Noto Naskh Arabic" w:cs="Noto Naskh Arabic" w:eastAsia="Noto Naskh Arabic"/>
          <w:b w:val="0"/>
          <w:i w:val="0"/>
          <w:color w:val="66766F"/>
          <w:sz w:val="18"/>
          <w:rtl w:val="1"/>
        </w:rPr>
        <w:t>ضابط المقارنة: شبكة تعاونية لا مركز جامعي.   [R27] [R45]</w:t>
      </w:r>
    </w:p>
    <w:p>
      <w:r>
        <w:br w:type="page"/>
      </w:r>
    </w:p>
    <w:p>
      <w:pPr>
        <w:pStyle w:val="Heading1"/>
        <w:spacing w:before="240" w:after="140"/>
        <w:jc w:val="right"/>
        <w:keepNext/>
        <w:bidi w:val="1"/>
      </w:pPr>
      <w:r>
        <w:rPr>
          <w:rFonts w:ascii="Noto Kufi Arabic" w:hAnsi="Noto Kufi Arabic" w:cs="Noto Kufi Arabic" w:eastAsia="Noto Kufi Arabic"/>
          <w:b/>
          <w:i w:val="0"/>
          <w:color w:val="0C3B30"/>
          <w:sz w:val="32"/>
          <w:rtl w:val="1"/>
        </w:rPr>
        <w:t>05 | آسيا وأفريقيا وأمريكا اللاتينية وأوقيانوسيا</w:t>
      </w:r>
    </w:p>
    <w:p>
      <w:pPr>
        <w:spacing w:after="100" w:line="324" w:lineRule="auto"/>
        <w:jc w:val="right"/>
        <w:bidi w:val="1"/>
      </w:pPr>
      <w:r>
        <w:rPr>
          <w:rFonts w:ascii="Noto Naskh Arabic" w:hAnsi="Noto Naskh Arabic" w:cs="Noto Naskh Arabic" w:eastAsia="Noto Naskh Arabic"/>
          <w:b w:val="0"/>
          <w:i w:val="0"/>
          <w:rtl w:val="1"/>
        </w:rPr>
        <w:t>تكشف تجارب الجنوب العالمي عن أولوية ملاءمة الأدلة للسياقات المحلية، وتعزيز مشاركة الشباب الذين عاشوا تجربة الرعاية، وتأسيس شبكات ببليوغرافية إقليمية، وبناء مؤشرات حقوقية قابلة للمقارنة.</w:t>
      </w:r>
    </w:p>
    <w:p>
      <w:pPr>
        <w:pStyle w:val="Heading2"/>
        <w:jc w:val="right"/>
        <w:keepNext/>
        <w:bidi w:val="1"/>
      </w:pPr>
      <w:r>
        <w:rPr>
          <w:rFonts w:ascii="Noto Kufi Arabic" w:hAnsi="Noto Kufi Arabic" w:cs="Noto Kufi Arabic" w:eastAsia="Noto Kufi Arabic"/>
          <w:b/>
          <w:i w:val="0"/>
          <w:color w:val="0C3B30"/>
          <w:sz w:val="24"/>
          <w:rtl w:val="1"/>
        </w:rPr>
        <w:t>24  |  Udayan Care</w:t>
      </w:r>
    </w:p>
    <w:p>
      <w:pPr>
        <w:spacing w:after="60" w:line="324" w:lineRule="auto"/>
        <w:jc w:val="right"/>
        <w:bidi w:val="1"/>
      </w:pPr>
      <w:r>
        <w:rPr>
          <w:rFonts w:ascii="Noto Naskh Arabic" w:hAnsi="Noto Naskh Arabic" w:cs="Noto Naskh Arabic" w:eastAsia="Noto Naskh Arabic"/>
          <w:b w:val="0"/>
          <w:i w:val="0"/>
          <w:color w:val="66766F"/>
          <w:sz w:val="18"/>
          <w:rtl w:val="1"/>
        </w:rPr>
        <w:t>الدولة/النطاق: الهند  •  التصنيف: برنامج بحث ومجلة  •  الصلة: A</w:t>
      </w:r>
    </w:p>
    <w:p>
      <w:pPr>
        <w:spacing w:after="80" w:line="324" w:lineRule="auto"/>
        <w:jc w:val="right"/>
        <w:bidi w:val="1"/>
      </w:pPr>
      <w:r>
        <w:rPr>
          <w:rFonts w:ascii="Noto Naskh Arabic" w:hAnsi="Noto Naskh Arabic" w:cs="Noto Naskh Arabic" w:eastAsia="Noto Naskh Arabic"/>
          <w:b w:val="0"/>
          <w:i w:val="0"/>
          <w:rtl w:val="1"/>
        </w:rPr>
        <w:t>طبيعة العمل: مؤسسة تجمع خدمات الرعاية البديلة والمناصرة والبحوث والتدريب ومجلة علمية.</w:t>
      </w:r>
    </w:p>
    <w:p>
      <w:pPr>
        <w:spacing w:after="80" w:line="324" w:lineRule="auto"/>
        <w:jc w:val="right"/>
        <w:bidi w:val="1"/>
      </w:pPr>
      <w:r>
        <w:rPr>
          <w:rFonts w:ascii="Noto Naskh Arabic" w:hAnsi="Noto Naskh Arabic" w:cs="Noto Naskh Arabic" w:eastAsia="Noto Naskh Arabic"/>
          <w:b w:val="0"/>
          <w:i w:val="0"/>
          <w:rtl w:val="1"/>
        </w:rPr>
        <w:t>المخرجات الموثقة: دراسة Beyond 18، مؤتمر BICON، مجلة SAGE وأدلة تدريب.</w:t>
      </w:r>
    </w:p>
    <w:p>
      <w:pPr>
        <w:spacing w:after="80" w:line="324" w:lineRule="auto"/>
        <w:jc w:val="right"/>
        <w:bidi w:val="1"/>
      </w:pPr>
      <w:r>
        <w:rPr>
          <w:rFonts w:ascii="Noto Naskh Arabic" w:hAnsi="Noto Naskh Arabic" w:cs="Noto Naskh Arabic" w:eastAsia="Noto Naskh Arabic"/>
          <w:b w:val="0"/>
          <w:i w:val="0"/>
          <w:rtl w:val="1"/>
        </w:rPr>
        <w:t>الدرس التطبيقي: هيكل مستقل نسبيًا للنشر والمعايير والتمكين بعد الرعاية.</w:t>
      </w:r>
    </w:p>
    <w:p>
      <w:pPr>
        <w:spacing w:after="180" w:line="324" w:lineRule="auto"/>
        <w:jc w:val="right"/>
        <w:bidi w:val="1"/>
      </w:pPr>
      <w:r>
        <w:rPr>
          <w:rFonts w:ascii="Noto Naskh Arabic" w:hAnsi="Noto Naskh Arabic" w:cs="Noto Naskh Arabic" w:eastAsia="Noto Naskh Arabic"/>
          <w:b w:val="0"/>
          <w:i w:val="0"/>
          <w:color w:val="66766F"/>
          <w:sz w:val="18"/>
          <w:rtl w:val="1"/>
        </w:rPr>
        <w:t>ضابط المقارنة: العمل البحثي داخل مؤسسة خدمات وليست جامعة.   [R28] [R29] [R30]</w:t>
      </w:r>
    </w:p>
    <w:p>
      <w:pPr>
        <w:pStyle w:val="Heading2"/>
        <w:jc w:val="right"/>
        <w:keepNext/>
        <w:bidi w:val="1"/>
      </w:pPr>
      <w:r>
        <w:rPr>
          <w:rFonts w:ascii="Noto Kufi Arabic" w:hAnsi="Noto Kufi Arabic" w:cs="Noto Kufi Arabic" w:eastAsia="Noto Kufi Arabic"/>
          <w:b/>
          <w:i w:val="0"/>
          <w:color w:val="0C3B30"/>
          <w:sz w:val="24"/>
          <w:rtl w:val="1"/>
        </w:rPr>
        <w:t>25  |  Africa Network of Care-Leaving Researchers</w:t>
      </w:r>
    </w:p>
    <w:p>
      <w:pPr>
        <w:spacing w:after="60" w:line="324" w:lineRule="auto"/>
        <w:jc w:val="right"/>
        <w:bidi w:val="1"/>
      </w:pPr>
      <w:r>
        <w:rPr>
          <w:rFonts w:ascii="Noto Naskh Arabic" w:hAnsi="Noto Naskh Arabic" w:cs="Noto Naskh Arabic" w:eastAsia="Noto Naskh Arabic"/>
          <w:b w:val="0"/>
          <w:i w:val="0"/>
          <w:color w:val="66766F"/>
          <w:sz w:val="18"/>
          <w:rtl w:val="1"/>
        </w:rPr>
        <w:t>الدولة/النطاق: أفريقيا  •  التصنيف: شبكة بحث أكاديمية  •  الصلة: A</w:t>
      </w:r>
    </w:p>
    <w:p>
      <w:pPr>
        <w:spacing w:after="80" w:line="324" w:lineRule="auto"/>
        <w:jc w:val="right"/>
        <w:bidi w:val="1"/>
      </w:pPr>
      <w:r>
        <w:rPr>
          <w:rFonts w:ascii="Noto Naskh Arabic" w:hAnsi="Noto Naskh Arabic" w:cs="Noto Naskh Arabic" w:eastAsia="Noto Naskh Arabic"/>
          <w:b w:val="0"/>
          <w:i w:val="0"/>
          <w:rtl w:val="1"/>
        </w:rPr>
        <w:t>طبيعة العمل: شبكة باحثين مختصة بالشباب الخارجين من الرعاية وتجمع الأدبيات.</w:t>
      </w:r>
    </w:p>
    <w:p>
      <w:pPr>
        <w:spacing w:after="80" w:line="324" w:lineRule="auto"/>
        <w:jc w:val="right"/>
        <w:bidi w:val="1"/>
      </w:pPr>
      <w:r>
        <w:rPr>
          <w:rFonts w:ascii="Noto Naskh Arabic" w:hAnsi="Noto Naskh Arabic" w:cs="Noto Naskh Arabic" w:eastAsia="Noto Naskh Arabic"/>
          <w:b w:val="0"/>
          <w:i w:val="0"/>
          <w:rtl w:val="1"/>
        </w:rPr>
        <w:t>المخرجات الموثقة: ببليوغرافيا أفريقية وعالمية مؤرخة، بحوث مشتركة.</w:t>
      </w:r>
    </w:p>
    <w:p>
      <w:pPr>
        <w:spacing w:after="80" w:line="324" w:lineRule="auto"/>
        <w:jc w:val="right"/>
        <w:bidi w:val="1"/>
      </w:pPr>
      <w:r>
        <w:rPr>
          <w:rFonts w:ascii="Noto Naskh Arabic" w:hAnsi="Noto Naskh Arabic" w:cs="Noto Naskh Arabic" w:eastAsia="Noto Naskh Arabic"/>
          <w:b w:val="0"/>
          <w:i w:val="0"/>
          <w:rtl w:val="1"/>
        </w:rPr>
        <w:t>الدرس التطبيقي: بناء ببليوغرافيا عربية قابلة للتحديث واستقطاب باحثين.</w:t>
      </w:r>
    </w:p>
    <w:p>
      <w:pPr>
        <w:spacing w:after="180" w:line="324" w:lineRule="auto"/>
        <w:jc w:val="right"/>
        <w:bidi w:val="1"/>
      </w:pPr>
      <w:r>
        <w:rPr>
          <w:rFonts w:ascii="Noto Naskh Arabic" w:hAnsi="Noto Naskh Arabic" w:cs="Noto Naskh Arabic" w:eastAsia="Noto Naskh Arabic"/>
          <w:b w:val="0"/>
          <w:i w:val="0"/>
          <w:color w:val="66766F"/>
          <w:sz w:val="18"/>
          <w:rtl w:val="1"/>
        </w:rPr>
        <w:t>ضابط المقارنة: الببليوغرافيا المتاحة تعود لإصدار 2020.   [R31]</w:t>
      </w:r>
    </w:p>
    <w:p>
      <w:pPr>
        <w:pStyle w:val="Heading2"/>
        <w:jc w:val="right"/>
        <w:keepNext/>
        <w:bidi w:val="1"/>
      </w:pPr>
      <w:r>
        <w:rPr>
          <w:rFonts w:ascii="Noto Kufi Arabic" w:hAnsi="Noto Kufi Arabic" w:cs="Noto Kufi Arabic" w:eastAsia="Noto Kufi Arabic"/>
          <w:b/>
          <w:i w:val="0"/>
          <w:color w:val="0C3B30"/>
          <w:sz w:val="24"/>
          <w:rtl w:val="1"/>
        </w:rPr>
        <w:t>26  |  Association for Care Leavers Networks in Africa</w:t>
      </w:r>
    </w:p>
    <w:p>
      <w:pPr>
        <w:spacing w:after="60" w:line="324" w:lineRule="auto"/>
        <w:jc w:val="right"/>
        <w:bidi w:val="1"/>
      </w:pPr>
      <w:r>
        <w:rPr>
          <w:rFonts w:ascii="Noto Naskh Arabic" w:hAnsi="Noto Naskh Arabic" w:cs="Noto Naskh Arabic" w:eastAsia="Noto Naskh Arabic"/>
          <w:b w:val="0"/>
          <w:i w:val="0"/>
          <w:color w:val="66766F"/>
          <w:sz w:val="18"/>
          <w:rtl w:val="1"/>
        </w:rPr>
        <w:t>الدولة/النطاق: أفريقيا/كينيا  •  التصنيف: شبكة بحث تشاركي  •  الصلة: B</w:t>
      </w:r>
    </w:p>
    <w:p>
      <w:pPr>
        <w:spacing w:after="80" w:line="324" w:lineRule="auto"/>
        <w:jc w:val="right"/>
        <w:bidi w:val="1"/>
      </w:pPr>
      <w:r>
        <w:rPr>
          <w:rFonts w:ascii="Noto Naskh Arabic" w:hAnsi="Noto Naskh Arabic" w:cs="Noto Naskh Arabic" w:eastAsia="Noto Naskh Arabic"/>
          <w:b w:val="0"/>
          <w:i w:val="0"/>
          <w:rtl w:val="1"/>
        </w:rPr>
        <w:t>طبيعة العمل: شبكة يقودها شباب ذوو خبرة في الرعاية، وتضع توليد الأدلة ضمن وظائفها.</w:t>
      </w:r>
    </w:p>
    <w:p>
      <w:pPr>
        <w:spacing w:after="80" w:line="324" w:lineRule="auto"/>
        <w:jc w:val="right"/>
        <w:bidi w:val="1"/>
      </w:pPr>
      <w:r>
        <w:rPr>
          <w:rFonts w:ascii="Noto Naskh Arabic" w:hAnsi="Noto Naskh Arabic" w:cs="Noto Naskh Arabic" w:eastAsia="Noto Naskh Arabic"/>
          <w:b w:val="0"/>
          <w:i w:val="0"/>
          <w:rtl w:val="1"/>
        </w:rPr>
        <w:t>المخرجات الموثقة: أبحاث وتجارب معيشة، مبادرات تمكين، مناصرة.</w:t>
      </w:r>
    </w:p>
    <w:p>
      <w:pPr>
        <w:spacing w:after="80" w:line="324" w:lineRule="auto"/>
        <w:jc w:val="right"/>
        <w:bidi w:val="1"/>
      </w:pPr>
      <w:r>
        <w:rPr>
          <w:rFonts w:ascii="Noto Naskh Arabic" w:hAnsi="Noto Naskh Arabic" w:cs="Noto Naskh Arabic" w:eastAsia="Noto Naskh Arabic"/>
          <w:b w:val="0"/>
          <w:i w:val="0"/>
          <w:rtl w:val="1"/>
        </w:rPr>
        <w:t>الدرس التطبيقي: وضع آليات أخلاقية لإشراك الشباب في صياغة أسئلة البحث.</w:t>
      </w:r>
    </w:p>
    <w:p>
      <w:pPr>
        <w:spacing w:after="180" w:line="324" w:lineRule="auto"/>
        <w:jc w:val="right"/>
        <w:bidi w:val="1"/>
      </w:pPr>
      <w:r>
        <w:rPr>
          <w:rFonts w:ascii="Noto Naskh Arabic" w:hAnsi="Noto Naskh Arabic" w:cs="Noto Naskh Arabic" w:eastAsia="Noto Naskh Arabic"/>
          <w:b w:val="0"/>
          <w:i w:val="0"/>
          <w:color w:val="66766F"/>
          <w:sz w:val="18"/>
          <w:rtl w:val="1"/>
        </w:rPr>
        <w:t>ضابط المقارنة: شبكة شبابية وليست مؤسسة تحكيم أكاديمي.   [R32]</w:t>
      </w:r>
    </w:p>
    <w:p>
      <w:pPr>
        <w:pStyle w:val="Heading2"/>
        <w:jc w:val="right"/>
        <w:keepNext/>
        <w:bidi w:val="1"/>
      </w:pPr>
      <w:r>
        <w:rPr>
          <w:rFonts w:ascii="Noto Kufi Arabic" w:hAnsi="Noto Kufi Arabic" w:cs="Noto Kufi Arabic" w:eastAsia="Noto Kufi Arabic"/>
          <w:b/>
          <w:i w:val="0"/>
          <w:color w:val="0C3B30"/>
          <w:sz w:val="24"/>
          <w:rtl w:val="1"/>
        </w:rPr>
        <w:t>27  |  African Child Policy Forum</w:t>
      </w:r>
    </w:p>
    <w:p>
      <w:pPr>
        <w:spacing w:after="60" w:line="324" w:lineRule="auto"/>
        <w:jc w:val="right"/>
        <w:bidi w:val="1"/>
      </w:pPr>
      <w:r>
        <w:rPr>
          <w:rFonts w:ascii="Noto Naskh Arabic" w:hAnsi="Noto Naskh Arabic" w:cs="Noto Naskh Arabic" w:eastAsia="Noto Naskh Arabic"/>
          <w:b w:val="0"/>
          <w:i w:val="0"/>
          <w:color w:val="66766F"/>
          <w:sz w:val="18"/>
          <w:rtl w:val="1"/>
        </w:rPr>
        <w:t>الدولة/النطاق: إثيوبيا/أفريقيا  •  التصنيف: معهد سياسات الطفل  •  الصلة: B</w:t>
      </w:r>
    </w:p>
    <w:p>
      <w:pPr>
        <w:spacing w:after="80" w:line="324" w:lineRule="auto"/>
        <w:jc w:val="right"/>
        <w:bidi w:val="1"/>
      </w:pPr>
      <w:r>
        <w:rPr>
          <w:rFonts w:ascii="Noto Naskh Arabic" w:hAnsi="Noto Naskh Arabic" w:cs="Noto Naskh Arabic" w:eastAsia="Noto Naskh Arabic"/>
          <w:b w:val="0"/>
          <w:i w:val="0"/>
          <w:rtl w:val="1"/>
        </w:rPr>
        <w:t>طبيعة العمل: معهد مستقل لسياسات الطفل الأفريقي يطوّر المراجع القانونية والمقارنات.</w:t>
      </w:r>
    </w:p>
    <w:p>
      <w:pPr>
        <w:spacing w:after="80" w:line="324" w:lineRule="auto"/>
        <w:jc w:val="right"/>
        <w:bidi w:val="1"/>
      </w:pPr>
      <w:r>
        <w:rPr>
          <w:rFonts w:ascii="Noto Naskh Arabic" w:hAnsi="Noto Naskh Arabic" w:cs="Noto Naskh Arabic" w:eastAsia="Noto Naskh Arabic"/>
          <w:b w:val="0"/>
          <w:i w:val="0"/>
          <w:rtl w:val="1"/>
        </w:rPr>
        <w:t>المخرجات الموثقة: قاعدة قوانين وسياسات الطفل، أوراق تحليل وتقييم.</w:t>
      </w:r>
    </w:p>
    <w:p>
      <w:pPr>
        <w:spacing w:after="80" w:line="324" w:lineRule="auto"/>
        <w:jc w:val="right"/>
        <w:bidi w:val="1"/>
      </w:pPr>
      <w:r>
        <w:rPr>
          <w:rFonts w:ascii="Noto Naskh Arabic" w:hAnsi="Noto Naskh Arabic" w:cs="Noto Naskh Arabic" w:eastAsia="Noto Naskh Arabic"/>
          <w:b w:val="0"/>
          <w:i w:val="0"/>
          <w:rtl w:val="1"/>
        </w:rPr>
        <w:t>الدرس التطبيقي: إنشاء مسار تشريعي مقارن عربي للمصطلحات ونظم الكفالة.</w:t>
      </w:r>
    </w:p>
    <w:p>
      <w:pPr>
        <w:spacing w:after="180" w:line="324" w:lineRule="auto"/>
        <w:jc w:val="right"/>
        <w:bidi w:val="1"/>
      </w:pPr>
      <w:r>
        <w:rPr>
          <w:rFonts w:ascii="Noto Naskh Arabic" w:hAnsi="Noto Naskh Arabic" w:cs="Noto Naskh Arabic" w:eastAsia="Noto Naskh Arabic"/>
          <w:b w:val="0"/>
          <w:i w:val="0"/>
          <w:color w:val="66766F"/>
          <w:sz w:val="18"/>
          <w:rtl w:val="1"/>
        </w:rPr>
        <w:t>ضابط المقارنة: اختصاص الأطفال واسع وليس الأيتام حصريًا.   [R33] [R41]</w:t>
      </w:r>
    </w:p>
    <w:p>
      <w:pPr>
        <w:pStyle w:val="Heading2"/>
        <w:jc w:val="right"/>
        <w:keepNext/>
        <w:bidi w:val="1"/>
      </w:pPr>
      <w:r>
        <w:rPr>
          <w:rFonts w:ascii="Noto Kufi Arabic" w:hAnsi="Noto Kufi Arabic" w:cs="Noto Kufi Arabic" w:eastAsia="Noto Kufi Arabic"/>
          <w:b/>
          <w:i w:val="0"/>
          <w:color w:val="0C3B30"/>
          <w:sz w:val="24"/>
          <w:rtl w:val="1"/>
        </w:rPr>
        <w:t>28  |  Children’s Institute - University of Cape Town</w:t>
      </w:r>
    </w:p>
    <w:p>
      <w:pPr>
        <w:spacing w:after="60" w:line="324" w:lineRule="auto"/>
        <w:jc w:val="right"/>
        <w:bidi w:val="1"/>
      </w:pPr>
      <w:r>
        <w:rPr>
          <w:rFonts w:ascii="Noto Naskh Arabic" w:hAnsi="Noto Naskh Arabic" w:cs="Noto Naskh Arabic" w:eastAsia="Noto Naskh Arabic"/>
          <w:b w:val="0"/>
          <w:i w:val="0"/>
          <w:color w:val="66766F"/>
          <w:sz w:val="18"/>
          <w:rtl w:val="1"/>
        </w:rPr>
        <w:t>الدولة/النطاق: جنوب أفريقيا  •  التصنيف: مركز جامعي للرصد  •  الصلة: B</w:t>
      </w:r>
    </w:p>
    <w:p>
      <w:pPr>
        <w:spacing w:after="80" w:line="324" w:lineRule="auto"/>
        <w:jc w:val="right"/>
        <w:bidi w:val="1"/>
      </w:pPr>
      <w:r>
        <w:rPr>
          <w:rFonts w:ascii="Noto Naskh Arabic" w:hAnsi="Noto Naskh Arabic" w:cs="Noto Naskh Arabic" w:eastAsia="Noto Naskh Arabic"/>
          <w:b w:val="0"/>
          <w:i w:val="0"/>
          <w:rtl w:val="1"/>
        </w:rPr>
        <w:t>طبيعة العمل: معهد جامعي ينتج تقرير Child Gauge السنوي عن أوضاع وحقوق الطفل.</w:t>
      </w:r>
    </w:p>
    <w:p>
      <w:pPr>
        <w:spacing w:after="80" w:line="324" w:lineRule="auto"/>
        <w:jc w:val="right"/>
        <w:bidi w:val="1"/>
      </w:pPr>
      <w:r>
        <w:rPr>
          <w:rFonts w:ascii="Noto Naskh Arabic" w:hAnsi="Noto Naskh Arabic" w:cs="Noto Naskh Arabic" w:eastAsia="Noto Naskh Arabic"/>
          <w:b w:val="0"/>
          <w:i w:val="0"/>
          <w:rtl w:val="1"/>
        </w:rPr>
        <w:t>المخرجات الموثقة: تقارير سنوية، رصد مؤشرات، موجزات قانونية وسياسات.</w:t>
      </w:r>
    </w:p>
    <w:p>
      <w:pPr>
        <w:spacing w:after="80" w:line="324" w:lineRule="auto"/>
        <w:jc w:val="right"/>
        <w:bidi w:val="1"/>
      </w:pPr>
      <w:r>
        <w:rPr>
          <w:rFonts w:ascii="Noto Naskh Arabic" w:hAnsi="Noto Naskh Arabic" w:cs="Noto Naskh Arabic" w:eastAsia="Noto Naskh Arabic"/>
          <w:b w:val="0"/>
          <w:i w:val="0"/>
          <w:rtl w:val="1"/>
        </w:rPr>
        <w:t>الدرس التطبيقي: إصدار تقرير سنوي متعدد المؤلفين ذي بيانات موثقة.</w:t>
      </w:r>
    </w:p>
    <w:p>
      <w:pPr>
        <w:spacing w:after="180" w:line="324" w:lineRule="auto"/>
        <w:jc w:val="right"/>
        <w:bidi w:val="1"/>
      </w:pPr>
      <w:r>
        <w:rPr>
          <w:rFonts w:ascii="Noto Naskh Arabic" w:hAnsi="Noto Naskh Arabic" w:cs="Noto Naskh Arabic" w:eastAsia="Noto Naskh Arabic"/>
          <w:b w:val="0"/>
          <w:i w:val="0"/>
          <w:color w:val="66766F"/>
          <w:sz w:val="18"/>
          <w:rtl w:val="1"/>
        </w:rPr>
        <w:t>ضابط المقارنة: يغطي الطفل عمومًا.   [R34]</w:t>
      </w:r>
    </w:p>
    <w:p>
      <w:pPr>
        <w:pStyle w:val="Heading2"/>
        <w:jc w:val="right"/>
        <w:keepNext/>
        <w:bidi w:val="1"/>
      </w:pPr>
      <w:r>
        <w:rPr>
          <w:rFonts w:ascii="Noto Kufi Arabic" w:hAnsi="Noto Kufi Arabic" w:cs="Noto Kufi Arabic" w:eastAsia="Noto Kufi Arabic"/>
          <w:b/>
          <w:i w:val="0"/>
          <w:color w:val="0C3B30"/>
          <w:sz w:val="24"/>
          <w:rtl w:val="1"/>
        </w:rPr>
        <w:t>29  |  RELAF - شبكة أمريكا اللاتينية للرعاية الأسرية</w:t>
      </w:r>
    </w:p>
    <w:p>
      <w:pPr>
        <w:spacing w:after="60" w:line="324" w:lineRule="auto"/>
        <w:jc w:val="right"/>
        <w:bidi w:val="1"/>
      </w:pPr>
      <w:r>
        <w:rPr>
          <w:rFonts w:ascii="Noto Naskh Arabic" w:hAnsi="Noto Naskh Arabic" w:cs="Noto Naskh Arabic" w:eastAsia="Noto Naskh Arabic"/>
          <w:b w:val="0"/>
          <w:i w:val="0"/>
          <w:color w:val="66766F"/>
          <w:sz w:val="18"/>
          <w:rtl w:val="1"/>
        </w:rPr>
        <w:t>الدولة/النطاق: أمريكا اللاتينية/أوروغواي  •  التصنيف: شبكة مرجعية للرعاية البديلة  •  الصلة: A</w:t>
      </w:r>
    </w:p>
    <w:p>
      <w:pPr>
        <w:spacing w:after="80" w:line="324" w:lineRule="auto"/>
        <w:jc w:val="right"/>
        <w:bidi w:val="1"/>
      </w:pPr>
      <w:r>
        <w:rPr>
          <w:rFonts w:ascii="Noto Naskh Arabic" w:hAnsi="Noto Naskh Arabic" w:cs="Noto Naskh Arabic" w:eastAsia="Noto Naskh Arabic"/>
          <w:b w:val="0"/>
          <w:i w:val="0"/>
          <w:rtl w:val="1"/>
        </w:rPr>
        <w:t>طبيعة العمل: شبكة متخصصة في الحقوق المتعلقة بالرعاية الأسرية والإصلاح والمؤلفات الإقليمية.</w:t>
      </w:r>
    </w:p>
    <w:p>
      <w:pPr>
        <w:spacing w:after="80" w:line="324" w:lineRule="auto"/>
        <w:jc w:val="right"/>
        <w:bidi w:val="1"/>
      </w:pPr>
      <w:r>
        <w:rPr>
          <w:rFonts w:ascii="Noto Naskh Arabic" w:hAnsi="Noto Naskh Arabic" w:cs="Noto Naskh Arabic" w:eastAsia="Noto Naskh Arabic"/>
          <w:b w:val="0"/>
          <w:i w:val="0"/>
          <w:rtl w:val="1"/>
        </w:rPr>
        <w:t>المخرجات الموثقة: مكتبة ومراجع مقارنة، مختبر حالة، مساعدة فنية.</w:t>
      </w:r>
    </w:p>
    <w:p>
      <w:pPr>
        <w:spacing w:after="80" w:line="324" w:lineRule="auto"/>
        <w:jc w:val="right"/>
        <w:bidi w:val="1"/>
      </w:pPr>
      <w:r>
        <w:rPr>
          <w:rFonts w:ascii="Noto Naskh Arabic" w:hAnsi="Noto Naskh Arabic" w:cs="Noto Naskh Arabic" w:eastAsia="Noto Naskh Arabic"/>
          <w:b w:val="0"/>
          <w:i w:val="0"/>
          <w:rtl w:val="1"/>
        </w:rPr>
        <w:t>الدرس التطبيقي: إنجاز أطلس إقليمي ومقارنة نظم الرعاية بدل الجرد الوطني فقط.</w:t>
      </w:r>
    </w:p>
    <w:p>
      <w:pPr>
        <w:spacing w:after="180" w:line="324" w:lineRule="auto"/>
        <w:jc w:val="right"/>
        <w:bidi w:val="1"/>
      </w:pPr>
      <w:r>
        <w:rPr>
          <w:rFonts w:ascii="Noto Naskh Arabic" w:hAnsi="Noto Naskh Arabic" w:cs="Noto Naskh Arabic" w:eastAsia="Noto Naskh Arabic"/>
          <w:b w:val="0"/>
          <w:i w:val="0"/>
          <w:color w:val="66766F"/>
          <w:sz w:val="18"/>
          <w:rtl w:val="1"/>
        </w:rPr>
        <w:t>ضابط المقارنة: النطاق الإقليمي للرعاية البديلة أوسع من اليتم.   [R35] [R42]</w:t>
      </w:r>
    </w:p>
    <w:p>
      <w:pPr>
        <w:pStyle w:val="Heading2"/>
        <w:jc w:val="right"/>
        <w:keepNext/>
        <w:bidi w:val="1"/>
      </w:pPr>
      <w:r>
        <w:rPr>
          <w:rFonts w:ascii="Noto Kufi Arabic" w:hAnsi="Noto Kufi Arabic" w:cs="Noto Kufi Arabic" w:eastAsia="Noto Kufi Arabic"/>
          <w:b/>
          <w:i w:val="0"/>
          <w:color w:val="0C3B30"/>
          <w:sz w:val="24"/>
          <w:rtl w:val="1"/>
        </w:rPr>
        <w:t>30  |  Consortium for Street Children</w:t>
      </w:r>
    </w:p>
    <w:p>
      <w:pPr>
        <w:spacing w:after="60" w:line="324" w:lineRule="auto"/>
        <w:jc w:val="right"/>
        <w:bidi w:val="1"/>
      </w:pPr>
      <w:r>
        <w:rPr>
          <w:rFonts w:ascii="Noto Naskh Arabic" w:hAnsi="Noto Naskh Arabic" w:cs="Noto Naskh Arabic" w:eastAsia="Noto Naskh Arabic"/>
          <w:b w:val="0"/>
          <w:i w:val="0"/>
          <w:color w:val="66766F"/>
          <w:sz w:val="18"/>
          <w:rtl w:val="1"/>
        </w:rPr>
        <w:t>الدولة/النطاق: المملكة المتحدة/دولي  •  التصنيف: شبكة مرجعية لأطفال الشارع  •  الصلة: B</w:t>
      </w:r>
    </w:p>
    <w:p>
      <w:pPr>
        <w:spacing w:after="80" w:line="324" w:lineRule="auto"/>
        <w:jc w:val="right"/>
        <w:bidi w:val="1"/>
      </w:pPr>
      <w:r>
        <w:rPr>
          <w:rFonts w:ascii="Noto Naskh Arabic" w:hAnsi="Noto Naskh Arabic" w:cs="Noto Naskh Arabic" w:eastAsia="Noto Naskh Arabic"/>
          <w:b w:val="0"/>
          <w:i w:val="0"/>
          <w:rtl w:val="1"/>
        </w:rPr>
        <w:t>طبيعة العمل: تحالف يمتلك مكتبة بحثية وأدوات حقوقية حول الأطفال المرتبطين بالشارع.</w:t>
      </w:r>
    </w:p>
    <w:p>
      <w:pPr>
        <w:spacing w:after="80" w:line="324" w:lineRule="auto"/>
        <w:jc w:val="right"/>
        <w:bidi w:val="1"/>
      </w:pPr>
      <w:r>
        <w:rPr>
          <w:rFonts w:ascii="Noto Naskh Arabic" w:hAnsi="Noto Naskh Arabic" w:cs="Noto Naskh Arabic" w:eastAsia="Noto Naskh Arabic"/>
          <w:b w:val="0"/>
          <w:i w:val="0"/>
          <w:rtl w:val="1"/>
        </w:rPr>
        <w:t>المخرجات الموثقة: مكتبة أبحاث ومقالات وأطلس قانوني وأدلة مناصرة.</w:t>
      </w:r>
    </w:p>
    <w:p>
      <w:pPr>
        <w:spacing w:after="80" w:line="324" w:lineRule="auto"/>
        <w:jc w:val="right"/>
        <w:bidi w:val="1"/>
      </w:pPr>
      <w:r>
        <w:rPr>
          <w:rFonts w:ascii="Noto Naskh Arabic" w:hAnsi="Noto Naskh Arabic" w:cs="Noto Naskh Arabic" w:eastAsia="Noto Naskh Arabic"/>
          <w:b w:val="0"/>
          <w:i w:val="0"/>
          <w:rtl w:val="1"/>
        </w:rPr>
        <w:t>الدرس التطبيقي: إدراج أوضاع الشارع ضمن المحور البحثي الملائم بلا وصم.</w:t>
      </w:r>
    </w:p>
    <w:p>
      <w:pPr>
        <w:spacing w:after="180" w:line="324" w:lineRule="auto"/>
        <w:jc w:val="right"/>
        <w:bidi w:val="1"/>
      </w:pPr>
      <w:r>
        <w:rPr>
          <w:rFonts w:ascii="Noto Naskh Arabic" w:hAnsi="Noto Naskh Arabic" w:cs="Noto Naskh Arabic" w:eastAsia="Noto Naskh Arabic"/>
          <w:b w:val="0"/>
          <w:i w:val="0"/>
          <w:color w:val="66766F"/>
          <w:sz w:val="18"/>
          <w:rtl w:val="1"/>
        </w:rPr>
        <w:t>ضابط المقارنة: اختصاص موازٍ لليتم ولا يجوز دمج الفئات مفاهيميًا.   [R36]</w:t>
      </w:r>
    </w:p>
    <w:p>
      <w:pPr>
        <w:pStyle w:val="Heading2"/>
        <w:jc w:val="right"/>
        <w:keepNext/>
        <w:bidi w:val="1"/>
      </w:pPr>
      <w:r>
        <w:rPr>
          <w:rFonts w:ascii="Noto Kufi Arabic" w:hAnsi="Noto Kufi Arabic" w:cs="Noto Kufi Arabic" w:eastAsia="Noto Kufi Arabic"/>
          <w:b/>
          <w:i w:val="0"/>
          <w:color w:val="0C3B30"/>
          <w:sz w:val="24"/>
          <w:rtl w:val="1"/>
        </w:rPr>
        <w:t>31  |  Australian Institute of Family Studies</w:t>
      </w:r>
    </w:p>
    <w:p>
      <w:pPr>
        <w:spacing w:after="60" w:line="324" w:lineRule="auto"/>
        <w:jc w:val="right"/>
        <w:bidi w:val="1"/>
      </w:pPr>
      <w:r>
        <w:rPr>
          <w:rFonts w:ascii="Noto Naskh Arabic" w:hAnsi="Noto Naskh Arabic" w:cs="Noto Naskh Arabic" w:eastAsia="Noto Naskh Arabic"/>
          <w:b w:val="0"/>
          <w:i w:val="0"/>
          <w:color w:val="66766F"/>
          <w:sz w:val="18"/>
          <w:rtl w:val="1"/>
        </w:rPr>
        <w:t>الدولة/النطاق: أستراليا  •  التصنيف: معهد حكومي/بحثي للأسرة  •  الصلة: B</w:t>
      </w:r>
    </w:p>
    <w:p>
      <w:pPr>
        <w:spacing w:after="80" w:line="324" w:lineRule="auto"/>
        <w:jc w:val="right"/>
        <w:bidi w:val="1"/>
      </w:pPr>
      <w:r>
        <w:rPr>
          <w:rFonts w:ascii="Noto Naskh Arabic" w:hAnsi="Noto Naskh Arabic" w:cs="Noto Naskh Arabic" w:eastAsia="Noto Naskh Arabic"/>
          <w:b w:val="0"/>
          <w:i w:val="0"/>
          <w:rtl w:val="1"/>
        </w:rPr>
        <w:t>طبيعة العمل: جهة بحث أسترالية تقدم موارد وبرامج حول الأطفال في الرعاية والاحتضان.</w:t>
      </w:r>
    </w:p>
    <w:p>
      <w:pPr>
        <w:spacing w:after="80" w:line="324" w:lineRule="auto"/>
        <w:jc w:val="right"/>
        <w:bidi w:val="1"/>
      </w:pPr>
      <w:r>
        <w:rPr>
          <w:rFonts w:ascii="Noto Naskh Arabic" w:hAnsi="Noto Naskh Arabic" w:cs="Noto Naskh Arabic" w:eastAsia="Noto Naskh Arabic"/>
          <w:b w:val="0"/>
          <w:i w:val="0"/>
          <w:rtl w:val="1"/>
        </w:rPr>
        <w:t>المخرجات الموثقة: مراجعات ممارسات وأبحاث الانفصال الأسري والرعاية.</w:t>
      </w:r>
    </w:p>
    <w:p>
      <w:pPr>
        <w:spacing w:after="80" w:line="324" w:lineRule="auto"/>
        <w:jc w:val="right"/>
        <w:bidi w:val="1"/>
      </w:pPr>
      <w:r>
        <w:rPr>
          <w:rFonts w:ascii="Noto Naskh Arabic" w:hAnsi="Noto Naskh Arabic" w:cs="Noto Naskh Arabic" w:eastAsia="Noto Naskh Arabic"/>
          <w:b w:val="0"/>
          <w:i w:val="0"/>
          <w:rtl w:val="1"/>
        </w:rPr>
        <w:t>الدرس التطبيقي: فهم تبعات الانفصال الأسري بأدوات استجابة متعددة القطاعات.</w:t>
      </w:r>
    </w:p>
    <w:p>
      <w:pPr>
        <w:spacing w:after="180" w:line="324" w:lineRule="auto"/>
        <w:jc w:val="right"/>
        <w:bidi w:val="1"/>
      </w:pPr>
      <w:r>
        <w:rPr>
          <w:rFonts w:ascii="Noto Naskh Arabic" w:hAnsi="Noto Naskh Arabic" w:cs="Noto Naskh Arabic" w:eastAsia="Noto Naskh Arabic"/>
          <w:b w:val="0"/>
          <w:i w:val="0"/>
          <w:color w:val="66766F"/>
          <w:sz w:val="18"/>
          <w:rtl w:val="1"/>
        </w:rPr>
        <w:t>ضابط المقارنة: عمل وطني للأسرة على نطاق أوسع.   [R37]</w:t>
      </w:r>
    </w:p>
    <w:p>
      <w:pPr>
        <w:pStyle w:val="Heading2"/>
        <w:jc w:val="right"/>
        <w:keepNext/>
        <w:bidi w:val="1"/>
      </w:pPr>
      <w:r>
        <w:rPr>
          <w:rFonts w:ascii="Noto Kufi Arabic" w:hAnsi="Noto Kufi Arabic" w:cs="Noto Kufi Arabic" w:eastAsia="Noto Kufi Arabic"/>
          <w:b/>
          <w:i w:val="0"/>
          <w:color w:val="0C3B30"/>
          <w:sz w:val="24"/>
          <w:rtl w:val="1"/>
        </w:rPr>
        <w:t>32  |  Australian Institute of Health and Welfare</w:t>
      </w:r>
    </w:p>
    <w:p>
      <w:pPr>
        <w:spacing w:after="60" w:line="324" w:lineRule="auto"/>
        <w:jc w:val="right"/>
        <w:bidi w:val="1"/>
      </w:pPr>
      <w:r>
        <w:rPr>
          <w:rFonts w:ascii="Noto Naskh Arabic" w:hAnsi="Noto Naskh Arabic" w:cs="Noto Naskh Arabic" w:eastAsia="Noto Naskh Arabic"/>
          <w:b w:val="0"/>
          <w:i w:val="0"/>
          <w:color w:val="66766F"/>
          <w:sz w:val="18"/>
          <w:rtl w:val="1"/>
        </w:rPr>
        <w:t>الدولة/النطاق: أستراليا  •  التصنيف: مرصد وبيانات حكومية  •  الصلة: B</w:t>
      </w:r>
    </w:p>
    <w:p>
      <w:pPr>
        <w:spacing w:after="80" w:line="324" w:lineRule="auto"/>
        <w:jc w:val="right"/>
        <w:bidi w:val="1"/>
      </w:pPr>
      <w:r>
        <w:rPr>
          <w:rFonts w:ascii="Noto Naskh Arabic" w:hAnsi="Noto Naskh Arabic" w:cs="Noto Naskh Arabic" w:eastAsia="Noto Naskh Arabic"/>
          <w:b w:val="0"/>
          <w:i w:val="0"/>
          <w:rtl w:val="1"/>
        </w:rPr>
        <w:t>طبيعة العمل: جهاز بيانات رسمي ينتج مؤشرات وطنية معيارية للرعاية خارج المنزل.</w:t>
      </w:r>
    </w:p>
    <w:p>
      <w:pPr>
        <w:spacing w:after="80" w:line="324" w:lineRule="auto"/>
        <w:jc w:val="right"/>
        <w:bidi w:val="1"/>
      </w:pPr>
      <w:r>
        <w:rPr>
          <w:rFonts w:ascii="Noto Naskh Arabic" w:hAnsi="Noto Naskh Arabic" w:cs="Noto Naskh Arabic" w:eastAsia="Noto Naskh Arabic"/>
          <w:b w:val="0"/>
          <w:i w:val="0"/>
          <w:rtl w:val="1"/>
        </w:rPr>
        <w:t>المخرجات الموثقة: بيانات حماية الأطفال، مؤشرات وطنية ومقاييس مسار الرعاية.</w:t>
      </w:r>
    </w:p>
    <w:p>
      <w:pPr>
        <w:spacing w:after="80" w:line="324" w:lineRule="auto"/>
        <w:jc w:val="right"/>
        <w:bidi w:val="1"/>
      </w:pPr>
      <w:r>
        <w:rPr>
          <w:rFonts w:ascii="Noto Naskh Arabic" w:hAnsi="Noto Naskh Arabic" w:cs="Noto Naskh Arabic" w:eastAsia="Noto Naskh Arabic"/>
          <w:b w:val="0"/>
          <w:i w:val="0"/>
          <w:rtl w:val="1"/>
        </w:rPr>
        <w:t>الدرس التطبيقي: وضع قاموس بيانات ومعايير جودة وإتاحة معلومات مجمعة.</w:t>
      </w:r>
    </w:p>
    <w:p>
      <w:pPr>
        <w:spacing w:after="180" w:line="324" w:lineRule="auto"/>
        <w:jc w:val="right"/>
        <w:bidi w:val="1"/>
      </w:pPr>
      <w:r>
        <w:rPr>
          <w:rFonts w:ascii="Noto Naskh Arabic" w:hAnsi="Noto Naskh Arabic" w:cs="Noto Naskh Arabic" w:eastAsia="Noto Naskh Arabic"/>
          <w:b w:val="0"/>
          <w:i w:val="0"/>
          <w:color w:val="66766F"/>
          <w:sz w:val="18"/>
          <w:rtl w:val="1"/>
        </w:rPr>
        <w:t>ضابط المقارنة: نظام وطني وسياقه القانوني مختلف.   [R38]</w:t>
      </w:r>
    </w:p>
    <w:p>
      <w:pPr>
        <w:pStyle w:val="Heading2"/>
        <w:jc w:val="right"/>
        <w:keepNext/>
        <w:bidi w:val="1"/>
      </w:pPr>
      <w:r>
        <w:rPr>
          <w:rFonts w:ascii="Noto Kufi Arabic" w:hAnsi="Noto Kufi Arabic" w:cs="Noto Kufi Arabic" w:eastAsia="Noto Kufi Arabic"/>
          <w:b/>
          <w:i w:val="0"/>
          <w:color w:val="0C3B30"/>
          <w:sz w:val="24"/>
          <w:rtl w:val="1"/>
        </w:rPr>
        <w:t>33  |  CREATE Foundation</w:t>
      </w:r>
    </w:p>
    <w:p>
      <w:pPr>
        <w:spacing w:after="60" w:line="324" w:lineRule="auto"/>
        <w:jc w:val="right"/>
        <w:bidi w:val="1"/>
      </w:pPr>
      <w:r>
        <w:rPr>
          <w:rFonts w:ascii="Noto Naskh Arabic" w:hAnsi="Noto Naskh Arabic" w:cs="Noto Naskh Arabic" w:eastAsia="Noto Naskh Arabic"/>
          <w:b w:val="0"/>
          <w:i w:val="0"/>
          <w:color w:val="66766F"/>
          <w:sz w:val="18"/>
          <w:rtl w:val="1"/>
        </w:rPr>
        <w:t>الدولة/النطاق: أستراليا  •  التصنيف: صوت وتجارب أصحاب الخبرة  •  الصلة: C</w:t>
      </w:r>
    </w:p>
    <w:p>
      <w:pPr>
        <w:spacing w:after="80" w:line="324" w:lineRule="auto"/>
        <w:jc w:val="right"/>
        <w:bidi w:val="1"/>
      </w:pPr>
      <w:r>
        <w:rPr>
          <w:rFonts w:ascii="Noto Naskh Arabic" w:hAnsi="Noto Naskh Arabic" w:cs="Noto Naskh Arabic" w:eastAsia="Noto Naskh Arabic"/>
          <w:b w:val="0"/>
          <w:i w:val="0"/>
          <w:rtl w:val="1"/>
        </w:rPr>
        <w:t>طبيعة العمل: منظمة ذات دور تمثيلي ومعرفي يتعلق بالأطفال والشباب ذوي خبرة الرعاية.</w:t>
      </w:r>
    </w:p>
    <w:p>
      <w:pPr>
        <w:spacing w:after="80" w:line="324" w:lineRule="auto"/>
        <w:jc w:val="right"/>
        <w:bidi w:val="1"/>
      </w:pPr>
      <w:r>
        <w:rPr>
          <w:rFonts w:ascii="Noto Naskh Arabic" w:hAnsi="Noto Naskh Arabic" w:cs="Noto Naskh Arabic" w:eastAsia="Noto Naskh Arabic"/>
          <w:b w:val="0"/>
          <w:i w:val="0"/>
          <w:rtl w:val="1"/>
        </w:rPr>
        <w:t>المخرجات الموثقة: حملات وتغذية راجعة ومعرفة متولدة من تجارب الشباب.</w:t>
      </w:r>
    </w:p>
    <w:p>
      <w:pPr>
        <w:spacing w:after="80" w:line="324" w:lineRule="auto"/>
        <w:jc w:val="right"/>
        <w:bidi w:val="1"/>
      </w:pPr>
      <w:r>
        <w:rPr>
          <w:rFonts w:ascii="Noto Naskh Arabic" w:hAnsi="Noto Naskh Arabic" w:cs="Noto Naskh Arabic" w:eastAsia="Noto Naskh Arabic"/>
          <w:b w:val="0"/>
          <w:i w:val="0"/>
          <w:rtl w:val="1"/>
        </w:rPr>
        <w:t>الدرس التطبيقي: إشراك من مروا بتجربة الرعاية بصورة قائمة على الحقوق.</w:t>
      </w:r>
    </w:p>
    <w:p>
      <w:pPr>
        <w:spacing w:after="180" w:line="324" w:lineRule="auto"/>
        <w:jc w:val="right"/>
        <w:bidi w:val="1"/>
      </w:pPr>
      <w:r>
        <w:rPr>
          <w:rFonts w:ascii="Noto Naskh Arabic" w:hAnsi="Noto Naskh Arabic" w:cs="Noto Naskh Arabic" w:eastAsia="Noto Naskh Arabic"/>
          <w:b w:val="0"/>
          <w:i w:val="0"/>
          <w:color w:val="66766F"/>
          <w:sz w:val="18"/>
          <w:rtl w:val="1"/>
        </w:rPr>
        <w:t>ضابط المقارنة: ليست مركزًا بحثيًا متخصصًا باليتم.   [R39]</w:t>
      </w:r>
    </w:p>
    <w:p>
      <w:r>
        <w:br w:type="page"/>
      </w:r>
    </w:p>
    <w:p>
      <w:pPr>
        <w:pStyle w:val="Heading1"/>
        <w:spacing w:before="240" w:after="140"/>
        <w:jc w:val="right"/>
        <w:keepNext/>
        <w:bidi w:val="1"/>
      </w:pPr>
      <w:r>
        <w:rPr>
          <w:rFonts w:ascii="Noto Kufi Arabic" w:hAnsi="Noto Kufi Arabic" w:cs="Noto Kufi Arabic" w:eastAsia="Noto Kufi Arabic"/>
          <w:b/>
          <w:i w:val="0"/>
          <w:color w:val="0C3B30"/>
          <w:sz w:val="32"/>
          <w:rtl w:val="1"/>
        </w:rPr>
        <w:t>06 | دراسات حالة مرجعية متعمقة</w:t>
      </w:r>
    </w:p>
    <w:p>
      <w:pPr>
        <w:spacing w:after="100" w:line="324" w:lineRule="auto"/>
        <w:jc w:val="right"/>
        <w:bidi w:val="1"/>
      </w:pPr>
      <w:r>
        <w:rPr>
          <w:rFonts w:ascii="Noto Naskh Arabic" w:hAnsi="Noto Naskh Arabic" w:cs="Noto Naskh Arabic" w:eastAsia="Noto Naskh Arabic"/>
          <w:b w:val="0"/>
          <w:i w:val="0"/>
          <w:rtl w:val="1"/>
        </w:rPr>
        <w:t>تختار هذه الحالات جهات ذات منتجات واضحة تسمح باشتقاق قرارات تصميمية للمركز، من دون تحويل المقارنة إلى ترتيب مفاضلة بين مؤسسات تختلف في المهمة والموارد والبلدان.</w:t>
      </w:r>
    </w:p>
    <w:p>
      <w:pPr>
        <w:pStyle w:val="Heading2"/>
        <w:spacing w:before="160" w:after="140"/>
        <w:jc w:val="right"/>
        <w:keepNext/>
        <w:bidi w:val="1"/>
      </w:pPr>
      <w:r>
        <w:rPr>
          <w:rFonts w:ascii="Noto Kufi Arabic" w:hAnsi="Noto Kufi Arabic" w:cs="Noto Kufi Arabic" w:eastAsia="Noto Kufi Arabic"/>
          <w:b/>
          <w:i w:val="0"/>
          <w:color w:val="B58A28"/>
          <w:sz w:val="24"/>
          <w:rtl w:val="1"/>
        </w:rPr>
        <w:t>01  |  كرسي جامعة أم القرى: مسار التأصيل والبحث الأكاديمي</w:t>
      </w:r>
    </w:p>
    <w:p>
      <w:pPr>
        <w:spacing w:after="100" w:line="324" w:lineRule="auto"/>
        <w:jc w:val="right"/>
        <w:bidi w:val="1"/>
      </w:pPr>
      <w:r>
        <w:rPr>
          <w:rFonts w:ascii="Noto Naskh Arabic" w:hAnsi="Noto Naskh Arabic" w:cs="Noto Naskh Arabic" w:eastAsia="Noto Naskh Arabic"/>
          <w:b w:val="0"/>
          <w:i w:val="0"/>
          <w:rtl w:val="1"/>
        </w:rPr>
        <w:t>نموذج كرسي بحثي يجمع إطارًا أكاديميًا واضحًا ومخرجات منشورة حول الاحتياج والميثاق الأخلاقي والكفالة والتبني. أهم ميزاته وجود نافذة جامعية لضبط المصطلحات وتوظيف البحث في إنتاج الأدلة. ما لا يقدمه هذا النموذج بالضرورة هو مكتبة مفتوحة متكاملة أو منظومة بيانات دولية، لذلك فهو شريك تخصص لا نموذج وحيدًا قابلًا للنسخ.</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936"/>
      </w:tblGrid>
      <w:tr>
        <w:tc>
          <w:tcPr>
            <w:tcW w:type="dxa" w:w="9864"/>
            <w:shd w:fill="F5F0E5"/>
            <w:tcMar>
              <w:top w:w="150" w:type="dxa"/>
              <w:start w:w="210" w:type="dxa"/>
              <w:bottom w:w="150" w:type="dxa"/>
              <w:end w:w="210" w:type="dxa"/>
            </w:tcMar>
          </w:tcPr>
          <w:p>
            <w:pPr>
              <w:jc w:val="right"/>
              <w:bidi w:val="1"/>
            </w:pPr>
            <w:r>
              <w:rPr>
                <w:rFonts w:ascii="Noto Kufi Arabic" w:hAnsi="Noto Kufi Arabic" w:cs="Noto Kufi Arabic" w:eastAsia="Noto Kufi Arabic"/>
                <w:b/>
                <w:i w:val="0"/>
                <w:color w:val="0C3B30"/>
                <w:sz w:val="21"/>
                <w:rtl w:val="1"/>
              </w:rPr>
              <w:t>ترجمة عملية مقترحة</w:t>
            </w:r>
          </w:p>
          <w:p>
            <w:pPr>
              <w:jc w:val="right"/>
              <w:bidi w:val="1"/>
            </w:pPr>
            <w:r>
              <w:rPr>
                <w:rFonts w:ascii="Noto Naskh Arabic" w:hAnsi="Noto Naskh Arabic" w:cs="Noto Naskh Arabic" w:eastAsia="Noto Naskh Arabic"/>
                <w:b w:val="0"/>
                <w:i w:val="0"/>
                <w:color w:val="18352C"/>
                <w:sz w:val="20"/>
                <w:rtl w:val="1"/>
              </w:rPr>
              <w:t>التطبيق: تشكيل لجنة علمية تستعين بمتخصصين في الفقه والقانون وعلم النفس والاجتماع، وإتاحة دعم محدود للرسائل الميدانية ذات الأسئلة التطبيقية.  [R01] [R02]</w:t>
            </w:r>
          </w:p>
        </w:tc>
      </w:tr>
    </w:tbl>
    <w:p>
      <w:pPr>
        <w:spacing w:after="20"/>
      </w:pPr>
    </w:p>
    <w:p>
      <w:pPr>
        <w:pStyle w:val="Heading2"/>
        <w:spacing w:before="160" w:after="140"/>
        <w:jc w:val="right"/>
        <w:keepNext/>
        <w:bidi w:val="1"/>
      </w:pPr>
      <w:r>
        <w:rPr>
          <w:rFonts w:ascii="Noto Kufi Arabic" w:hAnsi="Noto Kufi Arabic" w:cs="Noto Kufi Arabic" w:eastAsia="Noto Kufi Arabic"/>
          <w:b/>
          <w:i w:val="0"/>
          <w:color w:val="B58A28"/>
          <w:sz w:val="24"/>
          <w:rtl w:val="1"/>
        </w:rPr>
        <w:t>02  |  اتحاد رعاية الأيتام: شبكة معرفة قبل أن تكون مكتبة</w:t>
      </w:r>
    </w:p>
    <w:p>
      <w:pPr>
        <w:spacing w:after="100" w:line="324" w:lineRule="auto"/>
        <w:jc w:val="right"/>
        <w:bidi w:val="1"/>
      </w:pPr>
      <w:r>
        <w:rPr>
          <w:rFonts w:ascii="Noto Naskh Arabic" w:hAnsi="Noto Naskh Arabic" w:cs="Noto Naskh Arabic" w:eastAsia="Noto Naskh Arabic"/>
          <w:b w:val="0"/>
          <w:i w:val="0"/>
          <w:rtl w:val="1"/>
        </w:rPr>
        <w:t>تجربة ويكي يتيم وتوثيق أنشطة 2023 تظهر قابلية بناء قاعدة للمراجع والمقالات داخل منظومة قطاعية عابرة للمؤسسات. نقطة التعلم هي أن المكتبة الرقمية تتحسن عندما ترتبط بالشركاء الذين يغذّونها بالمواد وتصنيفها، لا بمجرد شراء مقتنيات. الرقم الوارد في التقرير (586 مادة) مؤرخ لعام 2023، ولا يصلح لتمثيل الحجم الحالي دون تحديث.</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936"/>
      </w:tblGrid>
      <w:tr>
        <w:tc>
          <w:tcPr>
            <w:tcW w:type="dxa" w:w="9864"/>
            <w:shd w:fill="F5F0E5"/>
            <w:tcMar>
              <w:top w:w="150" w:type="dxa"/>
              <w:start w:w="210" w:type="dxa"/>
              <w:bottom w:w="150" w:type="dxa"/>
              <w:end w:w="210" w:type="dxa"/>
            </w:tcMar>
          </w:tcPr>
          <w:p>
            <w:pPr>
              <w:jc w:val="right"/>
              <w:bidi w:val="1"/>
            </w:pPr>
            <w:r>
              <w:rPr>
                <w:rFonts w:ascii="Noto Kufi Arabic" w:hAnsi="Noto Kufi Arabic" w:cs="Noto Kufi Arabic" w:eastAsia="Noto Kufi Arabic"/>
                <w:b/>
                <w:i w:val="0"/>
                <w:color w:val="0C3B30"/>
                <w:sz w:val="21"/>
                <w:rtl w:val="1"/>
              </w:rPr>
              <w:t>ترجمة عملية مقترحة</w:t>
            </w:r>
          </w:p>
          <w:p>
            <w:pPr>
              <w:jc w:val="right"/>
              <w:bidi w:val="1"/>
            </w:pPr>
            <w:r>
              <w:rPr>
                <w:rFonts w:ascii="Noto Naskh Arabic" w:hAnsi="Noto Naskh Arabic" w:cs="Noto Naskh Arabic" w:eastAsia="Noto Naskh Arabic"/>
                <w:b w:val="0"/>
                <w:i w:val="0"/>
                <w:color w:val="18352C"/>
                <w:sz w:val="20"/>
                <w:rtl w:val="1"/>
              </w:rPr>
              <w:t>التطبيق: إطلاق فهرس موضوعي لمكتبة محمد شندي الراوي يذكر المصدر والترخيص وتاريخ المراجعة، وبناء بروتوكول تبادل للمراجع مع الشركاء.  [R05]</w:t>
            </w:r>
          </w:p>
        </w:tc>
      </w:tr>
    </w:tbl>
    <w:p>
      <w:pPr>
        <w:spacing w:after="20"/>
      </w:pPr>
    </w:p>
    <w:p>
      <w:pPr>
        <w:pStyle w:val="Heading2"/>
        <w:spacing w:before="160" w:after="140"/>
        <w:jc w:val="right"/>
        <w:keepNext/>
        <w:bidi w:val="1"/>
      </w:pPr>
      <w:r>
        <w:rPr>
          <w:rFonts w:ascii="Noto Kufi Arabic" w:hAnsi="Noto Kufi Arabic" w:cs="Noto Kufi Arabic" w:eastAsia="Noto Kufi Arabic"/>
          <w:b/>
          <w:i w:val="0"/>
          <w:color w:val="B58A28"/>
          <w:sz w:val="24"/>
          <w:rtl w:val="1"/>
        </w:rPr>
        <w:t>03  |  سند مصر: التحول من الدراسة إلى معيار للرعاية</w:t>
      </w:r>
    </w:p>
    <w:p>
      <w:pPr>
        <w:spacing w:after="100" w:line="324" w:lineRule="auto"/>
        <w:jc w:val="right"/>
        <w:bidi w:val="1"/>
      </w:pPr>
      <w:r>
        <w:rPr>
          <w:rFonts w:ascii="Noto Naskh Arabic" w:hAnsi="Noto Naskh Arabic" w:cs="Noto Naskh Arabic" w:eastAsia="Noto Naskh Arabic"/>
          <w:b w:val="0"/>
          <w:i w:val="0"/>
          <w:rtl w:val="1"/>
        </w:rPr>
        <w:t>تقدم سند مثالًا ملموسًا على التعاون مع الجهات الحكومية لتطوير معايير جودة الخدمة وأدلة الرعاية الأسرية والبرامج اللاحقة للشباب. هذه القيمة تختلف عن مشروع يكتفي بتقرير سنوي؛ فالمنتج هنا قابل للتدقيق والتدريب وقياس الامتثال. يقتضي نقل التجربة إلى سوريا فحص التشريعات المحلية، والتمويل، وقدرات المفتشين، وليس استيراد المعيار حرفيًا.</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936"/>
      </w:tblGrid>
      <w:tr>
        <w:tc>
          <w:tcPr>
            <w:tcW w:type="dxa" w:w="9864"/>
            <w:shd w:fill="F5F0E5"/>
            <w:tcMar>
              <w:top w:w="150" w:type="dxa"/>
              <w:start w:w="210" w:type="dxa"/>
              <w:bottom w:w="150" w:type="dxa"/>
              <w:end w:w="210" w:type="dxa"/>
            </w:tcMar>
          </w:tcPr>
          <w:p>
            <w:pPr>
              <w:jc w:val="right"/>
              <w:bidi w:val="1"/>
            </w:pPr>
            <w:r>
              <w:rPr>
                <w:rFonts w:ascii="Noto Kufi Arabic" w:hAnsi="Noto Kufi Arabic" w:cs="Noto Kufi Arabic" w:eastAsia="Noto Kufi Arabic"/>
                <w:b/>
                <w:i w:val="0"/>
                <w:color w:val="0C3B30"/>
                <w:sz w:val="21"/>
                <w:rtl w:val="1"/>
              </w:rPr>
              <w:t>ترجمة عملية مقترحة</w:t>
            </w:r>
          </w:p>
          <w:p>
            <w:pPr>
              <w:jc w:val="right"/>
              <w:bidi w:val="1"/>
            </w:pPr>
            <w:r>
              <w:rPr>
                <w:rFonts w:ascii="Noto Naskh Arabic" w:hAnsi="Noto Naskh Arabic" w:cs="Noto Naskh Arabic" w:eastAsia="Noto Naskh Arabic"/>
                <w:b w:val="0"/>
                <w:i w:val="0"/>
                <w:color w:val="18352C"/>
                <w:sz w:val="20"/>
                <w:rtl w:val="1"/>
              </w:rPr>
              <w:t>التطبيق: تطوير حزمة قياس جودة البرامج لمؤسسات الكفالة وبرنامج تجريبي محدود قبل توصية سياسات واسعة.  [R08] [R09]</w:t>
            </w:r>
          </w:p>
        </w:tc>
      </w:tr>
    </w:tbl>
    <w:p>
      <w:pPr>
        <w:spacing w:after="20"/>
      </w:pPr>
    </w:p>
    <w:p>
      <w:pPr>
        <w:pStyle w:val="Heading2"/>
        <w:spacing w:before="160" w:after="140"/>
        <w:jc w:val="right"/>
        <w:keepNext/>
        <w:bidi w:val="1"/>
      </w:pPr>
      <w:r>
        <w:rPr>
          <w:rFonts w:ascii="Noto Kufi Arabic" w:hAnsi="Noto Kufi Arabic" w:cs="Noto Kufi Arabic" w:eastAsia="Noto Kufi Arabic"/>
          <w:b/>
          <w:i w:val="0"/>
          <w:color w:val="B58A28"/>
          <w:sz w:val="24"/>
          <w:rtl w:val="1"/>
        </w:rPr>
        <w:t>04  |  الإغاثة الإسلامية: قياس أثر الكفالة</w:t>
      </w:r>
    </w:p>
    <w:p>
      <w:pPr>
        <w:spacing w:after="100" w:line="324" w:lineRule="auto"/>
        <w:jc w:val="right"/>
        <w:bidi w:val="1"/>
      </w:pPr>
      <w:r>
        <w:rPr>
          <w:rFonts w:ascii="Noto Naskh Arabic" w:hAnsi="Noto Naskh Arabic" w:cs="Noto Naskh Arabic" w:eastAsia="Noto Naskh Arabic"/>
          <w:b w:val="0"/>
          <w:i w:val="0"/>
          <w:rtl w:val="1"/>
        </w:rPr>
        <w:t>تتيح الدراسة العالمية فرصة مهمة لفصل عدد الكفالات عن النتائج الفعلية في رفاه الأطفال والأسر، والتعليم والصحة والتمكين. كما توضح أهمية مقارنة نماذج التنفيذ والفترات الزمنية. ينبغي فحص تصميم الدراسة وحدود السببية والانتقاء قبل إعادة استعمال خلاصاتها، خصوصًا عند تقييم برامج جمعية محددة.</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936"/>
      </w:tblGrid>
      <w:tr>
        <w:tc>
          <w:tcPr>
            <w:tcW w:type="dxa" w:w="9864"/>
            <w:shd w:fill="F5F0E5"/>
            <w:tcMar>
              <w:top w:w="150" w:type="dxa"/>
              <w:start w:w="210" w:type="dxa"/>
              <w:bottom w:w="150" w:type="dxa"/>
              <w:end w:w="210" w:type="dxa"/>
            </w:tcMar>
          </w:tcPr>
          <w:p>
            <w:pPr>
              <w:jc w:val="right"/>
              <w:bidi w:val="1"/>
            </w:pPr>
            <w:r>
              <w:rPr>
                <w:rFonts w:ascii="Noto Kufi Arabic" w:hAnsi="Noto Kufi Arabic" w:cs="Noto Kufi Arabic" w:eastAsia="Noto Kufi Arabic"/>
                <w:b/>
                <w:i w:val="0"/>
                <w:color w:val="0C3B30"/>
                <w:sz w:val="21"/>
                <w:rtl w:val="1"/>
              </w:rPr>
              <w:t>ترجمة عملية مقترحة</w:t>
            </w:r>
          </w:p>
          <w:p>
            <w:pPr>
              <w:jc w:val="right"/>
              <w:bidi w:val="1"/>
            </w:pPr>
            <w:r>
              <w:rPr>
                <w:rFonts w:ascii="Noto Naskh Arabic" w:hAnsi="Noto Naskh Arabic" w:cs="Noto Naskh Arabic" w:eastAsia="Noto Naskh Arabic"/>
                <w:b w:val="0"/>
                <w:i w:val="0"/>
                <w:color w:val="18352C"/>
                <w:sz w:val="20"/>
                <w:rtl w:val="1"/>
              </w:rPr>
              <w:t>التطبيق: بروتوكول تقييم تدخل الكفالة يعتمد خطوط أساس، ومؤشرات متعددة المحاور، وعينة مقارنة مناسبة حيث تسمح الأخلاقيات.  [R11]</w:t>
            </w:r>
          </w:p>
        </w:tc>
      </w:tr>
    </w:tbl>
    <w:p>
      <w:pPr>
        <w:spacing w:after="20"/>
      </w:pPr>
    </w:p>
    <w:p>
      <w:pPr>
        <w:pStyle w:val="Heading2"/>
        <w:spacing w:before="160" w:after="140"/>
        <w:jc w:val="right"/>
        <w:keepNext/>
        <w:bidi w:val="1"/>
      </w:pPr>
      <w:r>
        <w:rPr>
          <w:rFonts w:ascii="Noto Kufi Arabic" w:hAnsi="Noto Kufi Arabic" w:cs="Noto Kufi Arabic" w:eastAsia="Noto Kufi Arabic"/>
          <w:b/>
          <w:i w:val="0"/>
          <w:color w:val="B58A28"/>
          <w:sz w:val="24"/>
          <w:rtl w:val="1"/>
        </w:rPr>
        <w:t>05  |  CAFO: حلقة البحث والتعلم والتطبيق</w:t>
      </w:r>
    </w:p>
    <w:p>
      <w:pPr>
        <w:spacing w:after="100" w:line="324" w:lineRule="auto"/>
        <w:jc w:val="right"/>
        <w:bidi w:val="1"/>
      </w:pPr>
      <w:r>
        <w:rPr>
          <w:rFonts w:ascii="Noto Naskh Arabic" w:hAnsi="Noto Naskh Arabic" w:cs="Noto Naskh Arabic" w:eastAsia="Noto Naskh Arabic"/>
          <w:b w:val="0"/>
          <w:i w:val="0"/>
          <w:rtl w:val="1"/>
        </w:rPr>
        <w:t>يجمع المركز بين نتائج الأدلة وأدوات تحسين الخدمة. يصف نهج Core Elements تقييمًا ذاتيًا يوجّه فريق المؤسسة إلى التعلم والتنفيذ ثم إعادة التقييم، بدل الاكتفاء بتوصيات غير قابلة للمتابعة. ويمتلك مرجعية مسيحية معلنة لا ينبغي تجاهلها عند المقارنة مع مركز ذي مرجعية إسلامية.</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936"/>
      </w:tblGrid>
      <w:tr>
        <w:tc>
          <w:tcPr>
            <w:tcW w:type="dxa" w:w="9864"/>
            <w:shd w:fill="F5F0E5"/>
            <w:tcMar>
              <w:top w:w="150" w:type="dxa"/>
              <w:start w:w="210" w:type="dxa"/>
              <w:bottom w:w="150" w:type="dxa"/>
              <w:end w:w="210" w:type="dxa"/>
            </w:tcMar>
          </w:tcPr>
          <w:p>
            <w:pPr>
              <w:jc w:val="right"/>
              <w:bidi w:val="1"/>
            </w:pPr>
            <w:r>
              <w:rPr>
                <w:rFonts w:ascii="Noto Kufi Arabic" w:hAnsi="Noto Kufi Arabic" w:cs="Noto Kufi Arabic" w:eastAsia="Noto Kufi Arabic"/>
                <w:b/>
                <w:i w:val="0"/>
                <w:color w:val="0C3B30"/>
                <w:sz w:val="21"/>
                <w:rtl w:val="1"/>
              </w:rPr>
              <w:t>ترجمة عملية مقترحة</w:t>
            </w:r>
          </w:p>
          <w:p>
            <w:pPr>
              <w:jc w:val="right"/>
              <w:bidi w:val="1"/>
            </w:pPr>
            <w:r>
              <w:rPr>
                <w:rFonts w:ascii="Noto Naskh Arabic" w:hAnsi="Noto Naskh Arabic" w:cs="Noto Naskh Arabic" w:eastAsia="Noto Naskh Arabic"/>
                <w:b w:val="0"/>
                <w:i w:val="0"/>
                <w:color w:val="18352C"/>
                <w:sz w:val="20"/>
                <w:rtl w:val="1"/>
              </w:rPr>
              <w:t>التطبيق: تصميم «مؤشر جاهزية الرعاية» العربي بشفافية منهجية وتحكيم خارجي قبل اعتماده، مع دليل تفسير للمستفيدين.  [R12] [R13] [R14]</w:t>
            </w:r>
          </w:p>
        </w:tc>
      </w:tr>
    </w:tbl>
    <w:p>
      <w:pPr>
        <w:spacing w:after="20"/>
      </w:pPr>
    </w:p>
    <w:p>
      <w:pPr>
        <w:pStyle w:val="Heading2"/>
        <w:spacing w:before="160" w:after="140"/>
        <w:jc w:val="right"/>
        <w:keepNext/>
        <w:bidi w:val="1"/>
      </w:pPr>
      <w:r>
        <w:rPr>
          <w:rFonts w:ascii="Noto Kufi Arabic" w:hAnsi="Noto Kufi Arabic" w:cs="Noto Kufi Arabic" w:eastAsia="Noto Kufi Arabic"/>
          <w:b/>
          <w:i w:val="0"/>
          <w:color w:val="B58A28"/>
          <w:sz w:val="24"/>
          <w:rtl w:val="1"/>
        </w:rPr>
        <w:t>06  |  Udayan Care: النشر المحكّم مع الخبرة الميدانية</w:t>
      </w:r>
    </w:p>
    <w:p>
      <w:pPr>
        <w:spacing w:after="100" w:line="324" w:lineRule="auto"/>
        <w:jc w:val="right"/>
        <w:bidi w:val="1"/>
      </w:pPr>
      <w:r>
        <w:rPr>
          <w:rFonts w:ascii="Noto Naskh Arabic" w:hAnsi="Noto Naskh Arabic" w:cs="Noto Naskh Arabic" w:eastAsia="Noto Naskh Arabic"/>
          <w:b w:val="0"/>
          <w:i w:val="0"/>
          <w:rtl w:val="1"/>
        </w:rPr>
        <w:t>قدمت Udayan Care نموذجًا يجمع برنامج المناصرة والبحوث والتدريب ودراسات ما بعد الرعاية، مع مجلة علمية منشورة عبر SAGE. لا تعني هذه الحالة أن تأسيس مجلة شهرية محكمة سهل؛ انتظام التحكيم والهيئة التحريرية والحَوْكمة والمراجعة الأكاديمية متطلبات مكلفة ومستقلة.</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936"/>
      </w:tblGrid>
      <w:tr>
        <w:tc>
          <w:tcPr>
            <w:tcW w:type="dxa" w:w="9864"/>
            <w:shd w:fill="F5F0E5"/>
            <w:tcMar>
              <w:top w:w="150" w:type="dxa"/>
              <w:start w:w="210" w:type="dxa"/>
              <w:bottom w:w="150" w:type="dxa"/>
              <w:end w:w="210" w:type="dxa"/>
            </w:tcMar>
          </w:tcPr>
          <w:p>
            <w:pPr>
              <w:jc w:val="right"/>
              <w:bidi w:val="1"/>
            </w:pPr>
            <w:r>
              <w:rPr>
                <w:rFonts w:ascii="Noto Kufi Arabic" w:hAnsi="Noto Kufi Arabic" w:cs="Noto Kufi Arabic" w:eastAsia="Noto Kufi Arabic"/>
                <w:b/>
                <w:i w:val="0"/>
                <w:color w:val="0C3B30"/>
                <w:sz w:val="21"/>
                <w:rtl w:val="1"/>
              </w:rPr>
              <w:t>ترجمة عملية مقترحة</w:t>
            </w:r>
          </w:p>
          <w:p>
            <w:pPr>
              <w:jc w:val="right"/>
              <w:bidi w:val="1"/>
            </w:pPr>
            <w:r>
              <w:rPr>
                <w:rFonts w:ascii="Noto Naskh Arabic" w:hAnsi="Noto Naskh Arabic" w:cs="Noto Naskh Arabic" w:eastAsia="Noto Naskh Arabic"/>
                <w:b w:val="0"/>
                <w:i w:val="0"/>
                <w:color w:val="18352C"/>
                <w:sz w:val="20"/>
                <w:rtl w:val="1"/>
              </w:rPr>
              <w:t>التطبيق: بدء نشرة شهرية معرفية غير محكمة، والإعداد لدورية نصف سنوية بعد بناء هيئة تحكيم وميثاق نشر واضح.  [R28] [R29] [R30]</w:t>
            </w:r>
          </w:p>
        </w:tc>
      </w:tr>
    </w:tbl>
    <w:p>
      <w:pPr>
        <w:spacing w:after="20"/>
      </w:pPr>
    </w:p>
    <w:p>
      <w:pPr>
        <w:pStyle w:val="Heading2"/>
        <w:spacing w:before="160" w:after="140"/>
        <w:jc w:val="right"/>
        <w:keepNext/>
        <w:bidi w:val="1"/>
      </w:pPr>
      <w:r>
        <w:rPr>
          <w:rFonts w:ascii="Noto Kufi Arabic" w:hAnsi="Noto Kufi Arabic" w:cs="Noto Kufi Arabic" w:eastAsia="Noto Kufi Arabic"/>
          <w:b/>
          <w:i w:val="0"/>
          <w:color w:val="B58A28"/>
          <w:sz w:val="24"/>
          <w:rtl w:val="1"/>
        </w:rPr>
        <w:t>07  |  D³ كندا: البيانات المقارنة متعددة التخصصات</w:t>
      </w:r>
    </w:p>
    <w:p>
      <w:pPr>
        <w:spacing w:after="100" w:line="324" w:lineRule="auto"/>
        <w:jc w:val="right"/>
        <w:bidi w:val="1"/>
      </w:pPr>
      <w:r>
        <w:rPr>
          <w:rFonts w:ascii="Noto Naskh Arabic" w:hAnsi="Noto Naskh Arabic" w:cs="Noto Naskh Arabic" w:eastAsia="Noto Naskh Arabic"/>
          <w:b w:val="0"/>
          <w:i w:val="0"/>
          <w:rtl w:val="1"/>
        </w:rPr>
        <w:t>يحاول البرنامج الجاري بين 2026 و2030 بناء تحليل مقارن لأوضاع الأطفال الأيتام أو فاقدي الرعاية الوالدية عبر أكثر من 75 دولة منخفضة ومتوسطة الدخل. تمتزج فيه البيانات الكمية والبحث النوعي والقانون والأخلاقيات ونقل المعرفة. قوة المقاربة أنها لا تفترض أن فقد الوالد بيولوجيًا مرادف لفقدان الرعاية أو العكس.</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936"/>
      </w:tblGrid>
      <w:tr>
        <w:tc>
          <w:tcPr>
            <w:tcW w:type="dxa" w:w="9864"/>
            <w:shd w:fill="F5F0E5"/>
            <w:tcMar>
              <w:top w:w="150" w:type="dxa"/>
              <w:start w:w="210" w:type="dxa"/>
              <w:bottom w:w="150" w:type="dxa"/>
              <w:end w:w="210" w:type="dxa"/>
            </w:tcMar>
          </w:tcPr>
          <w:p>
            <w:pPr>
              <w:jc w:val="right"/>
              <w:bidi w:val="1"/>
            </w:pPr>
            <w:r>
              <w:rPr>
                <w:rFonts w:ascii="Noto Kufi Arabic" w:hAnsi="Noto Kufi Arabic" w:cs="Noto Kufi Arabic" w:eastAsia="Noto Kufi Arabic"/>
                <w:b/>
                <w:i w:val="0"/>
                <w:color w:val="0C3B30"/>
                <w:sz w:val="21"/>
                <w:rtl w:val="1"/>
              </w:rPr>
              <w:t>ترجمة عملية مقترحة</w:t>
            </w:r>
          </w:p>
          <w:p>
            <w:pPr>
              <w:jc w:val="right"/>
              <w:bidi w:val="1"/>
            </w:pPr>
            <w:r>
              <w:rPr>
                <w:rFonts w:ascii="Noto Naskh Arabic" w:hAnsi="Noto Naskh Arabic" w:cs="Noto Naskh Arabic" w:eastAsia="Noto Naskh Arabic"/>
                <w:b w:val="0"/>
                <w:i w:val="0"/>
                <w:color w:val="18352C"/>
                <w:sz w:val="20"/>
                <w:rtl w:val="1"/>
              </w:rPr>
              <w:t>التطبيق: اعتماد قاموس مصطلحات قابل للترجمة والتقاطع بين مصادر متعددة مع حماية البيانات الدقيقة وعدم نشر سجلات الأطفال.  [R15] [R16] [R44]</w:t>
            </w:r>
          </w:p>
        </w:tc>
      </w:tr>
    </w:tbl>
    <w:p>
      <w:pPr>
        <w:spacing w:after="20"/>
      </w:pPr>
    </w:p>
    <w:p>
      <w:pPr>
        <w:pStyle w:val="Heading2"/>
        <w:spacing w:before="160" w:after="140"/>
        <w:jc w:val="right"/>
        <w:keepNext/>
        <w:bidi w:val="1"/>
      </w:pPr>
      <w:r>
        <w:rPr>
          <w:rFonts w:ascii="Noto Kufi Arabic" w:hAnsi="Noto Kufi Arabic" w:cs="Noto Kufi Arabic" w:eastAsia="Noto Kufi Arabic"/>
          <w:b/>
          <w:i w:val="0"/>
          <w:color w:val="B58A28"/>
          <w:sz w:val="24"/>
          <w:rtl w:val="1"/>
        </w:rPr>
        <w:t>08  |  UNICEF Innocenti: البحث من سؤال سياسات لا من جدول أنشطة</w:t>
      </w:r>
    </w:p>
    <w:p>
      <w:pPr>
        <w:spacing w:after="100" w:line="324" w:lineRule="auto"/>
        <w:jc w:val="right"/>
        <w:bidi w:val="1"/>
      </w:pPr>
      <w:r>
        <w:rPr>
          <w:rFonts w:ascii="Noto Naskh Arabic" w:hAnsi="Noto Naskh Arabic" w:cs="Noto Naskh Arabic" w:eastAsia="Noto Naskh Arabic"/>
          <w:b w:val="0"/>
          <w:i w:val="0"/>
          <w:rtl w:val="1"/>
        </w:rPr>
        <w:t>بادرت اليونيسف عام 2025 إلى مراجعة الأدلة حول الرعاية الأسرية البديلة، ودمج البحث السياقي ومشاركة الأسر والشباب واستشراف التحولات. توفر هذه المقاربة نموذجًا لإنتاج «أجندة بحثية ذات أولوية» قبل تنفيذ دراسات كثيرة متفاوتة القيمة.</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936"/>
      </w:tblGrid>
      <w:tr>
        <w:tc>
          <w:tcPr>
            <w:tcW w:type="dxa" w:w="9864"/>
            <w:shd w:fill="F5F0E5"/>
            <w:tcMar>
              <w:top w:w="150" w:type="dxa"/>
              <w:start w:w="210" w:type="dxa"/>
              <w:bottom w:w="150" w:type="dxa"/>
              <w:end w:w="210" w:type="dxa"/>
            </w:tcMar>
          </w:tcPr>
          <w:p>
            <w:pPr>
              <w:jc w:val="right"/>
              <w:bidi w:val="1"/>
            </w:pPr>
            <w:r>
              <w:rPr>
                <w:rFonts w:ascii="Noto Kufi Arabic" w:hAnsi="Noto Kufi Arabic" w:cs="Noto Kufi Arabic" w:eastAsia="Noto Kufi Arabic"/>
                <w:b/>
                <w:i w:val="0"/>
                <w:color w:val="0C3B30"/>
                <w:sz w:val="21"/>
                <w:rtl w:val="1"/>
              </w:rPr>
              <w:t>ترجمة عملية مقترحة</w:t>
            </w:r>
          </w:p>
          <w:p>
            <w:pPr>
              <w:jc w:val="right"/>
              <w:bidi w:val="1"/>
            </w:pPr>
            <w:r>
              <w:rPr>
                <w:rFonts w:ascii="Noto Naskh Arabic" w:hAnsi="Noto Naskh Arabic" w:cs="Noto Naskh Arabic" w:eastAsia="Noto Naskh Arabic"/>
                <w:b w:val="0"/>
                <w:i w:val="0"/>
                <w:color w:val="18352C"/>
                <w:sz w:val="20"/>
                <w:rtl w:val="1"/>
              </w:rPr>
              <w:t>التطبيق: لجنة سنوية تحدد خمس فجوات أساسية قابلة للإجابة وتربطها بجهات تنفيذ وممولين لا بمجرد الاهتمام الأكاديمي.  [R17]</w:t>
            </w:r>
          </w:p>
        </w:tc>
      </w:tr>
    </w:tbl>
    <w:p>
      <w:pPr>
        <w:spacing w:after="20"/>
      </w:pPr>
    </w:p>
    <w:p>
      <w:pPr>
        <w:pStyle w:val="Heading2"/>
        <w:spacing w:before="160" w:after="140"/>
        <w:jc w:val="right"/>
        <w:keepNext/>
        <w:bidi w:val="1"/>
      </w:pPr>
      <w:r>
        <w:rPr>
          <w:rFonts w:ascii="Noto Kufi Arabic" w:hAnsi="Noto Kufi Arabic" w:cs="Noto Kufi Arabic" w:eastAsia="Noto Kufi Arabic"/>
          <w:b/>
          <w:i w:val="0"/>
          <w:color w:val="B58A28"/>
          <w:sz w:val="24"/>
          <w:rtl w:val="1"/>
        </w:rPr>
        <w:t>09  |  Rees Centre: البحث الطولي والتعلم من النظم</w:t>
      </w:r>
    </w:p>
    <w:p>
      <w:pPr>
        <w:spacing w:after="100" w:line="324" w:lineRule="auto"/>
        <w:jc w:val="right"/>
        <w:bidi w:val="1"/>
      </w:pPr>
      <w:r>
        <w:rPr>
          <w:rFonts w:ascii="Noto Naskh Arabic" w:hAnsi="Noto Naskh Arabic" w:cs="Noto Naskh Arabic" w:eastAsia="Noto Naskh Arabic"/>
          <w:b w:val="0"/>
          <w:i w:val="0"/>
          <w:rtl w:val="1"/>
        </w:rPr>
        <w:t>يظهر نموذج أكسفورد أهمية وصل نتائج الأطفال بمسارات التعليم والاحتضان والتوظيف والصحة النفسية، ودراسة ما إذا كانت النظم تتعلم من البيانات وتعدل قراراتها. ويعلّمنا أن العوامل الوسيطة، مثل استقرار الانتقال بين المنازل والمدارس، قد تكون أهم من التصنيف العام لنوع الرعاية.</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936"/>
      </w:tblGrid>
      <w:tr>
        <w:tc>
          <w:tcPr>
            <w:tcW w:type="dxa" w:w="9864"/>
            <w:shd w:fill="F5F0E5"/>
            <w:tcMar>
              <w:top w:w="150" w:type="dxa"/>
              <w:start w:w="210" w:type="dxa"/>
              <w:bottom w:w="150" w:type="dxa"/>
              <w:end w:w="210" w:type="dxa"/>
            </w:tcMar>
          </w:tcPr>
          <w:p>
            <w:pPr>
              <w:jc w:val="right"/>
              <w:bidi w:val="1"/>
            </w:pPr>
            <w:r>
              <w:rPr>
                <w:rFonts w:ascii="Noto Kufi Arabic" w:hAnsi="Noto Kufi Arabic" w:cs="Noto Kufi Arabic" w:eastAsia="Noto Kufi Arabic"/>
                <w:b/>
                <w:i w:val="0"/>
                <w:color w:val="0C3B30"/>
                <w:sz w:val="21"/>
                <w:rtl w:val="1"/>
              </w:rPr>
              <w:t>ترجمة عملية مقترحة</w:t>
            </w:r>
          </w:p>
          <w:p>
            <w:pPr>
              <w:jc w:val="right"/>
              <w:bidi w:val="1"/>
            </w:pPr>
            <w:r>
              <w:rPr>
                <w:rFonts w:ascii="Noto Naskh Arabic" w:hAnsi="Noto Naskh Arabic" w:cs="Noto Naskh Arabic" w:eastAsia="Noto Naskh Arabic"/>
                <w:b w:val="0"/>
                <w:i w:val="0"/>
                <w:color w:val="18352C"/>
                <w:sz w:val="20"/>
                <w:rtl w:val="1"/>
              </w:rPr>
              <w:t>التطبيق: دراسة طولية تجريبية محدودة للانتقال من الرعاية إلى التعليم العالي أو العمل، بمشاركة الباحثين ومقدمي الرعاية.  [R18]</w:t>
            </w:r>
          </w:p>
        </w:tc>
      </w:tr>
    </w:tbl>
    <w:p>
      <w:pPr>
        <w:spacing w:after="20"/>
      </w:pPr>
    </w:p>
    <w:p>
      <w:pPr>
        <w:pStyle w:val="Heading2"/>
        <w:spacing w:before="160" w:after="140"/>
        <w:jc w:val="right"/>
        <w:keepNext/>
        <w:bidi w:val="1"/>
      </w:pPr>
      <w:r>
        <w:rPr>
          <w:rFonts w:ascii="Noto Kufi Arabic" w:hAnsi="Noto Kufi Arabic" w:cs="Noto Kufi Arabic" w:eastAsia="Noto Kufi Arabic"/>
          <w:b/>
          <w:i w:val="0"/>
          <w:color w:val="B58A28"/>
          <w:sz w:val="24"/>
          <w:rtl w:val="1"/>
        </w:rPr>
        <w:t>10  |  المعهد البلغاري KHC: المشاركة ليست إضافة شكلية</w:t>
      </w:r>
    </w:p>
    <w:p>
      <w:pPr>
        <w:spacing w:after="100" w:line="324" w:lineRule="auto"/>
        <w:jc w:val="right"/>
        <w:bidi w:val="1"/>
      </w:pPr>
      <w:r>
        <w:rPr>
          <w:rFonts w:ascii="Noto Naskh Arabic" w:hAnsi="Noto Naskh Arabic" w:cs="Noto Naskh Arabic" w:eastAsia="Noto Naskh Arabic"/>
          <w:b w:val="0"/>
          <w:i w:val="0"/>
          <w:rtl w:val="1"/>
        </w:rPr>
        <w:t>يقوم عمل المركز على البحث التشاركي مع الأطفال والوالدين والمهنيين، وعلى جعل نتائج التقييم جزءًا من إصلاح الممارسة. وتستلزم هذه المقاربة بروتوكولًا بالغ العناية بالموافقة وحماية الطفل وتوازن القوة بين الباحث والمشارك.</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936"/>
      </w:tblGrid>
      <w:tr>
        <w:tc>
          <w:tcPr>
            <w:tcW w:type="dxa" w:w="9864"/>
            <w:shd w:fill="F5F0E5"/>
            <w:tcMar>
              <w:top w:w="150" w:type="dxa"/>
              <w:start w:w="210" w:type="dxa"/>
              <w:bottom w:w="150" w:type="dxa"/>
              <w:end w:w="210" w:type="dxa"/>
            </w:tcMar>
          </w:tcPr>
          <w:p>
            <w:pPr>
              <w:jc w:val="right"/>
              <w:bidi w:val="1"/>
            </w:pPr>
            <w:r>
              <w:rPr>
                <w:rFonts w:ascii="Noto Kufi Arabic" w:hAnsi="Noto Kufi Arabic" w:cs="Noto Kufi Arabic" w:eastAsia="Noto Kufi Arabic"/>
                <w:b/>
                <w:i w:val="0"/>
                <w:color w:val="0C3B30"/>
                <w:sz w:val="21"/>
                <w:rtl w:val="1"/>
              </w:rPr>
              <w:t>ترجمة عملية مقترحة</w:t>
            </w:r>
          </w:p>
          <w:p>
            <w:pPr>
              <w:jc w:val="right"/>
              <w:bidi w:val="1"/>
            </w:pPr>
            <w:r>
              <w:rPr>
                <w:rFonts w:ascii="Noto Naskh Arabic" w:hAnsi="Noto Naskh Arabic" w:cs="Noto Naskh Arabic" w:eastAsia="Noto Naskh Arabic"/>
                <w:b w:val="0"/>
                <w:i w:val="0"/>
                <w:color w:val="18352C"/>
                <w:sz w:val="20"/>
                <w:rtl w:val="1"/>
              </w:rPr>
              <w:t>التطبيق: مراجعة أدوات المقابلات مع متخصصين، وتمكين الشباب البالغين من المشاركة في تصميم أسئلة الدراسة بصورة تطوعية وآمنة.  [R21]</w:t>
            </w:r>
          </w:p>
        </w:tc>
      </w:tr>
    </w:tbl>
    <w:p>
      <w:pPr>
        <w:spacing w:after="20"/>
      </w:pPr>
    </w:p>
    <w:p>
      <w:pPr>
        <w:pStyle w:val="Heading2"/>
        <w:spacing w:before="160" w:after="140"/>
        <w:jc w:val="right"/>
        <w:keepNext/>
        <w:bidi w:val="1"/>
      </w:pPr>
      <w:r>
        <w:rPr>
          <w:rFonts w:ascii="Noto Kufi Arabic" w:hAnsi="Noto Kufi Arabic" w:cs="Noto Kufi Arabic" w:eastAsia="Noto Kufi Arabic"/>
          <w:b/>
          <w:i w:val="0"/>
          <w:color w:val="B58A28"/>
          <w:sz w:val="24"/>
          <w:rtl w:val="1"/>
        </w:rPr>
        <w:t>11  |  أفريقيا: الحضور العلمي لشباب خرجوا من الرعاية</w:t>
      </w:r>
    </w:p>
    <w:p>
      <w:pPr>
        <w:spacing w:after="100" w:line="324" w:lineRule="auto"/>
        <w:jc w:val="right"/>
        <w:bidi w:val="1"/>
      </w:pPr>
      <w:r>
        <w:rPr>
          <w:rFonts w:ascii="Noto Naskh Arabic" w:hAnsi="Noto Naskh Arabic" w:cs="Noto Naskh Arabic" w:eastAsia="Noto Naskh Arabic"/>
          <w:b w:val="0"/>
          <w:i w:val="0"/>
          <w:rtl w:val="1"/>
        </w:rPr>
        <w:t>تظهر شبكتا ANCR وACNA طريقين متكاملين: بناء الأدبيات الأكاديمية ومشاركة أصحاب التجربة في الدفاع عن احتياجاتهم. في موقع ANCR ببليوغرافيا مؤرخة لعام 2020؛ وهذا مثال على ضرورة إظهار تاريخ تحديث كل فهرس وعدم عرض مجموعات قديمة بوصفها حديثة.</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936"/>
      </w:tblGrid>
      <w:tr>
        <w:tc>
          <w:tcPr>
            <w:tcW w:type="dxa" w:w="9864"/>
            <w:shd w:fill="F5F0E5"/>
            <w:tcMar>
              <w:top w:w="150" w:type="dxa"/>
              <w:start w:w="210" w:type="dxa"/>
              <w:bottom w:w="150" w:type="dxa"/>
              <w:end w:w="210" w:type="dxa"/>
            </w:tcMar>
          </w:tcPr>
          <w:p>
            <w:pPr>
              <w:jc w:val="right"/>
              <w:bidi w:val="1"/>
            </w:pPr>
            <w:r>
              <w:rPr>
                <w:rFonts w:ascii="Noto Kufi Arabic" w:hAnsi="Noto Kufi Arabic" w:cs="Noto Kufi Arabic" w:eastAsia="Noto Kufi Arabic"/>
                <w:b/>
                <w:i w:val="0"/>
                <w:color w:val="0C3B30"/>
                <w:sz w:val="21"/>
                <w:rtl w:val="1"/>
              </w:rPr>
              <w:t>ترجمة عملية مقترحة</w:t>
            </w:r>
          </w:p>
          <w:p>
            <w:pPr>
              <w:jc w:val="right"/>
              <w:bidi w:val="1"/>
            </w:pPr>
            <w:r>
              <w:rPr>
                <w:rFonts w:ascii="Noto Naskh Arabic" w:hAnsi="Noto Naskh Arabic" w:cs="Noto Naskh Arabic" w:eastAsia="Noto Naskh Arabic"/>
                <w:b w:val="0"/>
                <w:i w:val="0"/>
                <w:color w:val="18352C"/>
                <w:sz w:val="20"/>
                <w:rtl w:val="1"/>
              </w:rPr>
              <w:t>التطبيق: إنشاء «أرشيف خبرة الرعاية» بمشاركات طوعية للبالغين وبروتوكولات مراجعة ومحو بيانات، وإنتاج ببليوغرافيا عربية سنوية.  [R31] [R32]</w:t>
            </w:r>
          </w:p>
        </w:tc>
      </w:tr>
    </w:tbl>
    <w:p>
      <w:pPr>
        <w:spacing w:after="20"/>
      </w:pPr>
    </w:p>
    <w:p>
      <w:pPr>
        <w:pStyle w:val="Heading2"/>
        <w:spacing w:before="160" w:after="140"/>
        <w:jc w:val="right"/>
        <w:keepNext/>
        <w:bidi w:val="1"/>
      </w:pPr>
      <w:r>
        <w:rPr>
          <w:rFonts w:ascii="Noto Kufi Arabic" w:hAnsi="Noto Kufi Arabic" w:cs="Noto Kufi Arabic" w:eastAsia="Noto Kufi Arabic"/>
          <w:b/>
          <w:i w:val="0"/>
          <w:color w:val="B58A28"/>
          <w:sz w:val="24"/>
          <w:rtl w:val="1"/>
        </w:rPr>
        <w:t>12  |  RELAF وأمريكا اللاتينية: من التقرير الوطني إلى الأطلس الإقليمي</w:t>
      </w:r>
    </w:p>
    <w:p>
      <w:pPr>
        <w:spacing w:after="100" w:line="324" w:lineRule="auto"/>
        <w:jc w:val="right"/>
        <w:bidi w:val="1"/>
      </w:pPr>
      <w:r>
        <w:rPr>
          <w:rFonts w:ascii="Noto Naskh Arabic" w:hAnsi="Noto Naskh Arabic" w:cs="Noto Naskh Arabic" w:eastAsia="Noto Naskh Arabic"/>
          <w:b w:val="0"/>
          <w:i w:val="0"/>
          <w:rtl w:val="1"/>
        </w:rPr>
        <w:t>قدمت شبكة RELAF موارد مقارنة حول الأطفال بلا رعاية والدية أو المعرضين لفقدانها، ومسارات تطوير الرعاية الأسرية عبر دول مختلفة. تعلمنا التجربة أن المقارنة الدولية الجيدة تبدأ بتعريف قانوني موحد لكل مؤشر، ثم تسجل الفروق لا أن تخفيها.</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936"/>
      </w:tblGrid>
      <w:tr>
        <w:tc>
          <w:tcPr>
            <w:tcW w:type="dxa" w:w="9864"/>
            <w:shd w:fill="F5F0E5"/>
            <w:tcMar>
              <w:top w:w="150" w:type="dxa"/>
              <w:start w:w="210" w:type="dxa"/>
              <w:bottom w:w="150" w:type="dxa"/>
              <w:end w:w="210" w:type="dxa"/>
            </w:tcMar>
          </w:tcPr>
          <w:p>
            <w:pPr>
              <w:jc w:val="right"/>
              <w:bidi w:val="1"/>
            </w:pPr>
            <w:r>
              <w:rPr>
                <w:rFonts w:ascii="Noto Kufi Arabic" w:hAnsi="Noto Kufi Arabic" w:cs="Noto Kufi Arabic" w:eastAsia="Noto Kufi Arabic"/>
                <w:b/>
                <w:i w:val="0"/>
                <w:color w:val="0C3B30"/>
                <w:sz w:val="21"/>
                <w:rtl w:val="1"/>
              </w:rPr>
              <w:t>ترجمة عملية مقترحة</w:t>
            </w:r>
          </w:p>
          <w:p>
            <w:pPr>
              <w:jc w:val="right"/>
              <w:bidi w:val="1"/>
            </w:pPr>
            <w:r>
              <w:rPr>
                <w:rFonts w:ascii="Noto Naskh Arabic" w:hAnsi="Noto Naskh Arabic" w:cs="Noto Naskh Arabic" w:eastAsia="Noto Naskh Arabic"/>
                <w:b w:val="0"/>
                <w:i w:val="0"/>
                <w:color w:val="18352C"/>
                <w:sz w:val="20"/>
                <w:rtl w:val="1"/>
              </w:rPr>
              <w:t>التطبيق: تجريب «أطلس رعاية الأيتام والرعاية البديلة» على ثلاث دول، وتضمين وصف القانون والسياسة والمصدر وتاريخ التحديث.  [R35] [R42]</w:t>
            </w:r>
          </w:p>
        </w:tc>
      </w:tr>
    </w:tbl>
    <w:p>
      <w:pPr>
        <w:spacing w:after="20"/>
      </w:pPr>
    </w:p>
    <w:p>
      <w:pPr>
        <w:pStyle w:val="Heading2"/>
        <w:spacing w:before="160" w:after="140"/>
        <w:jc w:val="right"/>
        <w:keepNext/>
        <w:bidi w:val="1"/>
      </w:pPr>
      <w:r>
        <w:rPr>
          <w:rFonts w:ascii="Noto Kufi Arabic" w:hAnsi="Noto Kufi Arabic" w:cs="Noto Kufi Arabic" w:eastAsia="Noto Kufi Arabic"/>
          <w:b/>
          <w:i w:val="0"/>
          <w:color w:val="B58A28"/>
          <w:sz w:val="24"/>
          <w:rtl w:val="1"/>
        </w:rPr>
        <w:t>13  |  Consortium for Street Children: مسار مجاور دون خلط مفاهيمي</w:t>
      </w:r>
    </w:p>
    <w:p>
      <w:pPr>
        <w:spacing w:after="100" w:line="324" w:lineRule="auto"/>
        <w:jc w:val="right"/>
        <w:bidi w:val="1"/>
      </w:pPr>
      <w:r>
        <w:rPr>
          <w:rFonts w:ascii="Noto Naskh Arabic" w:hAnsi="Noto Naskh Arabic" w:cs="Noto Naskh Arabic" w:eastAsia="Noto Naskh Arabic"/>
          <w:b w:val="0"/>
          <w:i w:val="0"/>
          <w:rtl w:val="1"/>
        </w:rPr>
        <w:t>يوفر التحالف مكتبة واسعة لأبحاث الأطفال المرتبطين بالشارع وأطلسًا قانونيًا وأدوات للمدافعين. يوضح ذلك لماذا يحتاج المركز إلى محور مدروس حول الأطفال الذين يواجهون فقدان الرعاية أو عدم الاستقرار السكني، مع تجنب وصف الجميع بالأيتام أو استخدام أوصاف وصمية.</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936"/>
      </w:tblGrid>
      <w:tr>
        <w:tc>
          <w:tcPr>
            <w:tcW w:type="dxa" w:w="9864"/>
            <w:shd w:fill="F5F0E5"/>
            <w:tcMar>
              <w:top w:w="150" w:type="dxa"/>
              <w:start w:w="210" w:type="dxa"/>
              <w:bottom w:w="150" w:type="dxa"/>
              <w:end w:w="210" w:type="dxa"/>
            </w:tcMar>
          </w:tcPr>
          <w:p>
            <w:pPr>
              <w:jc w:val="right"/>
              <w:bidi w:val="1"/>
            </w:pPr>
            <w:r>
              <w:rPr>
                <w:rFonts w:ascii="Noto Kufi Arabic" w:hAnsi="Noto Kufi Arabic" w:cs="Noto Kufi Arabic" w:eastAsia="Noto Kufi Arabic"/>
                <w:b/>
                <w:i w:val="0"/>
                <w:color w:val="0C3B30"/>
                <w:sz w:val="21"/>
                <w:rtl w:val="1"/>
              </w:rPr>
              <w:t>ترجمة عملية مقترحة</w:t>
            </w:r>
          </w:p>
          <w:p>
            <w:pPr>
              <w:jc w:val="right"/>
              <w:bidi w:val="1"/>
            </w:pPr>
            <w:r>
              <w:rPr>
                <w:rFonts w:ascii="Noto Naskh Arabic" w:hAnsi="Noto Naskh Arabic" w:cs="Noto Naskh Arabic" w:eastAsia="Noto Naskh Arabic"/>
                <w:b w:val="0"/>
                <w:i w:val="0"/>
                <w:color w:val="18352C"/>
                <w:sz w:val="20"/>
                <w:rtl w:val="1"/>
              </w:rPr>
              <w:t>التطبيق: توجيه الدراسات إلى أنماط الرعاية والحقوق والخدمات، دون سجلات تعريفية للأطفال أو سرديات تستثمر في معاناتهم.  [R36]</w:t>
            </w:r>
          </w:p>
        </w:tc>
      </w:tr>
    </w:tbl>
    <w:p>
      <w:pPr>
        <w:spacing w:after="20"/>
      </w:pPr>
    </w:p>
    <w:p>
      <w:r>
        <w:br w:type="page"/>
      </w:r>
    </w:p>
    <w:p>
      <w:pPr>
        <w:pStyle w:val="Heading1"/>
        <w:spacing w:before="240" w:after="140"/>
        <w:jc w:val="right"/>
        <w:keepNext/>
        <w:bidi w:val="1"/>
      </w:pPr>
      <w:r>
        <w:rPr>
          <w:rFonts w:ascii="Noto Kufi Arabic" w:hAnsi="Noto Kufi Arabic" w:cs="Noto Kufi Arabic" w:eastAsia="Noto Kufi Arabic"/>
          <w:b/>
          <w:i w:val="0"/>
          <w:color w:val="0C3B30"/>
          <w:sz w:val="32"/>
          <w:rtl w:val="1"/>
        </w:rPr>
        <w:t>07 | المقارنة الأفقية والفرص البحثية</w:t>
      </w:r>
    </w:p>
    <w:p>
      <w:pPr>
        <w:pStyle w:val="Heading2"/>
        <w:spacing w:before="160" w:after="140"/>
        <w:jc w:val="right"/>
        <w:keepNext/>
        <w:bidi w:val="1"/>
      </w:pPr>
      <w:r>
        <w:rPr>
          <w:rFonts w:ascii="Noto Kufi Arabic" w:hAnsi="Noto Kufi Arabic" w:cs="Noto Kufi Arabic" w:eastAsia="Noto Kufi Arabic"/>
          <w:b/>
          <w:i w:val="0"/>
          <w:color w:val="B58A28"/>
          <w:sz w:val="24"/>
          <w:rtl w:val="1"/>
        </w:rPr>
        <w:t>ما الذي نستطيع تعلمه من كل نمط؟</w:t>
      </w:r>
    </w:p>
    <w:tbl>
      <w:tblPr>
        <w:tblW w:type="auto" w:w="0"/>
        <w:jc w:val="center"/>
        <w:tblLayout w:type="fixed"/>
        <w:tblLook w:firstColumn="1" w:firstRow="1" w:lastColumn="0" w:lastRow="0" w:noHBand="0" w:noVBand="1" w:val="04A0"/>
        <w:bidiVisual/>
        <w:tblBorders>
          <w:top w:val="nil"/>
          <w:left w:val="nil"/>
          <w:bottom w:val="nil"/>
          <w:right w:val="nil"/>
          <w:insideH w:val="nil"/>
          <w:insideV w:val="nil"/>
        </w:tblBorders>
      </w:tblPr>
      <w:tblGrid>
        <w:gridCol w:w="2232"/>
        <w:gridCol w:w="3816"/>
        <w:gridCol w:w="3744"/>
      </w:tblGrid>
      <w:tr>
        <w:trPr>
          <w:tblHeader w:val="true"/>
        </w:trPr>
        <w:tc>
          <w:tcPr>
            <w:tcW w:type="dxa" w:w="2232"/>
            <w:vAlign w:val="center"/>
            <w:tcMar>
              <w:top w:w="100" w:type="dxa"/>
              <w:start w:w="120" w:type="dxa"/>
              <w:bottom w:w="100" w:type="dxa"/>
              <w:end w:w="120" w:type="dxa"/>
            </w:tcMar>
            <w:shd w:fill="0C3B30"/>
          </w:tcPr>
          <w:p>
            <w:pPr>
              <w:jc w:val="right"/>
              <w:bidi w:val="1"/>
            </w:pPr>
            <w:r>
              <w:rPr>
                <w:rFonts w:ascii="Noto Kufi Arabic" w:hAnsi="Noto Kufi Arabic" w:cs="Noto Kufi Arabic" w:eastAsia="Noto Kufi Arabic"/>
                <w:b/>
                <w:i w:val="0"/>
                <w:color w:val="FFFFFF"/>
                <w:sz w:val="18"/>
                <w:rtl w:val="1"/>
              </w:rPr>
              <w:t>النمط المؤسسي</w:t>
            </w:r>
          </w:p>
        </w:tc>
        <w:tc>
          <w:tcPr>
            <w:tcW w:type="dxa" w:w="3816"/>
            <w:vAlign w:val="center"/>
            <w:tcMar>
              <w:top w:w="100" w:type="dxa"/>
              <w:start w:w="120" w:type="dxa"/>
              <w:bottom w:w="100" w:type="dxa"/>
              <w:end w:w="120" w:type="dxa"/>
            </w:tcMar>
            <w:shd w:fill="0C3B30"/>
          </w:tcPr>
          <w:p>
            <w:pPr>
              <w:jc w:val="right"/>
              <w:bidi w:val="1"/>
            </w:pPr>
            <w:r>
              <w:rPr>
                <w:rFonts w:ascii="Noto Kufi Arabic" w:hAnsi="Noto Kufi Arabic" w:cs="Noto Kufi Arabic" w:eastAsia="Noto Kufi Arabic"/>
                <w:b/>
                <w:i w:val="0"/>
                <w:color w:val="FFFFFF"/>
                <w:sz w:val="18"/>
                <w:rtl w:val="1"/>
              </w:rPr>
              <w:t>القيمة القابلة للنقل</w:t>
            </w:r>
          </w:p>
        </w:tc>
        <w:tc>
          <w:tcPr>
            <w:tcW w:type="dxa" w:w="3744"/>
            <w:vAlign w:val="center"/>
            <w:tcMar>
              <w:top w:w="100" w:type="dxa"/>
              <w:start w:w="120" w:type="dxa"/>
              <w:bottom w:w="100" w:type="dxa"/>
              <w:end w:w="120" w:type="dxa"/>
            </w:tcMar>
            <w:shd w:fill="0C3B30"/>
          </w:tcPr>
          <w:p>
            <w:pPr>
              <w:jc w:val="right"/>
              <w:bidi w:val="1"/>
            </w:pPr>
            <w:r>
              <w:rPr>
                <w:rFonts w:ascii="Noto Kufi Arabic" w:hAnsi="Noto Kufi Arabic" w:cs="Noto Kufi Arabic" w:eastAsia="Noto Kufi Arabic"/>
                <w:b/>
                <w:i w:val="0"/>
                <w:color w:val="FFFFFF"/>
                <w:sz w:val="18"/>
                <w:rtl w:val="1"/>
              </w:rPr>
              <w:t>شرط النجاح</w:t>
            </w:r>
          </w:p>
        </w:tc>
      </w:tr>
      <w:tr>
        <w:tc>
          <w:tcPr>
            <w:tcW w:type="dxa" w:w="2232"/>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كرسي/مركز جامعي</w:t>
            </w:r>
          </w:p>
        </w:tc>
        <w:tc>
          <w:tcPr>
            <w:tcW w:type="dxa" w:w="3816"/>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ضبط المنهج، دعم رسائل ودراسات، استقلال مراجعة</w:t>
            </w:r>
          </w:p>
        </w:tc>
        <w:tc>
          <w:tcPr>
            <w:tcW w:type="dxa" w:w="3744"/>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مجلس علمي ولجنة أخلاقيات مستقلة</w:t>
            </w:r>
          </w:p>
        </w:tc>
      </w:tr>
      <w:tr>
        <w:tc>
          <w:tcPr>
            <w:tcW w:type="dxa" w:w="2232"/>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جمعية بحث تطبيقي</w:t>
            </w:r>
          </w:p>
        </w:tc>
        <w:tc>
          <w:tcPr>
            <w:tcW w:type="dxa" w:w="3816"/>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دراسات احتياج وأدلة مهنية ومعايير قابلة للقياس</w:t>
            </w:r>
          </w:p>
        </w:tc>
        <w:tc>
          <w:tcPr>
            <w:tcW w:type="dxa" w:w="3744"/>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قدرة التنفيذ والتجريب والاستجابة</w:t>
            </w:r>
          </w:p>
        </w:tc>
      </w:tr>
      <w:tr>
        <w:tc>
          <w:tcPr>
            <w:tcW w:type="dxa" w:w="2232"/>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شبكة ومكتبة معرفة</w:t>
            </w:r>
          </w:p>
        </w:tc>
        <w:tc>
          <w:tcPr>
            <w:tcW w:type="dxa" w:w="3816"/>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ببليوغرافيا وفهرسة وشراكات وصول للمصادر</w:t>
            </w:r>
          </w:p>
        </w:tc>
        <w:tc>
          <w:tcPr>
            <w:tcW w:type="dxa" w:w="3744"/>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حقوق نشر وميتا-بيانات وسياسة تحديث</w:t>
            </w:r>
          </w:p>
        </w:tc>
      </w:tr>
      <w:tr>
        <w:tc>
          <w:tcPr>
            <w:tcW w:type="dxa" w:w="2232"/>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مرصد وبيانات</w:t>
            </w:r>
          </w:p>
        </w:tc>
        <w:tc>
          <w:tcPr>
            <w:tcW w:type="dxa" w:w="3816"/>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مصطلحات ومؤشرات قابلة للمقارنة</w:t>
            </w:r>
          </w:p>
        </w:tc>
        <w:tc>
          <w:tcPr>
            <w:tcW w:type="dxa" w:w="3744"/>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حماية بيانات وجودة وسجل مصادر</w:t>
            </w:r>
          </w:p>
        </w:tc>
      </w:tr>
      <w:tr>
        <w:tc>
          <w:tcPr>
            <w:tcW w:type="dxa" w:w="2232"/>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مجلة محكّمة</w:t>
            </w:r>
          </w:p>
        </w:tc>
        <w:tc>
          <w:tcPr>
            <w:tcW w:type="dxa" w:w="3816"/>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إنتاج علم قابل للتحكيم والتراكم</w:t>
            </w:r>
          </w:p>
        </w:tc>
        <w:tc>
          <w:tcPr>
            <w:tcW w:type="dxa" w:w="3744"/>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هيئة مستقلة وتحكيم وموارد وانتظام</w:t>
            </w:r>
          </w:p>
        </w:tc>
      </w:tr>
      <w:tr>
        <w:tc>
          <w:tcPr>
            <w:tcW w:type="dxa" w:w="2232"/>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شبكة أصحاب خبرة</w:t>
            </w:r>
          </w:p>
        </w:tc>
        <w:tc>
          <w:tcPr>
            <w:tcW w:type="dxa" w:w="3816"/>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شراكة من عاشوا الرعاية في السؤال والنتيجة</w:t>
            </w:r>
          </w:p>
        </w:tc>
        <w:tc>
          <w:tcPr>
            <w:tcW w:type="dxa" w:w="3744"/>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موافقة حقيقية ورعاية نفسية ومنع الإيذاء</w:t>
            </w:r>
          </w:p>
        </w:tc>
      </w:tr>
    </w:tbl>
    <w:p>
      <w:pPr>
        <w:spacing w:after="0"/>
      </w:pPr>
    </w:p>
    <w:p>
      <w:pPr>
        <w:pStyle w:val="Heading2"/>
        <w:spacing w:before="160" w:after="140"/>
        <w:jc w:val="right"/>
        <w:keepNext/>
        <w:bidi w:val="1"/>
      </w:pPr>
      <w:r>
        <w:rPr>
          <w:rFonts w:ascii="Noto Kufi Arabic" w:hAnsi="Noto Kufi Arabic" w:cs="Noto Kufi Arabic" w:eastAsia="Noto Kufi Arabic"/>
          <w:b/>
          <w:i w:val="0"/>
          <w:color w:val="B58A28"/>
          <w:sz w:val="24"/>
          <w:rtl w:val="1"/>
        </w:rPr>
        <w:t>مجالات الفجوة التي يمكن للمركز الإضافة فيها</w:t>
      </w:r>
    </w:p>
    <w:p>
      <w:pPr>
        <w:pStyle w:val="Heading2"/>
        <w:spacing w:before="160" w:after="140"/>
        <w:jc w:val="right"/>
        <w:keepNext/>
        <w:bidi w:val="1"/>
      </w:pPr>
      <w:r>
        <w:rPr>
          <w:rFonts w:ascii="Noto Kufi Arabic" w:hAnsi="Noto Kufi Arabic" w:cs="Noto Kufi Arabic" w:eastAsia="Noto Kufi Arabic"/>
          <w:b/>
          <w:i w:val="0"/>
          <w:color w:val="B58A28"/>
          <w:sz w:val="24"/>
          <w:rtl w:val="1"/>
        </w:rPr>
        <w:t>التأصيل الإسلامي المقارن</w:t>
      </w:r>
    </w:p>
    <w:p>
      <w:pPr>
        <w:spacing w:after="100" w:line="324" w:lineRule="auto"/>
        <w:jc w:val="right"/>
        <w:bidi w:val="1"/>
      </w:pPr>
      <w:r>
        <w:rPr>
          <w:rFonts w:ascii="Noto Naskh Arabic" w:hAnsi="Noto Naskh Arabic" w:cs="Noto Naskh Arabic" w:eastAsia="Noto Naskh Arabic"/>
          <w:b w:val="0"/>
          <w:i w:val="0"/>
          <w:rtl w:val="1"/>
        </w:rPr>
        <w:t>جمع الأدلة الفقهية والقانونية حول الكفالة، النسب، الحضانة، الولاية، الرعاية البديلة، وحقوق الطفل، وربطها بالنتائج النفسية والاجتماعية الحديثة دون خلط بين المعايير الفقهية والقانونية الوطنية.</w:t>
      </w:r>
    </w:p>
    <w:p>
      <w:pPr>
        <w:pStyle w:val="Heading2"/>
        <w:spacing w:before="160" w:after="140"/>
        <w:jc w:val="right"/>
        <w:keepNext/>
        <w:bidi w:val="1"/>
      </w:pPr>
      <w:r>
        <w:rPr>
          <w:rFonts w:ascii="Noto Kufi Arabic" w:hAnsi="Noto Kufi Arabic" w:cs="Noto Kufi Arabic" w:eastAsia="Noto Kufi Arabic"/>
          <w:b/>
          <w:i w:val="0"/>
          <w:color w:val="B58A28"/>
          <w:sz w:val="24"/>
          <w:rtl w:val="1"/>
        </w:rPr>
        <w:t>التاريخ والذاكرة السورية</w:t>
      </w:r>
    </w:p>
    <w:p>
      <w:pPr>
        <w:spacing w:after="100" w:line="324" w:lineRule="auto"/>
        <w:jc w:val="right"/>
        <w:bidi w:val="1"/>
      </w:pPr>
      <w:r>
        <w:rPr>
          <w:rFonts w:ascii="Noto Naskh Arabic" w:hAnsi="Noto Naskh Arabic" w:cs="Noto Naskh Arabic" w:eastAsia="Noto Naskh Arabic"/>
          <w:b w:val="0"/>
          <w:i w:val="0"/>
          <w:rtl w:val="1"/>
        </w:rPr>
        <w:t>توثيق تطور رعاية الأيتام والعمل المؤسسي خلال التحولات والأزمات والتهجير، مع بروتوكول ملكية الوثائق ومنهج تحفظي في رواية الخبرات المؤلمة.</w:t>
      </w:r>
    </w:p>
    <w:p>
      <w:pPr>
        <w:pStyle w:val="Heading2"/>
        <w:spacing w:before="160" w:after="140"/>
        <w:jc w:val="right"/>
        <w:keepNext/>
        <w:bidi w:val="1"/>
      </w:pPr>
      <w:r>
        <w:rPr>
          <w:rFonts w:ascii="Noto Kufi Arabic" w:hAnsi="Noto Kufi Arabic" w:cs="Noto Kufi Arabic" w:eastAsia="Noto Kufi Arabic"/>
          <w:b/>
          <w:i w:val="0"/>
          <w:color w:val="B58A28"/>
          <w:sz w:val="24"/>
          <w:rtl w:val="1"/>
        </w:rPr>
        <w:t>الانتقال من الكفالة إلى التمكين</w:t>
      </w:r>
    </w:p>
    <w:p>
      <w:pPr>
        <w:spacing w:after="100" w:line="324" w:lineRule="auto"/>
        <w:jc w:val="right"/>
        <w:bidi w:val="1"/>
      </w:pPr>
      <w:r>
        <w:rPr>
          <w:rFonts w:ascii="Noto Naskh Arabic" w:hAnsi="Noto Naskh Arabic" w:cs="Noto Naskh Arabic" w:eastAsia="Noto Naskh Arabic"/>
          <w:b w:val="0"/>
          <w:i w:val="0"/>
          <w:rtl w:val="1"/>
        </w:rPr>
        <w:t>بحوث نتائج التعليم والعمل والمهارات والسكن والاستقلال، مع اهتمام خاص بالأرامل والأسر الحاضنة والشباب بعد بلوغ سن الرعاية.</w:t>
      </w:r>
    </w:p>
    <w:p>
      <w:pPr>
        <w:pStyle w:val="Heading2"/>
        <w:spacing w:before="160" w:after="140"/>
        <w:jc w:val="right"/>
        <w:keepNext/>
        <w:bidi w:val="1"/>
      </w:pPr>
      <w:r>
        <w:rPr>
          <w:rFonts w:ascii="Noto Kufi Arabic" w:hAnsi="Noto Kufi Arabic" w:cs="Noto Kufi Arabic" w:eastAsia="Noto Kufi Arabic"/>
          <w:b/>
          <w:i w:val="0"/>
          <w:color w:val="B58A28"/>
          <w:sz w:val="24"/>
          <w:rtl w:val="1"/>
        </w:rPr>
        <w:t>قياس أثر التدخلات</w:t>
      </w:r>
    </w:p>
    <w:p>
      <w:pPr>
        <w:spacing w:after="100" w:line="324" w:lineRule="auto"/>
        <w:jc w:val="right"/>
        <w:bidi w:val="1"/>
      </w:pPr>
      <w:r>
        <w:rPr>
          <w:rFonts w:ascii="Noto Naskh Arabic" w:hAnsi="Noto Naskh Arabic" w:cs="Noto Naskh Arabic" w:eastAsia="Noto Naskh Arabic"/>
          <w:b w:val="0"/>
          <w:i w:val="0"/>
          <w:rtl w:val="1"/>
        </w:rPr>
        <w:t>التمييز بين قياس نشاط الجمعية وبين أثرها الفعلي، وتنظيم تجربة متعددة المخرجات قابلة للمقارنة والمتابعة طويلة المدى.</w:t>
      </w:r>
    </w:p>
    <w:p>
      <w:pPr>
        <w:pStyle w:val="Heading2"/>
        <w:spacing w:before="160" w:after="140"/>
        <w:jc w:val="right"/>
        <w:keepNext/>
        <w:bidi w:val="1"/>
      </w:pPr>
      <w:r>
        <w:rPr>
          <w:rFonts w:ascii="Noto Kufi Arabic" w:hAnsi="Noto Kufi Arabic" w:cs="Noto Kufi Arabic" w:eastAsia="Noto Kufi Arabic"/>
          <w:b/>
          <w:i w:val="0"/>
          <w:color w:val="B58A28"/>
          <w:sz w:val="24"/>
          <w:rtl w:val="1"/>
        </w:rPr>
        <w:t>المرصد الأخلاقي</w:t>
      </w:r>
    </w:p>
    <w:p>
      <w:pPr>
        <w:spacing w:after="100" w:line="324" w:lineRule="auto"/>
        <w:jc w:val="right"/>
        <w:bidi w:val="1"/>
      </w:pPr>
      <w:r>
        <w:rPr>
          <w:rFonts w:ascii="Noto Naskh Arabic" w:hAnsi="Noto Naskh Arabic" w:cs="Noto Naskh Arabic" w:eastAsia="Noto Naskh Arabic"/>
          <w:b w:val="0"/>
          <w:i w:val="0"/>
          <w:rtl w:val="1"/>
        </w:rPr>
        <w:t>إنشاء معجم مفاهيم ومؤشرات مجمعة وحدود مشاركة ونشر البيانات، وعدم بناء قاعدة عمومية للملفات الفردية للأطفال.</w:t>
      </w:r>
    </w:p>
    <w:p>
      <w:pPr>
        <w:pStyle w:val="Heading2"/>
        <w:spacing w:before="160" w:after="140"/>
        <w:jc w:val="right"/>
        <w:keepNext/>
        <w:bidi w:val="1"/>
      </w:pPr>
      <w:r>
        <w:rPr>
          <w:rFonts w:ascii="Noto Kufi Arabic" w:hAnsi="Noto Kufi Arabic" w:cs="Noto Kufi Arabic" w:eastAsia="Noto Kufi Arabic"/>
          <w:b/>
          <w:i w:val="0"/>
          <w:color w:val="B58A28"/>
          <w:sz w:val="24"/>
          <w:rtl w:val="1"/>
        </w:rPr>
        <w:t>دراسة فقدان الرعاية لا اليُتم وحده</w:t>
      </w:r>
    </w:p>
    <w:p>
      <w:pPr>
        <w:spacing w:after="100" w:line="324" w:lineRule="auto"/>
        <w:jc w:val="right"/>
        <w:bidi w:val="1"/>
      </w:pPr>
      <w:r>
        <w:rPr>
          <w:rFonts w:ascii="Noto Naskh Arabic" w:hAnsi="Noto Naskh Arabic" w:cs="Noto Naskh Arabic" w:eastAsia="Noto Naskh Arabic"/>
          <w:b w:val="0"/>
          <w:i w:val="0"/>
          <w:rtl w:val="1"/>
        </w:rPr>
        <w:t>مسار بحثي متزن لمجهولي الوالدين وللأطفال المتأثرين بغياب الأب بعد الانفصال والأطفال في أوضاع الشارع، مع تجنب التوسع المضلل في صفة اليتم.</w:t>
      </w:r>
    </w:p>
    <w:p>
      <w:pPr>
        <w:pStyle w:val="Heading2"/>
        <w:spacing w:before="160" w:after="140"/>
        <w:jc w:val="right"/>
        <w:keepNext/>
        <w:bidi w:val="1"/>
      </w:pPr>
      <w:r>
        <w:rPr>
          <w:rFonts w:ascii="Noto Kufi Arabic" w:hAnsi="Noto Kufi Arabic" w:cs="Noto Kufi Arabic" w:eastAsia="Noto Kufi Arabic"/>
          <w:b/>
          <w:i w:val="0"/>
          <w:color w:val="B58A28"/>
          <w:sz w:val="24"/>
          <w:rtl w:val="1"/>
        </w:rPr>
        <w:t>قرار توجيهي</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936"/>
      </w:tblGrid>
      <w:tr>
        <w:tc>
          <w:tcPr>
            <w:tcW w:type="dxa" w:w="9864"/>
            <w:shd w:fill="F5F0E5"/>
            <w:tcMar>
              <w:top w:w="150" w:type="dxa"/>
              <w:start w:w="210" w:type="dxa"/>
              <w:bottom w:w="150" w:type="dxa"/>
              <w:end w:w="210" w:type="dxa"/>
            </w:tcMar>
          </w:tcPr>
          <w:p>
            <w:pPr>
              <w:jc w:val="right"/>
              <w:bidi w:val="1"/>
            </w:pPr>
            <w:r>
              <w:rPr>
                <w:rFonts w:ascii="Noto Kufi Arabic" w:hAnsi="Noto Kufi Arabic" w:cs="Noto Kufi Arabic" w:eastAsia="Noto Kufi Arabic"/>
                <w:b/>
                <w:i w:val="0"/>
                <w:color w:val="0C3B30"/>
                <w:sz w:val="21"/>
                <w:rtl w:val="1"/>
              </w:rPr>
              <w:t>مجال التميز المقترح</w:t>
            </w:r>
          </w:p>
          <w:p>
            <w:pPr>
              <w:jc w:val="right"/>
              <w:bidi w:val="1"/>
            </w:pPr>
            <w:r>
              <w:rPr>
                <w:rFonts w:ascii="Noto Naskh Arabic" w:hAnsi="Noto Naskh Arabic" w:cs="Noto Naskh Arabic" w:eastAsia="Noto Naskh Arabic"/>
                <w:b w:val="0"/>
                <w:i w:val="0"/>
                <w:color w:val="18352C"/>
                <w:sz w:val="20"/>
                <w:rtl w:val="1"/>
              </w:rPr>
              <w:t>مركز مستقل بالحوكمة والتوثيق العلمي، متصل بمؤسسة ميدانية عبر اتفاق يحفظ استقلال البحث، وفي قلبه مكتبة تاريخية وعلمية دائمة: مكتبة محمد شندي الراوي.</w:t>
            </w:r>
          </w:p>
        </w:tc>
      </w:tr>
    </w:tbl>
    <w:p>
      <w:pPr>
        <w:spacing w:after="20"/>
      </w:pPr>
    </w:p>
    <w:p>
      <w:r>
        <w:br w:type="page"/>
      </w:r>
    </w:p>
    <w:p>
      <w:pPr>
        <w:pStyle w:val="Heading1"/>
        <w:spacing w:before="240" w:after="140"/>
        <w:jc w:val="right"/>
        <w:keepNext/>
        <w:bidi w:val="1"/>
      </w:pPr>
      <w:r>
        <w:rPr>
          <w:rFonts w:ascii="Noto Kufi Arabic" w:hAnsi="Noto Kufi Arabic" w:cs="Noto Kufi Arabic" w:eastAsia="Noto Kufi Arabic"/>
          <w:b/>
          <w:i w:val="0"/>
          <w:color w:val="0C3B30"/>
          <w:sz w:val="32"/>
          <w:rtl w:val="1"/>
        </w:rPr>
        <w:t>08 | النشر والمكتبة ومنظومة جودة الأدلة</w:t>
      </w:r>
    </w:p>
    <w:p>
      <w:pPr>
        <w:pStyle w:val="Heading2"/>
        <w:spacing w:before="160" w:after="140"/>
        <w:jc w:val="right"/>
        <w:keepNext/>
        <w:bidi w:val="1"/>
      </w:pPr>
      <w:r>
        <w:rPr>
          <w:rFonts w:ascii="Noto Kufi Arabic" w:hAnsi="Noto Kufi Arabic" w:cs="Noto Kufi Arabic" w:eastAsia="Noto Kufi Arabic"/>
          <w:b/>
          <w:i w:val="0"/>
          <w:color w:val="B58A28"/>
          <w:sz w:val="24"/>
          <w:rtl w:val="1"/>
        </w:rPr>
        <w:t>مكتبة محمد شندي الراوي: خمس طبقات عملية</w:t>
      </w:r>
    </w:p>
    <w:p>
      <w:pPr>
        <w:spacing w:after="80" w:line="300" w:lineRule="auto"/>
        <w:jc w:val="right"/>
        <w:bidi w:val="1"/>
      </w:pPr>
      <w:r>
        <w:rPr>
          <w:rFonts w:ascii="Noto Naskh Arabic" w:hAnsi="Noto Naskh Arabic" w:cs="Noto Naskh Arabic" w:eastAsia="Noto Naskh Arabic"/>
          <w:b/>
          <w:i w:val="0"/>
          <w:color w:val="B58A28"/>
          <w:sz w:val="24"/>
          <w:rtl w:val="1"/>
        </w:rPr>
        <w:t xml:space="preserve">•  </w:t>
      </w:r>
      <w:r>
        <w:rPr>
          <w:rFonts w:ascii="Noto Naskh Arabic" w:hAnsi="Noto Naskh Arabic" w:cs="Noto Naskh Arabic" w:eastAsia="Noto Naskh Arabic"/>
          <w:b w:val="0"/>
          <w:i w:val="0"/>
          <w:rtl w:val="1"/>
        </w:rPr>
        <w:t>الفهرس الببليوغرافي: وصف منهجي لكل دراسة أو كتاب أو دليل، يذكر المؤلف والسنة والنطاق والنوع ورابط الناشر والحقوق وتاريخ التحقق.</w:t>
      </w:r>
    </w:p>
    <w:p>
      <w:pPr>
        <w:spacing w:after="80" w:line="300" w:lineRule="auto"/>
        <w:jc w:val="right"/>
        <w:bidi w:val="1"/>
      </w:pPr>
      <w:r>
        <w:rPr>
          <w:rFonts w:ascii="Noto Naskh Arabic" w:hAnsi="Noto Naskh Arabic" w:cs="Noto Naskh Arabic" w:eastAsia="Noto Naskh Arabic"/>
          <w:b/>
          <w:i w:val="0"/>
          <w:color w:val="B58A28"/>
          <w:sz w:val="24"/>
          <w:rtl w:val="1"/>
        </w:rPr>
        <w:t xml:space="preserve">•  </w:t>
      </w:r>
      <w:r>
        <w:rPr>
          <w:rFonts w:ascii="Noto Naskh Arabic" w:hAnsi="Noto Naskh Arabic" w:cs="Noto Naskh Arabic" w:eastAsia="Noto Naskh Arabic"/>
          <w:b w:val="0"/>
          <w:i w:val="0"/>
          <w:rtl w:val="1"/>
        </w:rPr>
        <w:t>الأرشيف التاريخي: وثائق ومراسلات وتواريخ عمل الرعاية العربية والسورية، مع إثبات المصدر والأذن والتصنيف وفق حساسية البيانات.</w:t>
      </w:r>
    </w:p>
    <w:p>
      <w:pPr>
        <w:spacing w:after="80" w:line="300" w:lineRule="auto"/>
        <w:jc w:val="right"/>
        <w:bidi w:val="1"/>
      </w:pPr>
      <w:r>
        <w:rPr>
          <w:rFonts w:ascii="Noto Naskh Arabic" w:hAnsi="Noto Naskh Arabic" w:cs="Noto Naskh Arabic" w:eastAsia="Noto Naskh Arabic"/>
          <w:b/>
          <w:i w:val="0"/>
          <w:color w:val="B58A28"/>
          <w:sz w:val="24"/>
          <w:rtl w:val="1"/>
        </w:rPr>
        <w:t xml:space="preserve">•  </w:t>
      </w:r>
      <w:r>
        <w:rPr>
          <w:rFonts w:ascii="Noto Naskh Arabic" w:hAnsi="Noto Naskh Arabic" w:cs="Noto Naskh Arabic" w:eastAsia="Noto Naskh Arabic"/>
          <w:b w:val="0"/>
          <w:i w:val="0"/>
          <w:rtl w:val="1"/>
        </w:rPr>
        <w:t>بوابة المصادر الإسلامية: دراسات وقواعد فقهية وتشريعات وفتاوى رسمية مع بيان السياق والمدرسة والمصدر وليس نقلًا مجهولًا.</w:t>
      </w:r>
    </w:p>
    <w:p>
      <w:pPr>
        <w:spacing w:after="80" w:line="300" w:lineRule="auto"/>
        <w:jc w:val="right"/>
        <w:bidi w:val="1"/>
      </w:pPr>
      <w:r>
        <w:rPr>
          <w:rFonts w:ascii="Noto Naskh Arabic" w:hAnsi="Noto Naskh Arabic" w:cs="Noto Naskh Arabic" w:eastAsia="Noto Naskh Arabic"/>
          <w:b/>
          <w:i w:val="0"/>
          <w:color w:val="B58A28"/>
          <w:sz w:val="24"/>
          <w:rtl w:val="1"/>
        </w:rPr>
        <w:t xml:space="preserve">•  </w:t>
      </w:r>
      <w:r>
        <w:rPr>
          <w:rFonts w:ascii="Noto Naskh Arabic" w:hAnsi="Noto Naskh Arabic" w:cs="Noto Naskh Arabic" w:eastAsia="Noto Naskh Arabic"/>
          <w:b w:val="0"/>
          <w:i w:val="0"/>
          <w:rtl w:val="1"/>
        </w:rPr>
        <w:t>فهرس الدراسات الدولية: ملخصات نقدية عربية للدراسات المحكّمة ذات الصلة، مع ترجمات مقتضبة مرخصة وروابط المصدر الأصلي.</w:t>
      </w:r>
    </w:p>
    <w:p>
      <w:pPr>
        <w:spacing w:after="80" w:line="300" w:lineRule="auto"/>
        <w:jc w:val="right"/>
        <w:bidi w:val="1"/>
      </w:pPr>
      <w:r>
        <w:rPr>
          <w:rFonts w:ascii="Noto Naskh Arabic" w:hAnsi="Noto Naskh Arabic" w:cs="Noto Naskh Arabic" w:eastAsia="Noto Naskh Arabic"/>
          <w:b/>
          <w:i w:val="0"/>
          <w:color w:val="B58A28"/>
          <w:sz w:val="24"/>
          <w:rtl w:val="1"/>
        </w:rPr>
        <w:t xml:space="preserve">•  </w:t>
      </w:r>
      <w:r>
        <w:rPr>
          <w:rFonts w:ascii="Noto Naskh Arabic" w:hAnsi="Noto Naskh Arabic" w:cs="Noto Naskh Arabic" w:eastAsia="Noto Naskh Arabic"/>
          <w:b w:val="0"/>
          <w:i w:val="0"/>
          <w:rtl w:val="1"/>
        </w:rPr>
        <w:t>خدمة الباحثين: قوائم قراءات موضوعية، وتنبيه بالإصدارات الجديدة، وتدريب على توثيق المراجع وأخلاقيات البحث.</w:t>
      </w:r>
    </w:p>
    <w:p>
      <w:pPr>
        <w:pStyle w:val="Heading2"/>
        <w:spacing w:before="160" w:after="140"/>
        <w:jc w:val="right"/>
        <w:keepNext/>
        <w:bidi w:val="1"/>
      </w:pPr>
      <w:r>
        <w:rPr>
          <w:rFonts w:ascii="Noto Kufi Arabic" w:hAnsi="Noto Kufi Arabic" w:cs="Noto Kufi Arabic" w:eastAsia="Noto Kufi Arabic"/>
          <w:b/>
          <w:i w:val="0"/>
          <w:color w:val="B58A28"/>
          <w:sz w:val="24"/>
          <w:rtl w:val="1"/>
        </w:rPr>
        <w:t>المجلة الشهرية والدورية المحكمة</w:t>
      </w:r>
    </w:p>
    <w:p>
      <w:pPr>
        <w:spacing w:after="100" w:line="324" w:lineRule="auto"/>
        <w:jc w:val="right"/>
        <w:bidi w:val="1"/>
      </w:pPr>
      <w:r>
        <w:rPr>
          <w:rFonts w:ascii="Noto Naskh Arabic" w:hAnsi="Noto Naskh Arabic" w:cs="Noto Naskh Arabic" w:eastAsia="Noto Naskh Arabic"/>
          <w:b w:val="0"/>
          <w:i w:val="0"/>
          <w:rtl w:val="1"/>
        </w:rPr>
        <w:t>تبدأ المؤسسة بنشرة/مجلة معرفية شهرية موجّهة للعاملين والمانحين والقراء تتضمن مراجعات أدلة، وأخبار بحوث، ومقابلات مع متخصصين، وقراءات في التراث، وعرضًا شفافًا لمرحلة تأسيس المركز. لا تحمل هذه النشرة وصف «محكّمة» لمجرد مراجعة محتواها تحريريًا. وبعد استقرار المنظومة العلمية يجوز دراسة تأسيس دورية نصف سنوية محكمة، مع سياسة تضارب مصالح، وتحكيم مزدوج، ولجنة تحرير مستقلة، وبيان رسوم إن وجدت، ومعرّفات DOI أو ISSN حسب الاستحقاق الفعلي. [R20] [R30]</w:t>
      </w:r>
    </w:p>
    <w:p>
      <w:pPr>
        <w:pStyle w:val="Heading2"/>
        <w:spacing w:before="160" w:after="140"/>
        <w:jc w:val="right"/>
        <w:keepNext/>
        <w:bidi w:val="1"/>
      </w:pPr>
      <w:r>
        <w:rPr>
          <w:rFonts w:ascii="Noto Kufi Arabic" w:hAnsi="Noto Kufi Arabic" w:cs="Noto Kufi Arabic" w:eastAsia="Noto Kufi Arabic"/>
          <w:b/>
          <w:i w:val="0"/>
          <w:color w:val="B58A28"/>
          <w:sz w:val="24"/>
          <w:rtl w:val="1"/>
        </w:rPr>
        <w:t>مصفوفة تقييم الدراسة قبل نشرها</w:t>
      </w:r>
    </w:p>
    <w:tbl>
      <w:tblPr>
        <w:tblW w:type="auto" w:w="0"/>
        <w:jc w:val="center"/>
        <w:tblLayout w:type="fixed"/>
        <w:tblLook w:firstColumn="1" w:firstRow="1" w:lastColumn="0" w:lastRow="0" w:noHBand="0" w:noVBand="1" w:val="04A0"/>
        <w:bidiVisual/>
        <w:tblBorders>
          <w:top w:val="nil"/>
          <w:left w:val="nil"/>
          <w:bottom w:val="nil"/>
          <w:right w:val="nil"/>
          <w:insideH w:val="nil"/>
          <w:insideV w:val="nil"/>
        </w:tblBorders>
      </w:tblPr>
      <w:tblGrid>
        <w:gridCol w:w="2880"/>
        <w:gridCol w:w="6912"/>
      </w:tblGrid>
      <w:tr>
        <w:trPr>
          <w:tblHeader w:val="true"/>
        </w:trPr>
        <w:tc>
          <w:tcPr>
            <w:tcW w:type="dxa" w:w="2880"/>
            <w:vAlign w:val="center"/>
            <w:tcMar>
              <w:top w:w="100" w:type="dxa"/>
              <w:start w:w="120" w:type="dxa"/>
              <w:bottom w:w="100" w:type="dxa"/>
              <w:end w:w="120" w:type="dxa"/>
            </w:tcMar>
            <w:shd w:fill="0C3B30"/>
          </w:tcPr>
          <w:p>
            <w:pPr>
              <w:jc w:val="right"/>
              <w:bidi w:val="1"/>
            </w:pPr>
            <w:r>
              <w:rPr>
                <w:rFonts w:ascii="Noto Kufi Arabic" w:hAnsi="Noto Kufi Arabic" w:cs="Noto Kufi Arabic" w:eastAsia="Noto Kufi Arabic"/>
                <w:b/>
                <w:i w:val="0"/>
                <w:color w:val="FFFFFF"/>
                <w:sz w:val="18"/>
                <w:rtl w:val="1"/>
              </w:rPr>
              <w:t>السؤال التحريري</w:t>
            </w:r>
          </w:p>
        </w:tc>
        <w:tc>
          <w:tcPr>
            <w:tcW w:type="dxa" w:w="6912"/>
            <w:vAlign w:val="center"/>
            <w:tcMar>
              <w:top w:w="100" w:type="dxa"/>
              <w:start w:w="120" w:type="dxa"/>
              <w:bottom w:w="100" w:type="dxa"/>
              <w:end w:w="120" w:type="dxa"/>
            </w:tcMar>
            <w:shd w:fill="0C3B30"/>
          </w:tcPr>
          <w:p>
            <w:pPr>
              <w:jc w:val="right"/>
              <w:bidi w:val="1"/>
            </w:pPr>
            <w:r>
              <w:rPr>
                <w:rFonts w:ascii="Noto Kufi Arabic" w:hAnsi="Noto Kufi Arabic" w:cs="Noto Kufi Arabic" w:eastAsia="Noto Kufi Arabic"/>
                <w:b/>
                <w:i w:val="0"/>
                <w:color w:val="FFFFFF"/>
                <w:sz w:val="18"/>
                <w:rtl w:val="1"/>
              </w:rPr>
              <w:t>كيف نتحقق؟</w:t>
            </w:r>
          </w:p>
        </w:tc>
      </w:tr>
      <w:tr>
        <w:tc>
          <w:tcPr>
            <w:tcW w:type="dxa" w:w="2880"/>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ما السؤال البحثي؟</w:t>
            </w:r>
          </w:p>
        </w:tc>
        <w:tc>
          <w:tcPr>
            <w:tcW w:type="dxa" w:w="6912"/>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تعريف واضح للفئة والمكان والفترة والمتغيرات.</w:t>
            </w:r>
          </w:p>
        </w:tc>
      </w:tr>
      <w:tr>
        <w:tc>
          <w:tcPr>
            <w:tcW w:type="dxa" w:w="2880"/>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ما مصدر البيانات؟</w:t>
            </w:r>
          </w:p>
        </w:tc>
        <w:tc>
          <w:tcPr>
            <w:tcW w:type="dxa" w:w="6912"/>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سجل منشأ وموافقة ونطاق إتاحة وحقوق استخدام.</w:t>
            </w:r>
          </w:p>
        </w:tc>
      </w:tr>
      <w:tr>
        <w:tc>
          <w:tcPr>
            <w:tcW w:type="dxa" w:w="2880"/>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ما قوة الدليل؟</w:t>
            </w:r>
          </w:p>
        </w:tc>
        <w:tc>
          <w:tcPr>
            <w:tcW w:type="dxa" w:w="6912"/>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تمييز رصدي/وصفي/تجريبي/مراجعة منهجية.</w:t>
            </w:r>
          </w:p>
        </w:tc>
      </w:tr>
      <w:tr>
        <w:tc>
          <w:tcPr>
            <w:tcW w:type="dxa" w:w="2880"/>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هل توجد مخاطر للأطفال؟</w:t>
            </w:r>
          </w:p>
        </w:tc>
        <w:tc>
          <w:tcPr>
            <w:tcW w:type="dxa" w:w="6912"/>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مراجعة أخلاقية، تقليل البيانات، حماية الهوية.</w:t>
            </w:r>
          </w:p>
        </w:tc>
      </w:tr>
      <w:tr>
        <w:tc>
          <w:tcPr>
            <w:tcW w:type="dxa" w:w="2880"/>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ما حدود النتيجة؟</w:t>
            </w:r>
          </w:p>
        </w:tc>
        <w:tc>
          <w:tcPr>
            <w:tcW w:type="dxa" w:w="6912"/>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ذكر الانحياز والعينة والتعميم الممكن وغير الممكن.</w:t>
            </w:r>
          </w:p>
        </w:tc>
      </w:tr>
      <w:tr>
        <w:tc>
          <w:tcPr>
            <w:tcW w:type="dxa" w:w="2880"/>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من يراجعها؟</w:t>
            </w:r>
          </w:p>
        </w:tc>
        <w:tc>
          <w:tcPr>
            <w:tcW w:type="dxa" w:w="6912"/>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محكم أو مراجع مستقل حسب نوع المنشور.</w:t>
            </w:r>
          </w:p>
        </w:tc>
      </w:tr>
    </w:tbl>
    <w:p>
      <w:pPr>
        <w:spacing w:after="0"/>
      </w:pPr>
    </w:p>
    <w:p>
      <w:pPr>
        <w:pStyle w:val="Heading2"/>
        <w:spacing w:before="160" w:after="140"/>
        <w:jc w:val="right"/>
        <w:keepNext/>
        <w:bidi w:val="1"/>
      </w:pPr>
      <w:r>
        <w:rPr>
          <w:rFonts w:ascii="Noto Kufi Arabic" w:hAnsi="Noto Kufi Arabic" w:cs="Noto Kufi Arabic" w:eastAsia="Noto Kufi Arabic"/>
          <w:b/>
          <w:i w:val="0"/>
          <w:color w:val="B58A28"/>
          <w:sz w:val="24"/>
          <w:rtl w:val="1"/>
        </w:rPr>
        <w:t>نموذج بيانات مختصر لكل مرجع</w:t>
      </w:r>
    </w:p>
    <w:p>
      <w:pPr>
        <w:spacing w:after="100" w:line="324" w:lineRule="auto"/>
        <w:jc w:val="right"/>
        <w:bidi w:val="1"/>
      </w:pPr>
      <w:r>
        <w:rPr>
          <w:rFonts w:ascii="Noto Naskh Arabic" w:hAnsi="Noto Naskh Arabic" w:cs="Noto Naskh Arabic" w:eastAsia="Noto Naskh Arabic"/>
          <w:b w:val="0"/>
          <w:i w:val="0"/>
          <w:rtl w:val="1"/>
        </w:rPr>
        <w:t>معرّف داخلي؛ عنوان عربي/أصلي؛ مؤلف/جهة؛ تاريخ نشر؛ بلد/منطقة؛ فئة الدراسة؛ نوع التصميم؛ نطاق العينة؛ ملخص أصلي مكتوب من المركز؛ الكلمات المفتاحية؛ الرابط القانوني؛ رخصة الاستخدام؛ تاريخ المراجعة؛ مستوى موثوقية الدليل؛ ملاحظات الخصوصية.</w:t>
      </w:r>
    </w:p>
    <w:p>
      <w:r>
        <w:br w:type="page"/>
      </w:r>
    </w:p>
    <w:p>
      <w:pPr>
        <w:pStyle w:val="Heading1"/>
        <w:spacing w:before="240" w:after="140"/>
        <w:jc w:val="right"/>
        <w:keepNext/>
        <w:bidi w:val="1"/>
      </w:pPr>
      <w:r>
        <w:rPr>
          <w:rFonts w:ascii="Noto Kufi Arabic" w:hAnsi="Noto Kufi Arabic" w:cs="Noto Kufi Arabic" w:eastAsia="Noto Kufi Arabic"/>
          <w:b/>
          <w:i w:val="0"/>
          <w:color w:val="0C3B30"/>
          <w:sz w:val="32"/>
          <w:rtl w:val="1"/>
        </w:rPr>
        <w:t>09 | خطة تشغيلية مبنية على نتائج المقارنة</w:t>
      </w:r>
    </w:p>
    <w:p>
      <w:pPr>
        <w:pStyle w:val="Heading2"/>
        <w:spacing w:before="160" w:after="140"/>
        <w:jc w:val="right"/>
        <w:keepNext/>
        <w:bidi w:val="1"/>
      </w:pPr>
      <w:r>
        <w:rPr>
          <w:rFonts w:ascii="Noto Kufi Arabic" w:hAnsi="Noto Kufi Arabic" w:cs="Noto Kufi Arabic" w:eastAsia="Noto Kufi Arabic"/>
          <w:b/>
          <w:i w:val="0"/>
          <w:color w:val="B58A28"/>
          <w:sz w:val="24"/>
          <w:rtl w:val="1"/>
        </w:rPr>
        <w:t>الستة أشهر الأولى</w:t>
      </w:r>
    </w:p>
    <w:p>
      <w:pPr>
        <w:spacing w:after="80" w:line="300" w:lineRule="auto"/>
        <w:jc w:val="right"/>
        <w:bidi w:val="1"/>
      </w:pPr>
      <w:r>
        <w:rPr>
          <w:rFonts w:ascii="Noto Naskh Arabic" w:hAnsi="Noto Naskh Arabic" w:cs="Noto Naskh Arabic" w:eastAsia="Noto Naskh Arabic"/>
          <w:b/>
          <w:i w:val="0"/>
          <w:color w:val="B58A28"/>
          <w:sz w:val="24"/>
          <w:rtl w:val="1"/>
        </w:rPr>
        <w:t xml:space="preserve">•  </w:t>
      </w:r>
      <w:r>
        <w:rPr>
          <w:rFonts w:ascii="Noto Naskh Arabic" w:hAnsi="Noto Naskh Arabic" w:cs="Noto Naskh Arabic" w:eastAsia="Noto Naskh Arabic"/>
          <w:b w:val="0"/>
          <w:i w:val="0"/>
          <w:rtl w:val="1"/>
        </w:rPr>
        <w:t>إقرار تعريف الرعاية واليتيم والفاقد للرعاية باللغتين العربية والإنجليزية، واستشارة فقهية وقانونية متخصصة.</w:t>
      </w:r>
    </w:p>
    <w:p>
      <w:pPr>
        <w:spacing w:after="80" w:line="300" w:lineRule="auto"/>
        <w:jc w:val="right"/>
        <w:bidi w:val="1"/>
      </w:pPr>
      <w:r>
        <w:rPr>
          <w:rFonts w:ascii="Noto Naskh Arabic" w:hAnsi="Noto Naskh Arabic" w:cs="Noto Naskh Arabic" w:eastAsia="Noto Naskh Arabic"/>
          <w:b/>
          <w:i w:val="0"/>
          <w:color w:val="B58A28"/>
          <w:sz w:val="24"/>
          <w:rtl w:val="1"/>
        </w:rPr>
        <w:t xml:space="preserve">•  </w:t>
      </w:r>
      <w:r>
        <w:rPr>
          <w:rFonts w:ascii="Noto Naskh Arabic" w:hAnsi="Noto Naskh Arabic" w:cs="Noto Naskh Arabic" w:eastAsia="Noto Naskh Arabic"/>
          <w:b w:val="0"/>
          <w:i w:val="0"/>
          <w:rtl w:val="1"/>
        </w:rPr>
        <w:t>تشكيل مجلس علمي مؤقت من 5 إلى 7 أعضاء متنوعين في التخصصات، مع سياسة تعارض المصالح ومحاضر قرار.</w:t>
      </w:r>
    </w:p>
    <w:p>
      <w:pPr>
        <w:spacing w:after="80" w:line="300" w:lineRule="auto"/>
        <w:jc w:val="right"/>
        <w:bidi w:val="1"/>
      </w:pPr>
      <w:r>
        <w:rPr>
          <w:rFonts w:ascii="Noto Naskh Arabic" w:hAnsi="Noto Naskh Arabic" w:cs="Noto Naskh Arabic" w:eastAsia="Noto Naskh Arabic"/>
          <w:b/>
          <w:i w:val="0"/>
          <w:color w:val="B58A28"/>
          <w:sz w:val="24"/>
          <w:rtl w:val="1"/>
        </w:rPr>
        <w:t xml:space="preserve">•  </w:t>
      </w:r>
      <w:r>
        <w:rPr>
          <w:rFonts w:ascii="Noto Naskh Arabic" w:hAnsi="Noto Naskh Arabic" w:cs="Noto Naskh Arabic" w:eastAsia="Noto Naskh Arabic"/>
          <w:b w:val="0"/>
          <w:i w:val="0"/>
          <w:rtl w:val="1"/>
        </w:rPr>
        <w:t>تجهيز مكتبة محمد شندي الراوي بفهرس تجريبي من 100 مرجع موثّق على الأقل - هدف تخطيطي لا واقع منجز.</w:t>
      </w:r>
    </w:p>
    <w:p>
      <w:pPr>
        <w:spacing w:after="80" w:line="300" w:lineRule="auto"/>
        <w:jc w:val="right"/>
        <w:bidi w:val="1"/>
      </w:pPr>
      <w:r>
        <w:rPr>
          <w:rFonts w:ascii="Noto Naskh Arabic" w:hAnsi="Noto Naskh Arabic" w:cs="Noto Naskh Arabic" w:eastAsia="Noto Naskh Arabic"/>
          <w:b/>
          <w:i w:val="0"/>
          <w:color w:val="B58A28"/>
          <w:sz w:val="24"/>
          <w:rtl w:val="1"/>
        </w:rPr>
        <w:t xml:space="preserve">•  </w:t>
      </w:r>
      <w:r>
        <w:rPr>
          <w:rFonts w:ascii="Noto Naskh Arabic" w:hAnsi="Noto Naskh Arabic" w:cs="Noto Naskh Arabic" w:eastAsia="Noto Naskh Arabic"/>
          <w:b w:val="0"/>
          <w:i w:val="0"/>
          <w:rtl w:val="1"/>
        </w:rPr>
        <w:t>إجراء مقابلات استكشافية مع نحو 12 إلى 18 جهة مهنية، دون جمع بيانات تعريفية للأطفال.</w:t>
      </w:r>
    </w:p>
    <w:p>
      <w:pPr>
        <w:spacing w:after="80" w:line="300" w:lineRule="auto"/>
        <w:jc w:val="right"/>
        <w:bidi w:val="1"/>
      </w:pPr>
      <w:r>
        <w:rPr>
          <w:rFonts w:ascii="Noto Naskh Arabic" w:hAnsi="Noto Naskh Arabic" w:cs="Noto Naskh Arabic" w:eastAsia="Noto Naskh Arabic"/>
          <w:b/>
          <w:i w:val="0"/>
          <w:color w:val="B58A28"/>
          <w:sz w:val="24"/>
          <w:rtl w:val="1"/>
        </w:rPr>
        <w:t xml:space="preserve">•  </w:t>
      </w:r>
      <w:r>
        <w:rPr>
          <w:rFonts w:ascii="Noto Naskh Arabic" w:hAnsi="Noto Naskh Arabic" w:cs="Noto Naskh Arabic" w:eastAsia="Noto Naskh Arabic"/>
          <w:b w:val="0"/>
          <w:i w:val="0"/>
          <w:rtl w:val="1"/>
        </w:rPr>
        <w:t>إصدار موجز السياسات الأول عن الفروق بين اليتم وفقدان الرعاية ونطاق البيانات اللازمة للبحث.</w:t>
      </w:r>
    </w:p>
    <w:p>
      <w:pPr>
        <w:pStyle w:val="Heading2"/>
        <w:spacing w:before="160" w:after="140"/>
        <w:jc w:val="right"/>
        <w:keepNext/>
        <w:bidi w:val="1"/>
      </w:pPr>
      <w:r>
        <w:rPr>
          <w:rFonts w:ascii="Noto Kufi Arabic" w:hAnsi="Noto Kufi Arabic" w:cs="Noto Kufi Arabic" w:eastAsia="Noto Kufi Arabic"/>
          <w:b/>
          <w:i w:val="0"/>
          <w:color w:val="B58A28"/>
          <w:sz w:val="24"/>
          <w:rtl w:val="1"/>
        </w:rPr>
        <w:t>الأشهر 7 إلى 12</w:t>
      </w:r>
    </w:p>
    <w:p>
      <w:pPr>
        <w:spacing w:after="80" w:line="300" w:lineRule="auto"/>
        <w:jc w:val="right"/>
        <w:bidi w:val="1"/>
      </w:pPr>
      <w:r>
        <w:rPr>
          <w:rFonts w:ascii="Noto Naskh Arabic" w:hAnsi="Noto Naskh Arabic" w:cs="Noto Naskh Arabic" w:eastAsia="Noto Naskh Arabic"/>
          <w:b/>
          <w:i w:val="0"/>
          <w:color w:val="B58A28"/>
          <w:sz w:val="24"/>
          <w:rtl w:val="1"/>
        </w:rPr>
        <w:t xml:space="preserve">•  </w:t>
      </w:r>
      <w:r>
        <w:rPr>
          <w:rFonts w:ascii="Noto Naskh Arabic" w:hAnsi="Noto Naskh Arabic" w:cs="Noto Naskh Arabic" w:eastAsia="Noto Naskh Arabic"/>
          <w:b w:val="0"/>
          <w:i w:val="0"/>
          <w:rtl w:val="1"/>
        </w:rPr>
        <w:t>بحث تطبيقي تجريبي حول جودة برامج الكفالة أو الاحتياجات البحثية بالشراكة مع جهة راغبة وفق بروتوكول أخلاقي.</w:t>
      </w:r>
    </w:p>
    <w:p>
      <w:pPr>
        <w:spacing w:after="80" w:line="300" w:lineRule="auto"/>
        <w:jc w:val="right"/>
        <w:bidi w:val="1"/>
      </w:pPr>
      <w:r>
        <w:rPr>
          <w:rFonts w:ascii="Noto Naskh Arabic" w:hAnsi="Noto Naskh Arabic" w:cs="Noto Naskh Arabic" w:eastAsia="Noto Naskh Arabic"/>
          <w:b/>
          <w:i w:val="0"/>
          <w:color w:val="B58A28"/>
          <w:sz w:val="24"/>
          <w:rtl w:val="1"/>
        </w:rPr>
        <w:t xml:space="preserve">•  </w:t>
      </w:r>
      <w:r>
        <w:rPr>
          <w:rFonts w:ascii="Noto Naskh Arabic" w:hAnsi="Noto Naskh Arabic" w:cs="Noto Naskh Arabic" w:eastAsia="Noto Naskh Arabic"/>
          <w:b w:val="0"/>
          <w:i w:val="0"/>
          <w:rtl w:val="1"/>
        </w:rPr>
        <w:t>نشر 4 موجزات معرفية خلال السنة الأولى، وافتتاح إصدار شهري معرفي حين يتوفر فريق تحرير.</w:t>
      </w:r>
    </w:p>
    <w:p>
      <w:pPr>
        <w:spacing w:after="80" w:line="300" w:lineRule="auto"/>
        <w:jc w:val="right"/>
        <w:bidi w:val="1"/>
      </w:pPr>
      <w:r>
        <w:rPr>
          <w:rFonts w:ascii="Noto Naskh Arabic" w:hAnsi="Noto Naskh Arabic" w:cs="Noto Naskh Arabic" w:eastAsia="Noto Naskh Arabic"/>
          <w:b/>
          <w:i w:val="0"/>
          <w:color w:val="B58A28"/>
          <w:sz w:val="24"/>
          <w:rtl w:val="1"/>
        </w:rPr>
        <w:t xml:space="preserve">•  </w:t>
      </w:r>
      <w:r>
        <w:rPr>
          <w:rFonts w:ascii="Noto Naskh Arabic" w:hAnsi="Noto Naskh Arabic" w:cs="Noto Naskh Arabic" w:eastAsia="Noto Naskh Arabic"/>
          <w:b w:val="0"/>
          <w:i w:val="0"/>
          <w:rtl w:val="1"/>
        </w:rPr>
        <w:t>بناء خريطة شركاء من خمس مؤسسات على الأقل والتواصل معها بمقترحات بحث محددة لا بمراسلات عامة.</w:t>
      </w:r>
    </w:p>
    <w:p>
      <w:pPr>
        <w:spacing w:after="80" w:line="300" w:lineRule="auto"/>
        <w:jc w:val="right"/>
        <w:bidi w:val="1"/>
      </w:pPr>
      <w:r>
        <w:rPr>
          <w:rFonts w:ascii="Noto Naskh Arabic" w:hAnsi="Noto Naskh Arabic" w:cs="Noto Naskh Arabic" w:eastAsia="Noto Naskh Arabic"/>
          <w:b/>
          <w:i w:val="0"/>
          <w:color w:val="B58A28"/>
          <w:sz w:val="24"/>
          <w:rtl w:val="1"/>
        </w:rPr>
        <w:t xml:space="preserve">•  </w:t>
      </w:r>
      <w:r>
        <w:rPr>
          <w:rFonts w:ascii="Noto Naskh Arabic" w:hAnsi="Noto Naskh Arabic" w:cs="Noto Naskh Arabic" w:eastAsia="Noto Naskh Arabic"/>
          <w:b w:val="0"/>
          <w:i w:val="0"/>
          <w:rtl w:val="1"/>
        </w:rPr>
        <w:t>إطلاق تقرير سنوي عن حالة أدلة الرعاية ومصادرها والثغرات التي تستحق التمويل خلال العام التالي.</w:t>
      </w:r>
    </w:p>
    <w:p>
      <w:pPr>
        <w:spacing w:after="80" w:line="300" w:lineRule="auto"/>
        <w:jc w:val="right"/>
        <w:bidi w:val="1"/>
      </w:pPr>
      <w:r>
        <w:rPr>
          <w:rFonts w:ascii="Noto Naskh Arabic" w:hAnsi="Noto Naskh Arabic" w:cs="Noto Naskh Arabic" w:eastAsia="Noto Naskh Arabic"/>
          <w:b/>
          <w:i w:val="0"/>
          <w:color w:val="B58A28"/>
          <w:sz w:val="24"/>
          <w:rtl w:val="1"/>
        </w:rPr>
        <w:t xml:space="preserve">•  </w:t>
      </w:r>
      <w:r>
        <w:rPr>
          <w:rFonts w:ascii="Noto Naskh Arabic" w:hAnsi="Noto Naskh Arabic" w:cs="Noto Naskh Arabic" w:eastAsia="Noto Naskh Arabic"/>
          <w:b w:val="0"/>
          <w:i w:val="0"/>
          <w:rtl w:val="1"/>
        </w:rPr>
        <w:t>مراجعة أمنية وقانونية قبل السماح بأي تجميع أو تبادل لبيانات أفراد أو أطفال.</w:t>
      </w:r>
    </w:p>
    <w:p>
      <w:pPr>
        <w:pStyle w:val="Heading2"/>
        <w:spacing w:before="160" w:after="140"/>
        <w:jc w:val="right"/>
        <w:keepNext/>
        <w:bidi w:val="1"/>
      </w:pPr>
      <w:r>
        <w:rPr>
          <w:rFonts w:ascii="Noto Kufi Arabic" w:hAnsi="Noto Kufi Arabic" w:cs="Noto Kufi Arabic" w:eastAsia="Noto Kufi Arabic"/>
          <w:b/>
          <w:i w:val="0"/>
          <w:color w:val="B58A28"/>
          <w:sz w:val="24"/>
          <w:rtl w:val="1"/>
        </w:rPr>
        <w:t>مسارات التعاون المقترحة</w:t>
      </w:r>
    </w:p>
    <w:tbl>
      <w:tblPr>
        <w:tblW w:type="auto" w:w="0"/>
        <w:jc w:val="center"/>
        <w:tblLayout w:type="fixed"/>
        <w:tblLook w:firstColumn="1" w:firstRow="1" w:lastColumn="0" w:lastRow="0" w:noHBand="0" w:noVBand="1" w:val="04A0"/>
        <w:bidiVisual/>
        <w:tblBorders>
          <w:top w:val="nil"/>
          <w:left w:val="nil"/>
          <w:bottom w:val="nil"/>
          <w:right w:val="nil"/>
          <w:insideH w:val="nil"/>
          <w:insideV w:val="nil"/>
        </w:tblBorders>
      </w:tblPr>
      <w:tblGrid>
        <w:gridCol w:w="2477"/>
        <w:gridCol w:w="7315"/>
      </w:tblGrid>
      <w:tr>
        <w:trPr>
          <w:tblHeader w:val="true"/>
        </w:trPr>
        <w:tc>
          <w:tcPr>
            <w:tcW w:type="dxa" w:w="2477"/>
            <w:vAlign w:val="center"/>
            <w:tcMar>
              <w:top w:w="100" w:type="dxa"/>
              <w:start w:w="120" w:type="dxa"/>
              <w:bottom w:w="100" w:type="dxa"/>
              <w:end w:w="120" w:type="dxa"/>
            </w:tcMar>
            <w:shd w:fill="0C3B30"/>
          </w:tcPr>
          <w:p>
            <w:pPr>
              <w:jc w:val="right"/>
              <w:bidi w:val="1"/>
            </w:pPr>
            <w:r>
              <w:rPr>
                <w:rFonts w:ascii="Noto Kufi Arabic" w:hAnsi="Noto Kufi Arabic" w:cs="Noto Kufi Arabic" w:eastAsia="Noto Kufi Arabic"/>
                <w:b/>
                <w:i w:val="0"/>
                <w:color w:val="FFFFFF"/>
                <w:sz w:val="18"/>
                <w:rtl w:val="1"/>
              </w:rPr>
              <w:t>الجهة</w:t>
            </w:r>
          </w:p>
        </w:tc>
        <w:tc>
          <w:tcPr>
            <w:tcW w:type="dxa" w:w="7315"/>
            <w:vAlign w:val="center"/>
            <w:tcMar>
              <w:top w:w="100" w:type="dxa"/>
              <w:start w:w="120" w:type="dxa"/>
              <w:bottom w:w="100" w:type="dxa"/>
              <w:end w:w="120" w:type="dxa"/>
            </w:tcMar>
            <w:shd w:fill="0C3B30"/>
          </w:tcPr>
          <w:p>
            <w:pPr>
              <w:jc w:val="right"/>
              <w:bidi w:val="1"/>
            </w:pPr>
            <w:r>
              <w:rPr>
                <w:rFonts w:ascii="Noto Kufi Arabic" w:hAnsi="Noto Kufi Arabic" w:cs="Noto Kufi Arabic" w:eastAsia="Noto Kufi Arabic"/>
                <w:b/>
                <w:i w:val="0"/>
                <w:color w:val="FFFFFF"/>
                <w:sz w:val="18"/>
                <w:rtl w:val="1"/>
              </w:rPr>
              <w:t>مقترح التواصل الأول</w:t>
            </w:r>
          </w:p>
        </w:tc>
      </w:tr>
      <w:tr>
        <w:tc>
          <w:tcPr>
            <w:tcW w:type="dxa" w:w="2477"/>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كرسي أم القرى</w:t>
            </w:r>
          </w:p>
        </w:tc>
        <w:tc>
          <w:tcPr>
            <w:tcW w:type="dxa" w:w="7315"/>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مراجعة علمية مشتركة لمفاهيم الرعاية وأبحاثها الشرعية.</w:t>
            </w:r>
          </w:p>
        </w:tc>
      </w:tr>
      <w:tr>
        <w:tc>
          <w:tcPr>
            <w:tcW w:type="dxa" w:w="2477"/>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اتحاد رعاية الأيتام</w:t>
            </w:r>
          </w:p>
        </w:tc>
        <w:tc>
          <w:tcPr>
            <w:tcW w:type="dxa" w:w="7315"/>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تبادل بيانات الفهرسة وروابط ويكي يتيم.</w:t>
            </w:r>
          </w:p>
        </w:tc>
      </w:tr>
      <w:tr>
        <w:tc>
          <w:tcPr>
            <w:tcW w:type="dxa" w:w="2477"/>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سند مصر</w:t>
            </w:r>
          </w:p>
        </w:tc>
        <w:tc>
          <w:tcPr>
            <w:tcW w:type="dxa" w:w="7315"/>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جلسة تقنية حول قياس الجودة والمعايير.</w:t>
            </w:r>
          </w:p>
        </w:tc>
      </w:tr>
      <w:tr>
        <w:tc>
          <w:tcPr>
            <w:tcW w:type="dxa" w:w="2477"/>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الإغاثة الإسلامية</w:t>
            </w:r>
          </w:p>
        </w:tc>
        <w:tc>
          <w:tcPr>
            <w:tcW w:type="dxa" w:w="7315"/>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تبادل تعلم منهجي حول تقييم أثر الكفالة.</w:t>
            </w:r>
          </w:p>
        </w:tc>
      </w:tr>
      <w:tr>
        <w:tc>
          <w:tcPr>
            <w:tcW w:type="dxa" w:w="2477"/>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CAFO</w:t>
            </w:r>
          </w:p>
        </w:tc>
        <w:tc>
          <w:tcPr>
            <w:tcW w:type="dxa" w:w="7315"/>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نقاش مهني حول أدوات جودة الرعاية وفق التكييف الثقافي.</w:t>
            </w:r>
          </w:p>
        </w:tc>
      </w:tr>
      <w:tr>
        <w:tc>
          <w:tcPr>
            <w:tcW w:type="dxa" w:w="2477"/>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Udayan Care</w:t>
            </w:r>
          </w:p>
        </w:tc>
        <w:tc>
          <w:tcPr>
            <w:tcW w:type="dxa" w:w="7315"/>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دراسة متطلبات الدورية العلمية ومعايير النشر.</w:t>
            </w:r>
          </w:p>
        </w:tc>
      </w:tr>
      <w:tr>
        <w:tc>
          <w:tcPr>
            <w:tcW w:type="dxa" w:w="2477"/>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UNICEF / D³</w:t>
            </w:r>
          </w:p>
        </w:tc>
        <w:tc>
          <w:tcPr>
            <w:tcW w:type="dxa" w:w="7315"/>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تبادل حول تصنيف المؤشرات والبيانات المجمعة.</w:t>
            </w:r>
          </w:p>
        </w:tc>
      </w:tr>
    </w:tbl>
    <w:p>
      <w:pPr>
        <w:spacing w:after="0"/>
      </w:pPr>
    </w:p>
    <w:p>
      <w:pPr>
        <w:spacing w:after="100" w:line="324" w:lineRule="auto"/>
        <w:jc w:val="right"/>
        <w:bidi w:val="1"/>
      </w:pPr>
      <w:r>
        <w:rPr>
          <w:rFonts w:ascii="Noto Naskh Arabic" w:hAnsi="Noto Naskh Arabic" w:cs="Noto Naskh Arabic" w:eastAsia="Noto Naskh Arabic"/>
          <w:b w:val="0"/>
          <w:i w:val="0"/>
          <w:rtl w:val="1"/>
        </w:rPr>
        <w:t>هذه الجهات شركاء محتملون استنادًا إلى اختصاصاتهم المعلنة فقط؛ لا توجد في هذه الورقة إفادة بموافقتهم أو بإبرام اتفاقيات معهم.</w:t>
      </w:r>
    </w:p>
    <w:p>
      <w:pPr>
        <w:pStyle w:val="Heading2"/>
        <w:spacing w:before="160" w:after="140"/>
        <w:jc w:val="right"/>
        <w:keepNext/>
        <w:bidi w:val="1"/>
      </w:pPr>
      <w:r>
        <w:rPr>
          <w:rFonts w:ascii="Noto Kufi Arabic" w:hAnsi="Noto Kufi Arabic" w:cs="Noto Kufi Arabic" w:eastAsia="Noto Kufi Arabic"/>
          <w:b/>
          <w:i w:val="0"/>
          <w:color w:val="B58A28"/>
          <w:sz w:val="24"/>
          <w:rtl w:val="1"/>
        </w:rPr>
        <w:t>توصية مجلس الإدارة</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936"/>
      </w:tblGrid>
      <w:tr>
        <w:tc>
          <w:tcPr>
            <w:tcW w:type="dxa" w:w="9864"/>
            <w:shd w:fill="F5F0E5"/>
            <w:tcMar>
              <w:top w:w="150" w:type="dxa"/>
              <w:start w:w="210" w:type="dxa"/>
              <w:bottom w:w="150" w:type="dxa"/>
              <w:end w:w="210" w:type="dxa"/>
            </w:tcMar>
          </w:tcPr>
          <w:p>
            <w:pPr>
              <w:jc w:val="right"/>
              <w:bidi w:val="1"/>
            </w:pPr>
            <w:r>
              <w:rPr>
                <w:rFonts w:ascii="Noto Kufi Arabic" w:hAnsi="Noto Kufi Arabic" w:cs="Noto Kufi Arabic" w:eastAsia="Noto Kufi Arabic"/>
                <w:b/>
                <w:i w:val="0"/>
                <w:color w:val="0C3B30"/>
                <w:sz w:val="21"/>
                <w:rtl w:val="1"/>
              </w:rPr>
              <w:t>قرار تأسيسي مقترح</w:t>
            </w:r>
          </w:p>
          <w:p>
            <w:pPr>
              <w:jc w:val="right"/>
              <w:bidi w:val="1"/>
            </w:pPr>
            <w:r>
              <w:rPr>
                <w:rFonts w:ascii="Noto Naskh Arabic" w:hAnsi="Noto Naskh Arabic" w:cs="Noto Naskh Arabic" w:eastAsia="Noto Naskh Arabic"/>
                <w:b w:val="0"/>
                <w:i w:val="0"/>
                <w:color w:val="18352C"/>
                <w:sz w:val="20"/>
                <w:rtl w:val="1"/>
              </w:rPr>
              <w:t>اعتماد المسح أساسًا للاتصال العلمي وتطوير المكتبة، وتكليف وحدة بحث مستقلة بصياغة أجندة أولويات سنوية؛ على أن يخضع أي بحث يتضمن أطفالًا لمراجعة مستقلة قبل التنفيذ، وأن يبقى وصف المشروع على الموقع «قيد التأسيس» إلى حين اكتمال الإجراءات القانونية.</w:t>
            </w:r>
          </w:p>
        </w:tc>
      </w:tr>
    </w:tbl>
    <w:p>
      <w:pPr>
        <w:spacing w:after="20"/>
      </w:pPr>
    </w:p>
    <w:p>
      <w:r>
        <w:br w:type="page"/>
      </w:r>
    </w:p>
    <w:p>
      <w:pPr>
        <w:pStyle w:val="Heading1"/>
        <w:spacing w:before="240" w:after="140"/>
        <w:jc w:val="right"/>
        <w:keepNext/>
        <w:bidi w:val="1"/>
      </w:pPr>
      <w:r>
        <w:rPr>
          <w:rFonts w:ascii="Noto Kufi Arabic" w:hAnsi="Noto Kufi Arabic" w:cs="Noto Kufi Arabic" w:eastAsia="Noto Kufi Arabic"/>
          <w:b/>
          <w:i w:val="0"/>
          <w:color w:val="0C3B30"/>
          <w:sz w:val="32"/>
          <w:rtl w:val="1"/>
        </w:rPr>
        <w:t>10 | ملحق الدليل المؤسسي المختصر</w:t>
      </w:r>
    </w:p>
    <w:p>
      <w:pPr>
        <w:spacing w:after="100" w:line="324" w:lineRule="auto"/>
        <w:jc w:val="right"/>
        <w:bidi w:val="1"/>
      </w:pPr>
      <w:r>
        <w:rPr>
          <w:rFonts w:ascii="Noto Naskh Arabic" w:hAnsi="Noto Naskh Arabic" w:cs="Noto Naskh Arabic" w:eastAsia="Noto Naskh Arabic"/>
          <w:b w:val="0"/>
          <w:i w:val="0"/>
          <w:rtl w:val="1"/>
        </w:rPr>
        <w:t>هذه القائمة لتسهيل التواصل والبحث. الرموز (أ/ب/ج) تعبّر عن قرب الاختصاص ولا تمثل تصنيفًا للجودة، والروابط تفصيلها في جدول المراجع التالي.</w:t>
      </w:r>
    </w:p>
    <w:p>
      <w:pPr>
        <w:pStyle w:val="Heading2"/>
        <w:spacing w:before="160" w:after="140"/>
        <w:jc w:val="right"/>
        <w:keepNext/>
        <w:bidi w:val="1"/>
      </w:pPr>
      <w:r>
        <w:rPr>
          <w:rFonts w:ascii="Noto Kufi Arabic" w:hAnsi="Noto Kufi Arabic" w:cs="Noto Kufi Arabic" w:eastAsia="Noto Kufi Arabic"/>
          <w:b/>
          <w:i w:val="0"/>
          <w:color w:val="B58A28"/>
          <w:sz w:val="24"/>
          <w:rtl w:val="1"/>
        </w:rPr>
        <w:t>عربي وإسلامي</w:t>
      </w:r>
    </w:p>
    <w:tbl>
      <w:tblPr>
        <w:tblW w:type="auto" w:w="0"/>
        <w:jc w:val="center"/>
        <w:tblLayout w:type="fixed"/>
        <w:tblLook w:firstColumn="1" w:firstRow="1" w:lastColumn="0" w:lastRow="0" w:noHBand="0" w:noVBand="1" w:val="04A0"/>
        <w:bidiVisual/>
        <w:tblBorders>
          <w:top w:val="nil"/>
          <w:left w:val="nil"/>
          <w:bottom w:val="nil"/>
          <w:right w:val="nil"/>
          <w:insideH w:val="nil"/>
          <w:insideV w:val="nil"/>
        </w:tblBorders>
      </w:tblPr>
      <w:tblGrid>
        <w:gridCol w:w="5256"/>
        <w:gridCol w:w="2232"/>
        <w:gridCol w:w="2304"/>
      </w:tblGrid>
      <w:tr>
        <w:trPr>
          <w:tblHeader w:val="true"/>
        </w:trPr>
        <w:tc>
          <w:tcPr>
            <w:tcW w:type="dxa" w:w="5256"/>
            <w:vAlign w:val="center"/>
            <w:tcMar>
              <w:top w:w="100" w:type="dxa"/>
              <w:start w:w="120" w:type="dxa"/>
              <w:bottom w:w="100" w:type="dxa"/>
              <w:end w:w="120" w:type="dxa"/>
            </w:tcMar>
            <w:shd w:fill="0C3B30"/>
          </w:tcPr>
          <w:p>
            <w:pPr>
              <w:jc w:val="right"/>
              <w:bidi w:val="1"/>
            </w:pPr>
            <w:r>
              <w:rPr>
                <w:rFonts w:ascii="Noto Kufi Arabic" w:hAnsi="Noto Kufi Arabic" w:cs="Noto Kufi Arabic" w:eastAsia="Noto Kufi Arabic"/>
                <w:b/>
                <w:i w:val="0"/>
                <w:color w:val="FFFFFF"/>
                <w:sz w:val="18"/>
                <w:rtl w:val="1"/>
              </w:rPr>
              <w:t>المؤسسة/المبادرة</w:t>
            </w:r>
          </w:p>
        </w:tc>
        <w:tc>
          <w:tcPr>
            <w:tcW w:type="dxa" w:w="2232"/>
            <w:vAlign w:val="center"/>
            <w:tcMar>
              <w:top w:w="100" w:type="dxa"/>
              <w:start w:w="120" w:type="dxa"/>
              <w:bottom w:w="100" w:type="dxa"/>
              <w:end w:w="120" w:type="dxa"/>
            </w:tcMar>
            <w:shd w:fill="0C3B30"/>
          </w:tcPr>
          <w:p>
            <w:pPr>
              <w:jc w:val="right"/>
              <w:bidi w:val="1"/>
            </w:pPr>
            <w:r>
              <w:rPr>
                <w:rFonts w:ascii="Noto Kufi Arabic" w:hAnsi="Noto Kufi Arabic" w:cs="Noto Kufi Arabic" w:eastAsia="Noto Kufi Arabic"/>
                <w:b/>
                <w:i w:val="0"/>
                <w:color w:val="FFFFFF"/>
                <w:sz w:val="18"/>
                <w:rtl w:val="1"/>
              </w:rPr>
              <w:t>البلد/النطاق</w:t>
            </w:r>
          </w:p>
        </w:tc>
        <w:tc>
          <w:tcPr>
            <w:tcW w:type="dxa" w:w="2304"/>
            <w:vAlign w:val="center"/>
            <w:tcMar>
              <w:top w:w="100" w:type="dxa"/>
              <w:start w:w="120" w:type="dxa"/>
              <w:bottom w:w="100" w:type="dxa"/>
              <w:end w:w="120" w:type="dxa"/>
            </w:tcMar>
            <w:shd w:fill="0C3B30"/>
          </w:tcPr>
          <w:p>
            <w:pPr>
              <w:jc w:val="right"/>
              <w:bidi w:val="1"/>
            </w:pPr>
            <w:r>
              <w:rPr>
                <w:rFonts w:ascii="Noto Kufi Arabic" w:hAnsi="Noto Kufi Arabic" w:cs="Noto Kufi Arabic" w:eastAsia="Noto Kufi Arabic"/>
                <w:b/>
                <w:i w:val="0"/>
                <w:color w:val="FFFFFF"/>
                <w:sz w:val="18"/>
                <w:rtl w:val="1"/>
              </w:rPr>
              <w:t>الصلة والمصدر</w:t>
            </w:r>
          </w:p>
        </w:tc>
      </w:tr>
      <w:tr>
        <w:tc>
          <w:tcPr>
            <w:tcW w:type="dxa" w:w="5256"/>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01  كرسي الشيخ عبداللطيف العيسى لأبحاث الأيتام - جامعة أم القرى</w:t>
            </w:r>
          </w:p>
        </w:tc>
        <w:tc>
          <w:tcPr>
            <w:tcW w:type="dxa" w:w="2232"/>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السعودية</w:t>
            </w:r>
          </w:p>
        </w:tc>
        <w:tc>
          <w:tcPr>
            <w:tcW w:type="dxa" w:w="2304"/>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A / R01</w:t>
            </w:r>
          </w:p>
        </w:tc>
      </w:tr>
      <w:tr>
        <w:tc>
          <w:tcPr>
            <w:tcW w:type="dxa" w:w="5256"/>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02  المجلس التخصصي لجمعيات الأيتام</w:t>
            </w:r>
          </w:p>
        </w:tc>
        <w:tc>
          <w:tcPr>
            <w:tcW w:type="dxa" w:w="2232"/>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السعودية</w:t>
            </w:r>
          </w:p>
        </w:tc>
        <w:tc>
          <w:tcPr>
            <w:tcW w:type="dxa" w:w="2304"/>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B / R03</w:t>
            </w:r>
          </w:p>
        </w:tc>
      </w:tr>
      <w:tr>
        <w:tc>
          <w:tcPr>
            <w:tcW w:type="dxa" w:w="5256"/>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03  منصة أيتامنا المعرفية</w:t>
            </w:r>
          </w:p>
        </w:tc>
        <w:tc>
          <w:tcPr>
            <w:tcW w:type="dxa" w:w="2232"/>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السعودية</w:t>
            </w:r>
          </w:p>
        </w:tc>
        <w:tc>
          <w:tcPr>
            <w:tcW w:type="dxa" w:w="2304"/>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B / R03</w:t>
            </w:r>
          </w:p>
        </w:tc>
      </w:tr>
      <w:tr>
        <w:tc>
          <w:tcPr>
            <w:tcW w:type="dxa" w:w="5256"/>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04  جمعية بناء لرعاية الأيتام</w:t>
            </w:r>
          </w:p>
        </w:tc>
        <w:tc>
          <w:tcPr>
            <w:tcW w:type="dxa" w:w="2232"/>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السعودية</w:t>
            </w:r>
          </w:p>
        </w:tc>
        <w:tc>
          <w:tcPr>
            <w:tcW w:type="dxa" w:w="2304"/>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B / R04</w:t>
            </w:r>
          </w:p>
        </w:tc>
      </w:tr>
      <w:tr>
        <w:tc>
          <w:tcPr>
            <w:tcW w:type="dxa" w:w="5256"/>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05  مركز دريمة لرعاية الأيتام</w:t>
            </w:r>
          </w:p>
        </w:tc>
        <w:tc>
          <w:tcPr>
            <w:tcW w:type="dxa" w:w="2232"/>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قطر</w:t>
            </w:r>
          </w:p>
        </w:tc>
        <w:tc>
          <w:tcPr>
            <w:tcW w:type="dxa" w:w="2304"/>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B / R07</w:t>
            </w:r>
          </w:p>
        </w:tc>
      </w:tr>
      <w:tr>
        <w:tc>
          <w:tcPr>
            <w:tcW w:type="dxa" w:w="5256"/>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06  جمعية سند للرعاية الوالدية البديلة</w:t>
            </w:r>
          </w:p>
        </w:tc>
        <w:tc>
          <w:tcPr>
            <w:tcW w:type="dxa" w:w="2232"/>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مصر</w:t>
            </w:r>
          </w:p>
        </w:tc>
        <w:tc>
          <w:tcPr>
            <w:tcW w:type="dxa" w:w="2304"/>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A / R08</w:t>
            </w:r>
          </w:p>
        </w:tc>
      </w:tr>
      <w:tr>
        <w:tc>
          <w:tcPr>
            <w:tcW w:type="dxa" w:w="5256"/>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07  صندوق الأمان لمستقبل الأيتام</w:t>
            </w:r>
          </w:p>
        </w:tc>
        <w:tc>
          <w:tcPr>
            <w:tcW w:type="dxa" w:w="2232"/>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الأردن</w:t>
            </w:r>
          </w:p>
        </w:tc>
        <w:tc>
          <w:tcPr>
            <w:tcW w:type="dxa" w:w="2304"/>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C / R10</w:t>
            </w:r>
          </w:p>
        </w:tc>
      </w:tr>
      <w:tr>
        <w:tc>
          <w:tcPr>
            <w:tcW w:type="dxa" w:w="5256"/>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08  اتحاد رعاية الأيتام</w:t>
            </w:r>
          </w:p>
        </w:tc>
        <w:tc>
          <w:tcPr>
            <w:tcW w:type="dxa" w:w="2232"/>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تركيا</w:t>
            </w:r>
          </w:p>
        </w:tc>
        <w:tc>
          <w:tcPr>
            <w:tcW w:type="dxa" w:w="2304"/>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A / R05</w:t>
            </w:r>
          </w:p>
        </w:tc>
      </w:tr>
      <w:tr>
        <w:tc>
          <w:tcPr>
            <w:tcW w:type="dxa" w:w="5256"/>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09  مؤسسة اليتيم Yetim Vakfı</w:t>
            </w:r>
          </w:p>
        </w:tc>
        <w:tc>
          <w:tcPr>
            <w:tcW w:type="dxa" w:w="2232"/>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تركيا</w:t>
            </w:r>
          </w:p>
        </w:tc>
        <w:tc>
          <w:tcPr>
            <w:tcW w:type="dxa" w:w="2304"/>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B / R06</w:t>
            </w:r>
          </w:p>
        </w:tc>
      </w:tr>
      <w:tr>
        <w:tc>
          <w:tcPr>
            <w:tcW w:type="dxa" w:w="5256"/>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10  الإغاثة الإسلامية عبر العالم</w:t>
            </w:r>
          </w:p>
        </w:tc>
        <w:tc>
          <w:tcPr>
            <w:tcW w:type="dxa" w:w="2232"/>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المملكة المتحدة/عالمي</w:t>
            </w:r>
          </w:p>
        </w:tc>
        <w:tc>
          <w:tcPr>
            <w:tcW w:type="dxa" w:w="2304"/>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B / R11</w:t>
            </w:r>
          </w:p>
        </w:tc>
      </w:tr>
    </w:tbl>
    <w:p>
      <w:pPr>
        <w:spacing w:after="0"/>
      </w:pPr>
    </w:p>
    <w:p>
      <w:pPr>
        <w:pStyle w:val="Heading2"/>
        <w:spacing w:before="160" w:after="140"/>
        <w:jc w:val="right"/>
        <w:keepNext/>
        <w:bidi w:val="1"/>
      </w:pPr>
      <w:r>
        <w:rPr>
          <w:rFonts w:ascii="Noto Kufi Arabic" w:hAnsi="Noto Kufi Arabic" w:cs="Noto Kufi Arabic" w:eastAsia="Noto Kufi Arabic"/>
          <w:b/>
          <w:i w:val="0"/>
          <w:color w:val="B58A28"/>
          <w:sz w:val="24"/>
          <w:rtl w:val="1"/>
        </w:rPr>
        <w:t>أوروبا وأمريكا الشمالية</w:t>
      </w:r>
    </w:p>
    <w:tbl>
      <w:tblPr>
        <w:tblW w:type="auto" w:w="0"/>
        <w:jc w:val="center"/>
        <w:tblLayout w:type="fixed"/>
        <w:tblLook w:firstColumn="1" w:firstRow="1" w:lastColumn="0" w:lastRow="0" w:noHBand="0" w:noVBand="1" w:val="04A0"/>
        <w:bidiVisual/>
        <w:tblBorders>
          <w:top w:val="nil"/>
          <w:left w:val="nil"/>
          <w:bottom w:val="nil"/>
          <w:right w:val="nil"/>
          <w:insideH w:val="nil"/>
          <w:insideV w:val="nil"/>
        </w:tblBorders>
      </w:tblPr>
      <w:tblGrid>
        <w:gridCol w:w="5256"/>
        <w:gridCol w:w="2232"/>
        <w:gridCol w:w="2304"/>
      </w:tblGrid>
      <w:tr>
        <w:trPr>
          <w:tblHeader w:val="true"/>
        </w:trPr>
        <w:tc>
          <w:tcPr>
            <w:tcW w:type="dxa" w:w="5256"/>
            <w:vAlign w:val="center"/>
            <w:tcMar>
              <w:top w:w="100" w:type="dxa"/>
              <w:start w:w="120" w:type="dxa"/>
              <w:bottom w:w="100" w:type="dxa"/>
              <w:end w:w="120" w:type="dxa"/>
            </w:tcMar>
            <w:shd w:fill="0C3B30"/>
          </w:tcPr>
          <w:p>
            <w:pPr>
              <w:jc w:val="right"/>
              <w:bidi w:val="1"/>
            </w:pPr>
            <w:r>
              <w:rPr>
                <w:rFonts w:ascii="Noto Kufi Arabic" w:hAnsi="Noto Kufi Arabic" w:cs="Noto Kufi Arabic" w:eastAsia="Noto Kufi Arabic"/>
                <w:b/>
                <w:i w:val="0"/>
                <w:color w:val="FFFFFF"/>
                <w:sz w:val="18"/>
                <w:rtl w:val="1"/>
              </w:rPr>
              <w:t>المؤسسة/المبادرة</w:t>
            </w:r>
          </w:p>
        </w:tc>
        <w:tc>
          <w:tcPr>
            <w:tcW w:type="dxa" w:w="2232"/>
            <w:vAlign w:val="center"/>
            <w:tcMar>
              <w:top w:w="100" w:type="dxa"/>
              <w:start w:w="120" w:type="dxa"/>
              <w:bottom w:w="100" w:type="dxa"/>
              <w:end w:w="120" w:type="dxa"/>
            </w:tcMar>
            <w:shd w:fill="0C3B30"/>
          </w:tcPr>
          <w:p>
            <w:pPr>
              <w:jc w:val="right"/>
              <w:bidi w:val="1"/>
            </w:pPr>
            <w:r>
              <w:rPr>
                <w:rFonts w:ascii="Noto Kufi Arabic" w:hAnsi="Noto Kufi Arabic" w:cs="Noto Kufi Arabic" w:eastAsia="Noto Kufi Arabic"/>
                <w:b/>
                <w:i w:val="0"/>
                <w:color w:val="FFFFFF"/>
                <w:sz w:val="18"/>
                <w:rtl w:val="1"/>
              </w:rPr>
              <w:t>البلد/النطاق</w:t>
            </w:r>
          </w:p>
        </w:tc>
        <w:tc>
          <w:tcPr>
            <w:tcW w:type="dxa" w:w="2304"/>
            <w:vAlign w:val="center"/>
            <w:tcMar>
              <w:top w:w="100" w:type="dxa"/>
              <w:start w:w="120" w:type="dxa"/>
              <w:bottom w:w="100" w:type="dxa"/>
              <w:end w:w="120" w:type="dxa"/>
            </w:tcMar>
            <w:shd w:fill="0C3B30"/>
          </w:tcPr>
          <w:p>
            <w:pPr>
              <w:jc w:val="right"/>
              <w:bidi w:val="1"/>
            </w:pPr>
            <w:r>
              <w:rPr>
                <w:rFonts w:ascii="Noto Kufi Arabic" w:hAnsi="Noto Kufi Arabic" w:cs="Noto Kufi Arabic" w:eastAsia="Noto Kufi Arabic"/>
                <w:b/>
                <w:i w:val="0"/>
                <w:color w:val="FFFFFF"/>
                <w:sz w:val="18"/>
                <w:rtl w:val="1"/>
              </w:rPr>
              <w:t>الصلة والمصدر</w:t>
            </w:r>
          </w:p>
        </w:tc>
      </w:tr>
      <w:tr>
        <w:tc>
          <w:tcPr>
            <w:tcW w:type="dxa" w:w="5256"/>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11  CAFO - مركز البحوث التطبيقية للأطفال والأسر الهشة</w:t>
            </w:r>
          </w:p>
        </w:tc>
        <w:tc>
          <w:tcPr>
            <w:tcW w:type="dxa" w:w="2232"/>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الولايات المتحدة</w:t>
            </w:r>
          </w:p>
        </w:tc>
        <w:tc>
          <w:tcPr>
            <w:tcW w:type="dxa" w:w="2304"/>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A / R12</w:t>
            </w:r>
          </w:p>
        </w:tc>
      </w:tr>
      <w:tr>
        <w:tc>
          <w:tcPr>
            <w:tcW w:type="dxa" w:w="5256"/>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12  برنامج Data, Dignity and Direction (D³)</w:t>
            </w:r>
          </w:p>
        </w:tc>
        <w:tc>
          <w:tcPr>
            <w:tcW w:type="dxa" w:w="2232"/>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كندا/دولي</w:t>
            </w:r>
          </w:p>
        </w:tc>
        <w:tc>
          <w:tcPr>
            <w:tcW w:type="dxa" w:w="2304"/>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A / R15</w:t>
            </w:r>
          </w:p>
        </w:tc>
      </w:tr>
      <w:tr>
        <w:tc>
          <w:tcPr>
            <w:tcW w:type="dxa" w:w="5256"/>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13  UNICEF Innocenti - مكتب الاستراتيجية والأدلة</w:t>
            </w:r>
          </w:p>
        </w:tc>
        <w:tc>
          <w:tcPr>
            <w:tcW w:type="dxa" w:w="2232"/>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إيطاليا/دولي</w:t>
            </w:r>
          </w:p>
        </w:tc>
        <w:tc>
          <w:tcPr>
            <w:tcW w:type="dxa" w:w="2304"/>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B / R17</w:t>
            </w:r>
          </w:p>
        </w:tc>
      </w:tr>
      <w:tr>
        <w:tc>
          <w:tcPr>
            <w:tcW w:type="dxa" w:w="5256"/>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14  Rees Centre - جامعة أكسفورد</w:t>
            </w:r>
          </w:p>
        </w:tc>
        <w:tc>
          <w:tcPr>
            <w:tcW w:type="dxa" w:w="2232"/>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المملكة المتحدة</w:t>
            </w:r>
          </w:p>
        </w:tc>
        <w:tc>
          <w:tcPr>
            <w:tcW w:type="dxa" w:w="2304"/>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B / R18</w:t>
            </w:r>
          </w:p>
        </w:tc>
      </w:tr>
      <w:tr>
        <w:tc>
          <w:tcPr>
            <w:tcW w:type="dxa" w:w="5256"/>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15  Chapin Hall</w:t>
            </w:r>
          </w:p>
        </w:tc>
        <w:tc>
          <w:tcPr>
            <w:tcW w:type="dxa" w:w="2232"/>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الولايات المتحدة</w:t>
            </w:r>
          </w:p>
        </w:tc>
        <w:tc>
          <w:tcPr>
            <w:tcW w:type="dxa" w:w="2304"/>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B / R19</w:t>
            </w:r>
          </w:p>
        </w:tc>
      </w:tr>
      <w:tr>
        <w:tc>
          <w:tcPr>
            <w:tcW w:type="dxa" w:w="5256"/>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16  CoramBAAF / Coram</w:t>
            </w:r>
          </w:p>
        </w:tc>
        <w:tc>
          <w:tcPr>
            <w:tcW w:type="dxa" w:w="2232"/>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المملكة المتحدة</w:t>
            </w:r>
          </w:p>
        </w:tc>
        <w:tc>
          <w:tcPr>
            <w:tcW w:type="dxa" w:w="2304"/>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B / R20</w:t>
            </w:r>
          </w:p>
        </w:tc>
      </w:tr>
      <w:tr>
        <w:tc>
          <w:tcPr>
            <w:tcW w:type="dxa" w:w="5256"/>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17  Know-how Centre for Alternative Care - New Bulgarian University</w:t>
            </w:r>
          </w:p>
        </w:tc>
        <w:tc>
          <w:tcPr>
            <w:tcW w:type="dxa" w:w="2232"/>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بلغاريا</w:t>
            </w:r>
          </w:p>
        </w:tc>
        <w:tc>
          <w:tcPr>
            <w:tcW w:type="dxa" w:w="2304"/>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A / R21</w:t>
            </w:r>
          </w:p>
        </w:tc>
      </w:tr>
      <w:tr>
        <w:tc>
          <w:tcPr>
            <w:tcW w:type="dxa" w:w="5256"/>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18  Bucharest Early Intervention Project</w:t>
            </w:r>
          </w:p>
        </w:tc>
        <w:tc>
          <w:tcPr>
            <w:tcW w:type="dxa" w:w="2232"/>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رومانيا/الولايات المتحدة</w:t>
            </w:r>
          </w:p>
        </w:tc>
        <w:tc>
          <w:tcPr>
            <w:tcW w:type="dxa" w:w="2304"/>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B / R22</w:t>
            </w:r>
          </w:p>
        </w:tc>
      </w:tr>
      <w:tr>
        <w:tc>
          <w:tcPr>
            <w:tcW w:type="dxa" w:w="5256"/>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19  Better Care Network</w:t>
            </w:r>
          </w:p>
        </w:tc>
        <w:tc>
          <w:tcPr>
            <w:tcW w:type="dxa" w:w="2232"/>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دولي</w:t>
            </w:r>
          </w:p>
        </w:tc>
        <w:tc>
          <w:tcPr>
            <w:tcW w:type="dxa" w:w="2304"/>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B / R23</w:t>
            </w:r>
          </w:p>
        </w:tc>
      </w:tr>
      <w:tr>
        <w:tc>
          <w:tcPr>
            <w:tcW w:type="dxa" w:w="5256"/>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20  SOS Children’s Villages International</w:t>
            </w:r>
          </w:p>
        </w:tc>
        <w:tc>
          <w:tcPr>
            <w:tcW w:type="dxa" w:w="2232"/>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دولي</w:t>
            </w:r>
          </w:p>
        </w:tc>
        <w:tc>
          <w:tcPr>
            <w:tcW w:type="dxa" w:w="2304"/>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B / R24</w:t>
            </w:r>
          </w:p>
        </w:tc>
      </w:tr>
      <w:tr>
        <w:tc>
          <w:tcPr>
            <w:tcW w:type="dxa" w:w="5256"/>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21  Lumos Foundation</w:t>
            </w:r>
          </w:p>
        </w:tc>
        <w:tc>
          <w:tcPr>
            <w:tcW w:type="dxa" w:w="2232"/>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المملكة المتحدة/دولي</w:t>
            </w:r>
          </w:p>
        </w:tc>
        <w:tc>
          <w:tcPr>
            <w:tcW w:type="dxa" w:w="2304"/>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B / R25</w:t>
            </w:r>
          </w:p>
        </w:tc>
      </w:tr>
      <w:tr>
        <w:tc>
          <w:tcPr>
            <w:tcW w:type="dxa" w:w="5256"/>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22  Hope and Homes for Children</w:t>
            </w:r>
          </w:p>
        </w:tc>
        <w:tc>
          <w:tcPr>
            <w:tcW w:type="dxa" w:w="2232"/>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المملكة المتحدة/دولي</w:t>
            </w:r>
          </w:p>
        </w:tc>
        <w:tc>
          <w:tcPr>
            <w:tcW w:type="dxa" w:w="2304"/>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B / R26</w:t>
            </w:r>
          </w:p>
        </w:tc>
      </w:tr>
      <w:tr>
        <w:tc>
          <w:tcPr>
            <w:tcW w:type="dxa" w:w="5256"/>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23  Family for Every Child</w:t>
            </w:r>
          </w:p>
        </w:tc>
        <w:tc>
          <w:tcPr>
            <w:tcW w:type="dxa" w:w="2232"/>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دولي</w:t>
            </w:r>
          </w:p>
        </w:tc>
        <w:tc>
          <w:tcPr>
            <w:tcW w:type="dxa" w:w="2304"/>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B / R27</w:t>
            </w:r>
          </w:p>
        </w:tc>
      </w:tr>
    </w:tbl>
    <w:p>
      <w:pPr>
        <w:spacing w:after="0"/>
      </w:pPr>
    </w:p>
    <w:p>
      <w:pPr>
        <w:pStyle w:val="Heading2"/>
        <w:spacing w:before="160" w:after="140"/>
        <w:jc w:val="right"/>
        <w:keepNext/>
        <w:bidi w:val="1"/>
      </w:pPr>
      <w:r>
        <w:rPr>
          <w:rFonts w:ascii="Noto Kufi Arabic" w:hAnsi="Noto Kufi Arabic" w:cs="Noto Kufi Arabic" w:eastAsia="Noto Kufi Arabic"/>
          <w:b/>
          <w:i w:val="0"/>
          <w:color w:val="B58A28"/>
          <w:sz w:val="24"/>
          <w:rtl w:val="1"/>
        </w:rPr>
        <w:t>آسيا وأفريقيا واللاتينية وأوقيانوسيا</w:t>
      </w:r>
    </w:p>
    <w:tbl>
      <w:tblPr>
        <w:tblW w:type="auto" w:w="0"/>
        <w:jc w:val="center"/>
        <w:tblLayout w:type="fixed"/>
        <w:tblLook w:firstColumn="1" w:firstRow="1" w:lastColumn="0" w:lastRow="0" w:noHBand="0" w:noVBand="1" w:val="04A0"/>
        <w:bidiVisual/>
        <w:tblBorders>
          <w:top w:val="nil"/>
          <w:left w:val="nil"/>
          <w:bottom w:val="nil"/>
          <w:right w:val="nil"/>
          <w:insideH w:val="nil"/>
          <w:insideV w:val="nil"/>
        </w:tblBorders>
      </w:tblPr>
      <w:tblGrid>
        <w:gridCol w:w="5256"/>
        <w:gridCol w:w="2232"/>
        <w:gridCol w:w="2304"/>
      </w:tblGrid>
      <w:tr>
        <w:trPr>
          <w:tblHeader w:val="true"/>
        </w:trPr>
        <w:tc>
          <w:tcPr>
            <w:tcW w:type="dxa" w:w="5256"/>
            <w:vAlign w:val="center"/>
            <w:tcMar>
              <w:top w:w="100" w:type="dxa"/>
              <w:start w:w="120" w:type="dxa"/>
              <w:bottom w:w="100" w:type="dxa"/>
              <w:end w:w="120" w:type="dxa"/>
            </w:tcMar>
            <w:shd w:fill="0C3B30"/>
          </w:tcPr>
          <w:p>
            <w:pPr>
              <w:jc w:val="right"/>
              <w:bidi w:val="1"/>
            </w:pPr>
            <w:r>
              <w:rPr>
                <w:rFonts w:ascii="Noto Kufi Arabic" w:hAnsi="Noto Kufi Arabic" w:cs="Noto Kufi Arabic" w:eastAsia="Noto Kufi Arabic"/>
                <w:b/>
                <w:i w:val="0"/>
                <w:color w:val="FFFFFF"/>
                <w:sz w:val="18"/>
                <w:rtl w:val="1"/>
              </w:rPr>
              <w:t>المؤسسة/المبادرة</w:t>
            </w:r>
          </w:p>
        </w:tc>
        <w:tc>
          <w:tcPr>
            <w:tcW w:type="dxa" w:w="2232"/>
            <w:vAlign w:val="center"/>
            <w:tcMar>
              <w:top w:w="100" w:type="dxa"/>
              <w:start w:w="120" w:type="dxa"/>
              <w:bottom w:w="100" w:type="dxa"/>
              <w:end w:w="120" w:type="dxa"/>
            </w:tcMar>
            <w:shd w:fill="0C3B30"/>
          </w:tcPr>
          <w:p>
            <w:pPr>
              <w:jc w:val="right"/>
              <w:bidi w:val="1"/>
            </w:pPr>
            <w:r>
              <w:rPr>
                <w:rFonts w:ascii="Noto Kufi Arabic" w:hAnsi="Noto Kufi Arabic" w:cs="Noto Kufi Arabic" w:eastAsia="Noto Kufi Arabic"/>
                <w:b/>
                <w:i w:val="0"/>
                <w:color w:val="FFFFFF"/>
                <w:sz w:val="18"/>
                <w:rtl w:val="1"/>
              </w:rPr>
              <w:t>البلد/النطاق</w:t>
            </w:r>
          </w:p>
        </w:tc>
        <w:tc>
          <w:tcPr>
            <w:tcW w:type="dxa" w:w="2304"/>
            <w:vAlign w:val="center"/>
            <w:tcMar>
              <w:top w:w="100" w:type="dxa"/>
              <w:start w:w="120" w:type="dxa"/>
              <w:bottom w:w="100" w:type="dxa"/>
              <w:end w:w="120" w:type="dxa"/>
            </w:tcMar>
            <w:shd w:fill="0C3B30"/>
          </w:tcPr>
          <w:p>
            <w:pPr>
              <w:jc w:val="right"/>
              <w:bidi w:val="1"/>
            </w:pPr>
            <w:r>
              <w:rPr>
                <w:rFonts w:ascii="Noto Kufi Arabic" w:hAnsi="Noto Kufi Arabic" w:cs="Noto Kufi Arabic" w:eastAsia="Noto Kufi Arabic"/>
                <w:b/>
                <w:i w:val="0"/>
                <w:color w:val="FFFFFF"/>
                <w:sz w:val="18"/>
                <w:rtl w:val="1"/>
              </w:rPr>
              <w:t>الصلة والمصدر</w:t>
            </w:r>
          </w:p>
        </w:tc>
      </w:tr>
      <w:tr>
        <w:tc>
          <w:tcPr>
            <w:tcW w:type="dxa" w:w="5256"/>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24  Udayan Care</w:t>
            </w:r>
          </w:p>
        </w:tc>
        <w:tc>
          <w:tcPr>
            <w:tcW w:type="dxa" w:w="2232"/>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الهند</w:t>
            </w:r>
          </w:p>
        </w:tc>
        <w:tc>
          <w:tcPr>
            <w:tcW w:type="dxa" w:w="2304"/>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A / R28</w:t>
            </w:r>
          </w:p>
        </w:tc>
      </w:tr>
      <w:tr>
        <w:tc>
          <w:tcPr>
            <w:tcW w:type="dxa" w:w="5256"/>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25  Africa Network of Care-Leaving Researchers</w:t>
            </w:r>
          </w:p>
        </w:tc>
        <w:tc>
          <w:tcPr>
            <w:tcW w:type="dxa" w:w="2232"/>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أفريقيا</w:t>
            </w:r>
          </w:p>
        </w:tc>
        <w:tc>
          <w:tcPr>
            <w:tcW w:type="dxa" w:w="2304"/>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A / R31</w:t>
            </w:r>
          </w:p>
        </w:tc>
      </w:tr>
      <w:tr>
        <w:tc>
          <w:tcPr>
            <w:tcW w:type="dxa" w:w="5256"/>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26  Association for Care Leavers Networks in Africa</w:t>
            </w:r>
          </w:p>
        </w:tc>
        <w:tc>
          <w:tcPr>
            <w:tcW w:type="dxa" w:w="2232"/>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أفريقيا/كينيا</w:t>
            </w:r>
          </w:p>
        </w:tc>
        <w:tc>
          <w:tcPr>
            <w:tcW w:type="dxa" w:w="2304"/>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B / R32</w:t>
            </w:r>
          </w:p>
        </w:tc>
      </w:tr>
      <w:tr>
        <w:tc>
          <w:tcPr>
            <w:tcW w:type="dxa" w:w="5256"/>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27  African Child Policy Forum</w:t>
            </w:r>
          </w:p>
        </w:tc>
        <w:tc>
          <w:tcPr>
            <w:tcW w:type="dxa" w:w="2232"/>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إثيوبيا/أفريقيا</w:t>
            </w:r>
          </w:p>
        </w:tc>
        <w:tc>
          <w:tcPr>
            <w:tcW w:type="dxa" w:w="2304"/>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B / R33</w:t>
            </w:r>
          </w:p>
        </w:tc>
      </w:tr>
      <w:tr>
        <w:tc>
          <w:tcPr>
            <w:tcW w:type="dxa" w:w="5256"/>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28  Children’s Institute - University of Cape Town</w:t>
            </w:r>
          </w:p>
        </w:tc>
        <w:tc>
          <w:tcPr>
            <w:tcW w:type="dxa" w:w="2232"/>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جنوب أفريقيا</w:t>
            </w:r>
          </w:p>
        </w:tc>
        <w:tc>
          <w:tcPr>
            <w:tcW w:type="dxa" w:w="2304"/>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B / R34</w:t>
            </w:r>
          </w:p>
        </w:tc>
      </w:tr>
      <w:tr>
        <w:tc>
          <w:tcPr>
            <w:tcW w:type="dxa" w:w="5256"/>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29  RELAF - شبكة أمريكا اللاتينية للرعاية الأسرية</w:t>
            </w:r>
          </w:p>
        </w:tc>
        <w:tc>
          <w:tcPr>
            <w:tcW w:type="dxa" w:w="2232"/>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أمريكا اللاتينية/أوروغواي</w:t>
            </w:r>
          </w:p>
        </w:tc>
        <w:tc>
          <w:tcPr>
            <w:tcW w:type="dxa" w:w="2304"/>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A / R35</w:t>
            </w:r>
          </w:p>
        </w:tc>
      </w:tr>
      <w:tr>
        <w:tc>
          <w:tcPr>
            <w:tcW w:type="dxa" w:w="5256"/>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30  Consortium for Street Children</w:t>
            </w:r>
          </w:p>
        </w:tc>
        <w:tc>
          <w:tcPr>
            <w:tcW w:type="dxa" w:w="2232"/>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المملكة المتحدة/دولي</w:t>
            </w:r>
          </w:p>
        </w:tc>
        <w:tc>
          <w:tcPr>
            <w:tcW w:type="dxa" w:w="2304"/>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B / R36</w:t>
            </w:r>
          </w:p>
        </w:tc>
      </w:tr>
      <w:tr>
        <w:tc>
          <w:tcPr>
            <w:tcW w:type="dxa" w:w="5256"/>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31  Australian Institute of Family Studies</w:t>
            </w:r>
          </w:p>
        </w:tc>
        <w:tc>
          <w:tcPr>
            <w:tcW w:type="dxa" w:w="2232"/>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أستراليا</w:t>
            </w:r>
          </w:p>
        </w:tc>
        <w:tc>
          <w:tcPr>
            <w:tcW w:type="dxa" w:w="2304"/>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B / R37</w:t>
            </w:r>
          </w:p>
        </w:tc>
      </w:tr>
      <w:tr>
        <w:tc>
          <w:tcPr>
            <w:tcW w:type="dxa" w:w="5256"/>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32  Australian Institute of Health and Welfare</w:t>
            </w:r>
          </w:p>
        </w:tc>
        <w:tc>
          <w:tcPr>
            <w:tcW w:type="dxa" w:w="2232"/>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أستراليا</w:t>
            </w:r>
          </w:p>
        </w:tc>
        <w:tc>
          <w:tcPr>
            <w:tcW w:type="dxa" w:w="2304"/>
            <w:vAlign w:val="center"/>
            <w:tcMar>
              <w:top w:w="100" w:type="dxa"/>
              <w:start w:w="120" w:type="dxa"/>
              <w:bottom w:w="100" w:type="dxa"/>
              <w:end w:w="120" w:type="dxa"/>
            </w:tcMar>
            <w:shd w:fill="FBFAF7"/>
          </w:tcPr>
          <w:p>
            <w:pPr>
              <w:jc w:val="right"/>
              <w:bidi w:val="1"/>
            </w:pPr>
            <w:r>
              <w:rPr>
                <w:rFonts w:ascii="Noto Naskh Arabic" w:hAnsi="Noto Naskh Arabic" w:cs="Noto Naskh Arabic" w:eastAsia="Noto Naskh Arabic"/>
                <w:b w:val="0"/>
                <w:i w:val="0"/>
                <w:color w:val="18352C"/>
                <w:sz w:val="17"/>
                <w:rtl w:val="1"/>
              </w:rPr>
              <w:t>B / R38</w:t>
            </w:r>
          </w:p>
        </w:tc>
      </w:tr>
      <w:tr>
        <w:tc>
          <w:tcPr>
            <w:tcW w:type="dxa" w:w="5256"/>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33  CREATE Foundation</w:t>
            </w:r>
          </w:p>
        </w:tc>
        <w:tc>
          <w:tcPr>
            <w:tcW w:type="dxa" w:w="2232"/>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أستراليا</w:t>
            </w:r>
          </w:p>
        </w:tc>
        <w:tc>
          <w:tcPr>
            <w:tcW w:type="dxa" w:w="2304"/>
            <w:vAlign w:val="center"/>
            <w:tcMar>
              <w:top w:w="100" w:type="dxa"/>
              <w:start w:w="120" w:type="dxa"/>
              <w:bottom w:w="100" w:type="dxa"/>
              <w:end w:w="120" w:type="dxa"/>
            </w:tcMar>
          </w:tcPr>
          <w:p>
            <w:pPr>
              <w:jc w:val="right"/>
              <w:bidi w:val="1"/>
            </w:pPr>
            <w:r>
              <w:rPr>
                <w:rFonts w:ascii="Noto Naskh Arabic" w:hAnsi="Noto Naskh Arabic" w:cs="Noto Naskh Arabic" w:eastAsia="Noto Naskh Arabic"/>
                <w:b w:val="0"/>
                <w:i w:val="0"/>
                <w:color w:val="18352C"/>
                <w:sz w:val="17"/>
                <w:rtl w:val="1"/>
              </w:rPr>
              <w:t>C / R39</w:t>
            </w:r>
          </w:p>
        </w:tc>
      </w:tr>
    </w:tbl>
    <w:p>
      <w:pPr>
        <w:spacing w:after="0"/>
      </w:pPr>
    </w:p>
    <w:p>
      <w:r>
        <w:br w:type="page"/>
      </w:r>
    </w:p>
    <w:p>
      <w:pPr>
        <w:pStyle w:val="Heading1"/>
        <w:spacing w:before="240" w:after="140"/>
        <w:jc w:val="right"/>
        <w:keepNext/>
        <w:bidi w:val="1"/>
      </w:pPr>
      <w:r>
        <w:rPr>
          <w:rFonts w:ascii="Noto Kufi Arabic" w:hAnsi="Noto Kufi Arabic" w:cs="Noto Kufi Arabic" w:eastAsia="Noto Kufi Arabic"/>
          <w:b/>
          <w:i w:val="0"/>
          <w:color w:val="0C3B30"/>
          <w:sz w:val="32"/>
          <w:rtl w:val="1"/>
        </w:rPr>
        <w:t>11 | قائمة المصادر والمراجع الإلكترونية</w:t>
      </w:r>
    </w:p>
    <w:p>
      <w:pPr>
        <w:spacing w:after="100" w:line="324" w:lineRule="auto"/>
        <w:jc w:val="right"/>
        <w:bidi w:val="1"/>
      </w:pPr>
      <w:r>
        <w:rPr>
          <w:rFonts w:ascii="Noto Naskh Arabic" w:hAnsi="Noto Naskh Arabic" w:cs="Noto Naskh Arabic" w:eastAsia="Noto Naskh Arabic"/>
          <w:b w:val="0"/>
          <w:i w:val="0"/>
          <w:rtl w:val="1"/>
        </w:rPr>
        <w:t>تعرض القائمة المصادر المؤسسية والمقالات والمكتبات المستخدمة، وقد رُتبت بأرقام مستقلة لتسهيل المراجعة. تشير الإحالات في المتن [R##] إلى هذه القائمة. تاريخ الاطلاع: 19 أكتوبر 2026. يُرجى الرجوع إلى الرابط الأصلي للتحقق من أي تحديث لاحق.</w:t>
      </w:r>
    </w:p>
    <w:p>
      <w:pPr>
        <w:spacing w:after="160"/>
        <w:jc w:val="right"/>
        <w:bidi w:val="1"/>
      </w:pPr>
      <w:r>
        <w:rPr>
          <w:rFonts w:ascii="Noto Naskh Arabic" w:hAnsi="Noto Naskh Arabic" w:cs="Noto Naskh Arabic" w:eastAsia="Noto Naskh Arabic"/>
          <w:b/>
          <w:i w:val="0"/>
          <w:color w:val="0C3B30"/>
          <w:sz w:val="18"/>
          <w:rtl w:val="1"/>
        </w:rPr>
        <w:t xml:space="preserve">[R01] جامعة أم القرى: تعريف كرسي الشيخ عبداللطيف العيسى لأبحاث الأيتام  </w:t>
      </w:r>
      <w:hyperlink r:id="rId12">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https://uqu.edu.sa/aefor/App/About</w:t>
      </w:r>
    </w:p>
    <w:p>
      <w:pPr>
        <w:spacing w:after="160"/>
        <w:jc w:val="right"/>
        <w:bidi w:val="1"/>
      </w:pPr>
      <w:r>
        <w:rPr>
          <w:rFonts w:ascii="Noto Naskh Arabic" w:hAnsi="Noto Naskh Arabic" w:cs="Noto Naskh Arabic" w:eastAsia="Noto Naskh Arabic"/>
          <w:b/>
          <w:i w:val="0"/>
          <w:color w:val="0C3B30"/>
          <w:sz w:val="18"/>
          <w:rtl w:val="1"/>
        </w:rPr>
        <w:t xml:space="preserve">[R02] جامعة أم القرى: إصدارات كرسي أبحاث الأيتام  </w:t>
      </w:r>
      <w:hyperlink r:id="rId13">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https://uqu.edu.sa/aefor/153656</w:t>
      </w:r>
    </w:p>
    <w:p>
      <w:pPr>
        <w:spacing w:after="160"/>
        <w:jc w:val="right"/>
        <w:bidi w:val="1"/>
      </w:pPr>
      <w:r>
        <w:rPr>
          <w:rFonts w:ascii="Noto Naskh Arabic" w:hAnsi="Noto Naskh Arabic" w:cs="Noto Naskh Arabic" w:eastAsia="Noto Naskh Arabic"/>
          <w:b/>
          <w:i w:val="0"/>
          <w:color w:val="0C3B30"/>
          <w:sz w:val="18"/>
          <w:rtl w:val="1"/>
        </w:rPr>
        <w:t xml:space="preserve">[R03] المجلس التخصصي لجمعيات الأيتام: موقع وبرامج البحوث  </w:t>
      </w:r>
      <w:hyperlink r:id="rId14">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https://scfoa.org.sa/</w:t>
      </w:r>
    </w:p>
    <w:p>
      <w:pPr>
        <w:spacing w:after="160"/>
        <w:jc w:val="right"/>
        <w:bidi w:val="1"/>
      </w:pPr>
      <w:r>
        <w:rPr>
          <w:rFonts w:ascii="Noto Naskh Arabic" w:hAnsi="Noto Naskh Arabic" w:cs="Noto Naskh Arabic" w:eastAsia="Noto Naskh Arabic"/>
          <w:b/>
          <w:i w:val="0"/>
          <w:color w:val="0C3B30"/>
          <w:sz w:val="18"/>
          <w:rtl w:val="1"/>
        </w:rPr>
        <w:t xml:space="preserve">[R04] جمعية بناء: الدراسات والبحوث  </w:t>
      </w:r>
      <w:hyperlink r:id="rId15">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https://benaa.org.sa/ar/media/studies/</w:t>
      </w:r>
    </w:p>
    <w:p>
      <w:pPr>
        <w:spacing w:after="160"/>
        <w:jc w:val="right"/>
        <w:bidi w:val="1"/>
      </w:pPr>
      <w:r>
        <w:rPr>
          <w:rFonts w:ascii="Noto Naskh Arabic" w:hAnsi="Noto Naskh Arabic" w:cs="Noto Naskh Arabic" w:eastAsia="Noto Naskh Arabic"/>
          <w:b/>
          <w:i w:val="0"/>
          <w:color w:val="0C3B30"/>
          <w:sz w:val="18"/>
          <w:rtl w:val="1"/>
        </w:rPr>
        <w:t xml:space="preserve">[R05] اتحاد رعاية الأيتام: التقرير السنوي 2023 وويكي يتيم  </w:t>
      </w:r>
      <w:hyperlink r:id="rId16">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https://www.orphans.care/dosya/OCF-2023-Annual-Report-Arabic.pdf</w:t>
      </w:r>
    </w:p>
    <w:p>
      <w:pPr>
        <w:spacing w:after="160"/>
        <w:jc w:val="right"/>
        <w:bidi w:val="1"/>
      </w:pPr>
      <w:r>
        <w:rPr>
          <w:rFonts w:ascii="Noto Naskh Arabic" w:hAnsi="Noto Naskh Arabic" w:cs="Noto Naskh Arabic" w:eastAsia="Noto Naskh Arabic"/>
          <w:b/>
          <w:i w:val="0"/>
          <w:color w:val="0C3B30"/>
          <w:sz w:val="18"/>
          <w:rtl w:val="1"/>
        </w:rPr>
        <w:t xml:space="preserve">[R06] مؤسسة اليتيم التركية: ندوة اليتم الاجتماعي 2025  </w:t>
      </w:r>
      <w:hyperlink r:id="rId17">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https://yetimvakfi.org.tr/en/publish/detail/sosyal-yetimlik-sempozyumu</w:t>
      </w:r>
    </w:p>
    <w:p>
      <w:pPr>
        <w:spacing w:after="160"/>
        <w:jc w:val="right"/>
        <w:bidi w:val="1"/>
      </w:pPr>
      <w:r>
        <w:rPr>
          <w:rFonts w:ascii="Noto Naskh Arabic" w:hAnsi="Noto Naskh Arabic" w:cs="Noto Naskh Arabic" w:eastAsia="Noto Naskh Arabic"/>
          <w:b/>
          <w:i w:val="0"/>
          <w:color w:val="0C3B30"/>
          <w:sz w:val="18"/>
          <w:rtl w:val="1"/>
        </w:rPr>
        <w:t xml:space="preserve">[R07] مركز دريمة: الموقع الرسمي واستراتيجية البحث  </w:t>
      </w:r>
      <w:hyperlink r:id="rId18">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https://www.dreama.org.qa/</w:t>
      </w:r>
    </w:p>
    <w:p>
      <w:pPr>
        <w:spacing w:after="160"/>
        <w:jc w:val="right"/>
        <w:bidi w:val="1"/>
      </w:pPr>
      <w:r>
        <w:rPr>
          <w:rFonts w:ascii="Noto Naskh Arabic" w:hAnsi="Noto Naskh Arabic" w:cs="Noto Naskh Arabic" w:eastAsia="Noto Naskh Arabic"/>
          <w:b/>
          <w:i w:val="0"/>
          <w:color w:val="0C3B30"/>
          <w:sz w:val="18"/>
          <w:rtl w:val="1"/>
        </w:rPr>
        <w:t xml:space="preserve">[R08] جمعية سند: التعريف والحوكمة والخدمات  </w:t>
      </w:r>
      <w:hyperlink r:id="rId19">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https://sanadorphans.org/en/pages/who-we-are</w:t>
      </w:r>
    </w:p>
    <w:p>
      <w:pPr>
        <w:spacing w:after="160"/>
        <w:jc w:val="right"/>
        <w:bidi w:val="1"/>
      </w:pPr>
      <w:r>
        <w:rPr>
          <w:rFonts w:ascii="Noto Naskh Arabic" w:hAnsi="Noto Naskh Arabic" w:cs="Noto Naskh Arabic" w:eastAsia="Noto Naskh Arabic"/>
          <w:b/>
          <w:i w:val="0"/>
          <w:color w:val="0C3B30"/>
          <w:sz w:val="18"/>
          <w:rtl w:val="1"/>
        </w:rPr>
        <w:t xml:space="preserve">[R09] جمعية سند: معايير جودة الرعاية  </w:t>
      </w:r>
      <w:hyperlink r:id="rId20">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https://sanadorphans.org/en/pages/articles/3</w:t>
      </w:r>
    </w:p>
    <w:p>
      <w:pPr>
        <w:spacing w:after="160"/>
        <w:jc w:val="right"/>
        <w:bidi w:val="1"/>
      </w:pPr>
      <w:r>
        <w:rPr>
          <w:rFonts w:ascii="Noto Naskh Arabic" w:hAnsi="Noto Naskh Arabic" w:cs="Noto Naskh Arabic" w:eastAsia="Noto Naskh Arabic"/>
          <w:b/>
          <w:i w:val="0"/>
          <w:color w:val="0C3B30"/>
          <w:sz w:val="18"/>
          <w:rtl w:val="1"/>
        </w:rPr>
        <w:t xml:space="preserve">[R10] صندوق الأمان لمستقبل الأيتام: الموقع الرسمي  </w:t>
      </w:r>
      <w:hyperlink r:id="rId21">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https://alamanfund.jo/</w:t>
      </w:r>
    </w:p>
    <w:p>
      <w:pPr>
        <w:spacing w:after="160"/>
        <w:jc w:val="right"/>
        <w:bidi w:val="1"/>
      </w:pPr>
      <w:r>
        <w:rPr>
          <w:rFonts w:ascii="Noto Naskh Arabic" w:hAnsi="Noto Naskh Arabic" w:cs="Noto Naskh Arabic" w:eastAsia="Noto Naskh Arabic"/>
          <w:b/>
          <w:i w:val="0"/>
          <w:color w:val="0C3B30"/>
          <w:sz w:val="18"/>
          <w:rtl w:val="1"/>
        </w:rPr>
        <w:t xml:space="preserve">[R11] الإغاثة الإسلامية: دراسة الأثر العالمية للكفالة  </w:t>
      </w:r>
      <w:hyperlink r:id="rId22">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https://islamic-relief.org/publications/global-orphans-impact-study/</w:t>
      </w:r>
    </w:p>
    <w:p>
      <w:pPr>
        <w:spacing w:after="160"/>
        <w:jc w:val="right"/>
        <w:bidi w:val="1"/>
      </w:pPr>
      <w:r>
        <w:rPr>
          <w:rFonts w:ascii="Noto Naskh Arabic" w:hAnsi="Noto Naskh Arabic" w:cs="Noto Naskh Arabic" w:eastAsia="Noto Naskh Arabic"/>
          <w:b/>
          <w:i w:val="0"/>
          <w:color w:val="0C3B30"/>
          <w:sz w:val="18"/>
          <w:rtl w:val="1"/>
        </w:rPr>
        <w:t xml:space="preserve">[R12] CAFO: مركز البحوث التطبيقية  </w:t>
      </w:r>
      <w:hyperlink r:id="rId23">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https://cafo.org/research-center/</w:t>
      </w:r>
    </w:p>
    <w:p>
      <w:pPr>
        <w:spacing w:after="160"/>
        <w:jc w:val="right"/>
        <w:bidi w:val="1"/>
      </w:pPr>
      <w:r>
        <w:rPr>
          <w:rFonts w:ascii="Noto Naskh Arabic" w:hAnsi="Noto Naskh Arabic" w:cs="Noto Naskh Arabic" w:eastAsia="Noto Naskh Arabic"/>
          <w:b/>
          <w:i w:val="0"/>
          <w:color w:val="0C3B30"/>
          <w:sz w:val="18"/>
          <w:rtl w:val="1"/>
        </w:rPr>
        <w:t xml:space="preserve">[R13] CAFO: نبذة المركز ومؤشرات نشاطه المعلنة  </w:t>
      </w:r>
      <w:hyperlink r:id="rId24">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https://cafo.org/research-center/about/</w:t>
      </w:r>
    </w:p>
    <w:p>
      <w:pPr>
        <w:spacing w:after="160"/>
        <w:jc w:val="right"/>
        <w:bidi w:val="1"/>
      </w:pPr>
      <w:r>
        <w:rPr>
          <w:rFonts w:ascii="Noto Naskh Arabic" w:hAnsi="Noto Naskh Arabic" w:cs="Noto Naskh Arabic" w:eastAsia="Noto Naskh Arabic"/>
          <w:b/>
          <w:i w:val="0"/>
          <w:color w:val="0C3B30"/>
          <w:sz w:val="18"/>
          <w:rtl w:val="1"/>
        </w:rPr>
        <w:t xml:space="preserve">[R14] CAFO: آلية التحسين Core Elements  </w:t>
      </w:r>
      <w:hyperlink r:id="rId25">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https://cafo.org/research-center/improving-care/improving-care-think-global-podcast/</w:t>
      </w:r>
    </w:p>
    <w:p>
      <w:pPr>
        <w:spacing w:after="160"/>
        <w:jc w:val="right"/>
        <w:bidi w:val="1"/>
      </w:pPr>
      <w:r>
        <w:rPr>
          <w:rFonts w:ascii="Noto Naskh Arabic" w:hAnsi="Noto Naskh Arabic" w:cs="Noto Naskh Arabic" w:eastAsia="Noto Naskh Arabic"/>
          <w:b/>
          <w:i w:val="0"/>
          <w:color w:val="0C3B30"/>
          <w:sz w:val="18"/>
          <w:rtl w:val="1"/>
        </w:rPr>
        <w:t xml:space="preserve">[R15] D³: بيانات وكرامة واتجاه - التعريف  </w:t>
      </w:r>
      <w:hyperlink r:id="rId26">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https://orphans-cwpc.org/</w:t>
      </w:r>
    </w:p>
    <w:p>
      <w:pPr>
        <w:spacing w:after="160"/>
        <w:jc w:val="right"/>
        <w:bidi w:val="1"/>
      </w:pPr>
      <w:r>
        <w:rPr>
          <w:rFonts w:ascii="Noto Naskh Arabic" w:hAnsi="Noto Naskh Arabic" w:cs="Noto Naskh Arabic" w:eastAsia="Noto Naskh Arabic"/>
          <w:b/>
          <w:i w:val="0"/>
          <w:color w:val="0C3B30"/>
          <w:sz w:val="18"/>
          <w:rtl w:val="1"/>
        </w:rPr>
        <w:t xml:space="preserve">[R16] D³: النطاق والمنهج والفترة الزمنية  </w:t>
      </w:r>
      <w:hyperlink r:id="rId27">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https://orphans-cwpc.org/about</w:t>
      </w:r>
    </w:p>
    <w:p>
      <w:pPr>
        <w:spacing w:after="160"/>
        <w:jc w:val="right"/>
        <w:bidi w:val="1"/>
      </w:pPr>
      <w:r>
        <w:rPr>
          <w:rFonts w:ascii="Noto Naskh Arabic" w:hAnsi="Noto Naskh Arabic" w:cs="Noto Naskh Arabic" w:eastAsia="Noto Naskh Arabic"/>
          <w:b/>
          <w:i w:val="0"/>
          <w:color w:val="0C3B30"/>
          <w:sz w:val="18"/>
          <w:rtl w:val="1"/>
        </w:rPr>
        <w:t xml:space="preserve">[R17] UNICEF Innocenti: مبادرة بحث الرعاية الأسرية 2025  </w:t>
      </w:r>
      <w:hyperlink r:id="rId28">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https://www.unicef.org/innocenti/stories/putting-children-heart-care</w:t>
      </w:r>
    </w:p>
    <w:p>
      <w:pPr>
        <w:spacing w:after="160"/>
        <w:jc w:val="right"/>
        <w:bidi w:val="1"/>
      </w:pPr>
      <w:r>
        <w:rPr>
          <w:rFonts w:ascii="Noto Naskh Arabic" w:hAnsi="Noto Naskh Arabic" w:cs="Noto Naskh Arabic" w:eastAsia="Noto Naskh Arabic"/>
          <w:b/>
          <w:i w:val="0"/>
          <w:color w:val="0C3B30"/>
          <w:sz w:val="18"/>
          <w:rtl w:val="1"/>
        </w:rPr>
        <w:t xml:space="preserve">[R18] جامعة أكسفورد: مجالات بحوث Rees Centre  </w:t>
      </w:r>
      <w:hyperlink r:id="rId29">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https://www.education.ox.ac.uk/rees-centre/our-research/</w:t>
      </w:r>
    </w:p>
    <w:p>
      <w:pPr>
        <w:spacing w:after="160"/>
        <w:jc w:val="right"/>
        <w:bidi w:val="1"/>
      </w:pPr>
      <w:r>
        <w:rPr>
          <w:rFonts w:ascii="Noto Naskh Arabic" w:hAnsi="Noto Naskh Arabic" w:cs="Noto Naskh Arabic" w:eastAsia="Noto Naskh Arabic"/>
          <w:b/>
          <w:i w:val="0"/>
          <w:color w:val="0C3B30"/>
          <w:sz w:val="18"/>
          <w:rtl w:val="1"/>
        </w:rPr>
        <w:t xml:space="preserve">[R19] Chapin Hall: بحوث حماية الطفل والرعاية البديلة  </w:t>
      </w:r>
      <w:hyperlink r:id="rId30">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https://www.chapinhall.org/impact_area/child-welfare/</w:t>
      </w:r>
    </w:p>
    <w:p>
      <w:pPr>
        <w:spacing w:after="160"/>
        <w:jc w:val="right"/>
        <w:bidi w:val="1"/>
      </w:pPr>
      <w:r>
        <w:rPr>
          <w:rFonts w:ascii="Noto Naskh Arabic" w:hAnsi="Noto Naskh Arabic" w:cs="Noto Naskh Arabic" w:eastAsia="Noto Naskh Arabic"/>
          <w:b/>
          <w:i w:val="0"/>
          <w:color w:val="0C3B30"/>
          <w:sz w:val="18"/>
          <w:rtl w:val="1"/>
        </w:rPr>
        <w:t xml:space="preserve">[R20] CoramBAAF: مجلة Adoption &amp; Fostering  </w:t>
      </w:r>
      <w:hyperlink r:id="rId31">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https://www.corambaaf.org.uk/resources/adoption-fostering-journal</w:t>
      </w:r>
    </w:p>
    <w:p>
      <w:pPr>
        <w:spacing w:after="160"/>
        <w:jc w:val="right"/>
        <w:bidi w:val="1"/>
      </w:pPr>
      <w:r>
        <w:rPr>
          <w:rFonts w:ascii="Noto Naskh Arabic" w:hAnsi="Noto Naskh Arabic" w:cs="Noto Naskh Arabic" w:eastAsia="Noto Naskh Arabic"/>
          <w:b/>
          <w:i w:val="0"/>
          <w:color w:val="0C3B30"/>
          <w:sz w:val="18"/>
          <w:rtl w:val="1"/>
        </w:rPr>
        <w:t xml:space="preserve">[R21] المركز البلغاري Know-how Centre للرعاية البديلة  </w:t>
      </w:r>
      <w:hyperlink r:id="rId32">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https://crean-network.org/membership/members/know-how-centre-alternative-care-children-khc-bulgaria</w:t>
      </w:r>
    </w:p>
    <w:p>
      <w:pPr>
        <w:spacing w:after="160"/>
        <w:jc w:val="right"/>
        <w:bidi w:val="1"/>
      </w:pPr>
      <w:r>
        <w:rPr>
          <w:rFonts w:ascii="Noto Naskh Arabic" w:hAnsi="Noto Naskh Arabic" w:cs="Noto Naskh Arabic" w:eastAsia="Noto Naskh Arabic"/>
          <w:b/>
          <w:i w:val="0"/>
          <w:color w:val="0C3B30"/>
          <w:sz w:val="18"/>
          <w:rtl w:val="1"/>
        </w:rPr>
        <w:t xml:space="preserve">[R22] مشروع Bucharest Early Intervention: مراجعة محكّمة  </w:t>
      </w:r>
      <w:hyperlink r:id="rId33">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https://pmc.ncbi.nlm.nih.gov/articles/PMC10751847/</w:t>
      </w:r>
    </w:p>
    <w:p>
      <w:pPr>
        <w:spacing w:after="160"/>
        <w:jc w:val="right"/>
        <w:bidi w:val="1"/>
      </w:pPr>
      <w:r>
        <w:rPr>
          <w:rFonts w:ascii="Noto Naskh Arabic" w:hAnsi="Noto Naskh Arabic" w:cs="Noto Naskh Arabic" w:eastAsia="Noto Naskh Arabic"/>
          <w:b/>
          <w:i w:val="0"/>
          <w:color w:val="0C3B30"/>
          <w:sz w:val="18"/>
          <w:rtl w:val="1"/>
        </w:rPr>
        <w:t xml:space="preserve">[R23] Better Care Network: تعريف المكتبة وفئات الرعاية البديلة  </w:t>
      </w:r>
      <w:hyperlink r:id="rId34">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https://bettercarenetwork.org/about-bcn/faqs</w:t>
      </w:r>
    </w:p>
    <w:p>
      <w:pPr>
        <w:spacing w:after="160"/>
        <w:jc w:val="right"/>
        <w:bidi w:val="1"/>
      </w:pPr>
      <w:r>
        <w:rPr>
          <w:rFonts w:ascii="Noto Naskh Arabic" w:hAnsi="Noto Naskh Arabic" w:cs="Noto Naskh Arabic" w:eastAsia="Noto Naskh Arabic"/>
          <w:b/>
          <w:i w:val="0"/>
          <w:color w:val="0C3B30"/>
          <w:sz w:val="18"/>
          <w:rtl w:val="1"/>
        </w:rPr>
        <w:t xml:space="preserve">[R24] SOS: التقرير العالمي عن خطر فقد الرعاية 2024  </w:t>
      </w:r>
      <w:hyperlink r:id="rId35">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https://www.sos-childrensvillages.org/news/global-report-on-children-at-risk-of-losing-care</w:t>
      </w:r>
    </w:p>
    <w:p>
      <w:pPr>
        <w:spacing w:after="160"/>
        <w:jc w:val="right"/>
        <w:bidi w:val="1"/>
      </w:pPr>
      <w:r>
        <w:rPr>
          <w:rFonts w:ascii="Noto Naskh Arabic" w:hAnsi="Noto Naskh Arabic" w:cs="Noto Naskh Arabic" w:eastAsia="Noto Naskh Arabic"/>
          <w:b/>
          <w:i w:val="0"/>
          <w:color w:val="0C3B30"/>
          <w:sz w:val="18"/>
          <w:rtl w:val="1"/>
        </w:rPr>
        <w:t xml:space="preserve">[R25] Lumos: مكتبة الموارد والسياسات  </w:t>
      </w:r>
      <w:hyperlink r:id="rId36">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https://www.wearelumos.org/impact/resources/</w:t>
      </w:r>
    </w:p>
    <w:p>
      <w:pPr>
        <w:spacing w:after="160"/>
        <w:jc w:val="right"/>
        <w:bidi w:val="1"/>
      </w:pPr>
      <w:r>
        <w:rPr>
          <w:rFonts w:ascii="Noto Naskh Arabic" w:hAnsi="Noto Naskh Arabic" w:cs="Noto Naskh Arabic" w:eastAsia="Noto Naskh Arabic"/>
          <w:b/>
          <w:i w:val="0"/>
          <w:color w:val="0C3B30"/>
          <w:sz w:val="18"/>
          <w:rtl w:val="1"/>
        </w:rPr>
        <w:t xml:space="preserve">[R26] Hope and Homes: مكتبة منشورات إصلاح الرعاية  </w:t>
      </w:r>
      <w:hyperlink r:id="rId37">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https://www.hopeandhomes.org/publications/</w:t>
      </w:r>
    </w:p>
    <w:p>
      <w:pPr>
        <w:spacing w:after="160"/>
        <w:jc w:val="right"/>
        <w:bidi w:val="1"/>
      </w:pPr>
      <w:r>
        <w:rPr>
          <w:rFonts w:ascii="Noto Naskh Arabic" w:hAnsi="Noto Naskh Arabic" w:cs="Noto Naskh Arabic" w:eastAsia="Noto Naskh Arabic"/>
          <w:b/>
          <w:i w:val="0"/>
          <w:color w:val="0C3B30"/>
          <w:sz w:val="18"/>
          <w:rtl w:val="1"/>
        </w:rPr>
        <w:t xml:space="preserve">[R27] Family for Every Child: المكتبة وتحالف الأعضاء  </w:t>
      </w:r>
      <w:hyperlink r:id="rId38">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https://familyforeverychild.org/resources/</w:t>
      </w:r>
    </w:p>
    <w:p>
      <w:pPr>
        <w:spacing w:after="160"/>
        <w:jc w:val="right"/>
        <w:bidi w:val="1"/>
      </w:pPr>
      <w:r>
        <w:rPr>
          <w:rFonts w:ascii="Noto Naskh Arabic" w:hAnsi="Noto Naskh Arabic" w:cs="Noto Naskh Arabic" w:eastAsia="Noto Naskh Arabic"/>
          <w:b/>
          <w:i w:val="0"/>
          <w:color w:val="0C3B30"/>
          <w:sz w:val="18"/>
          <w:rtl w:val="1"/>
        </w:rPr>
        <w:t xml:space="preserve">[R28] Udayan Care: البحث والمناصرة والتدريب  </w:t>
      </w:r>
      <w:hyperlink r:id="rId39">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https://udayancare.org/advocacy-research-and-training/</w:t>
      </w:r>
    </w:p>
    <w:p>
      <w:pPr>
        <w:spacing w:after="160"/>
        <w:jc w:val="right"/>
        <w:bidi w:val="1"/>
      </w:pPr>
      <w:r>
        <w:rPr>
          <w:rFonts w:ascii="Noto Naskh Arabic" w:hAnsi="Noto Naskh Arabic" w:cs="Noto Naskh Arabic" w:eastAsia="Noto Naskh Arabic"/>
          <w:b/>
          <w:i w:val="0"/>
          <w:color w:val="0C3B30"/>
          <w:sz w:val="18"/>
          <w:rtl w:val="1"/>
        </w:rPr>
        <w:t xml:space="preserve">[R29] Udayan Care: مكتبة الدراسات والمطبوعات  </w:t>
      </w:r>
      <w:hyperlink r:id="rId40">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https://udayancare.org/resources/</w:t>
      </w:r>
    </w:p>
    <w:p>
      <w:pPr>
        <w:spacing w:after="160"/>
        <w:jc w:val="right"/>
        <w:bidi w:val="1"/>
      </w:pPr>
      <w:r>
        <w:rPr>
          <w:rFonts w:ascii="Noto Naskh Arabic" w:hAnsi="Noto Naskh Arabic" w:cs="Noto Naskh Arabic" w:eastAsia="Noto Naskh Arabic"/>
          <w:b/>
          <w:i w:val="0"/>
          <w:color w:val="0C3B30"/>
          <w:sz w:val="18"/>
          <w:rtl w:val="1"/>
        </w:rPr>
        <w:t xml:space="preserve">[R30] SAGE: مجلة Institutionalised Children: Explorations and Beyond  </w:t>
      </w:r>
      <w:hyperlink r:id="rId41">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https://journals.sagepub.com/home/icb</w:t>
      </w:r>
    </w:p>
    <w:p>
      <w:pPr>
        <w:spacing w:after="160"/>
        <w:jc w:val="right"/>
        <w:bidi w:val="1"/>
      </w:pPr>
      <w:r>
        <w:rPr>
          <w:rFonts w:ascii="Noto Naskh Arabic" w:hAnsi="Noto Naskh Arabic" w:cs="Noto Naskh Arabic" w:eastAsia="Noto Naskh Arabic"/>
          <w:b/>
          <w:i w:val="0"/>
          <w:color w:val="0C3B30"/>
          <w:sz w:val="18"/>
          <w:rtl w:val="1"/>
        </w:rPr>
        <w:t xml:space="preserve">[R31] Africa Network of Care-Leaving Researchers: الببليوغرافيا  </w:t>
      </w:r>
      <w:hyperlink r:id="rId42">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https://careleaving.com/</w:t>
      </w:r>
    </w:p>
    <w:p>
      <w:pPr>
        <w:spacing w:after="160"/>
        <w:jc w:val="right"/>
        <w:bidi w:val="1"/>
      </w:pPr>
      <w:r>
        <w:rPr>
          <w:rFonts w:ascii="Noto Naskh Arabic" w:hAnsi="Noto Naskh Arabic" w:cs="Noto Naskh Arabic" w:eastAsia="Noto Naskh Arabic"/>
          <w:b/>
          <w:i w:val="0"/>
          <w:color w:val="0C3B30"/>
          <w:sz w:val="18"/>
          <w:rtl w:val="1"/>
        </w:rPr>
        <w:t xml:space="preserve">[R32] Association for Care Leavers Networks in Africa: التعريف والبحث  </w:t>
      </w:r>
      <w:hyperlink r:id="rId43">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https://careleavers.africa/</w:t>
      </w:r>
    </w:p>
    <w:p>
      <w:pPr>
        <w:spacing w:after="160"/>
        <w:jc w:val="right"/>
        <w:bidi w:val="1"/>
      </w:pPr>
      <w:r>
        <w:rPr>
          <w:rFonts w:ascii="Noto Naskh Arabic" w:hAnsi="Noto Naskh Arabic" w:cs="Noto Naskh Arabic" w:eastAsia="Noto Naskh Arabic"/>
          <w:b/>
          <w:i w:val="0"/>
          <w:color w:val="0C3B30"/>
          <w:sz w:val="18"/>
          <w:rtl w:val="1"/>
        </w:rPr>
        <w:t xml:space="preserve">[R33] African Child Policy Forum: قاعدة التشريعات  </w:t>
      </w:r>
      <w:hyperlink r:id="rId44">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https://clr.africanchildforum.org/index.html</w:t>
      </w:r>
    </w:p>
    <w:p>
      <w:pPr>
        <w:spacing w:after="160"/>
        <w:jc w:val="right"/>
        <w:bidi w:val="1"/>
      </w:pPr>
      <w:r>
        <w:rPr>
          <w:rFonts w:ascii="Noto Naskh Arabic" w:hAnsi="Noto Naskh Arabic" w:cs="Noto Naskh Arabic" w:eastAsia="Noto Naskh Arabic"/>
          <w:b/>
          <w:i w:val="0"/>
          <w:color w:val="0C3B30"/>
          <w:sz w:val="18"/>
          <w:rtl w:val="1"/>
        </w:rPr>
        <w:t xml:space="preserve">[R34] Children’s Institute - University of Cape Town: Child Gauge  </w:t>
      </w:r>
      <w:hyperlink r:id="rId45">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https://ci.uct.ac.za/child-gauge</w:t>
      </w:r>
    </w:p>
    <w:p>
      <w:pPr>
        <w:spacing w:after="160"/>
        <w:jc w:val="right"/>
        <w:bidi w:val="1"/>
      </w:pPr>
      <w:r>
        <w:rPr>
          <w:rFonts w:ascii="Noto Naskh Arabic" w:hAnsi="Noto Naskh Arabic" w:cs="Noto Naskh Arabic" w:eastAsia="Noto Naskh Arabic"/>
          <w:b/>
          <w:i w:val="0"/>
          <w:color w:val="0C3B30"/>
          <w:sz w:val="18"/>
          <w:rtl w:val="1"/>
        </w:rPr>
        <w:t xml:space="preserve">[R35] RELAF: شبكة أمريكا اللاتينية للرعاية الأسرية  </w:t>
      </w:r>
      <w:hyperlink r:id="rId46">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https://relaf.org/en/</w:t>
      </w:r>
    </w:p>
    <w:p>
      <w:pPr>
        <w:spacing w:after="160"/>
        <w:jc w:val="right"/>
        <w:bidi w:val="1"/>
      </w:pPr>
      <w:r>
        <w:rPr>
          <w:rFonts w:ascii="Noto Naskh Arabic" w:hAnsi="Noto Naskh Arabic" w:cs="Noto Naskh Arabic" w:eastAsia="Noto Naskh Arabic"/>
          <w:b/>
          <w:i w:val="0"/>
          <w:color w:val="0C3B30"/>
          <w:sz w:val="18"/>
          <w:rtl w:val="1"/>
        </w:rPr>
        <w:t xml:space="preserve">[R36] Consortium for Street Children: مكتبة البحوث  </w:t>
      </w:r>
      <w:hyperlink r:id="rId47">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https://www.streetchildren.org/resources/</w:t>
      </w:r>
    </w:p>
    <w:p>
      <w:pPr>
        <w:spacing w:after="160"/>
        <w:jc w:val="right"/>
        <w:bidi w:val="1"/>
      </w:pPr>
      <w:r>
        <w:rPr>
          <w:rFonts w:ascii="Noto Naskh Arabic" w:hAnsi="Noto Naskh Arabic" w:cs="Noto Naskh Arabic" w:eastAsia="Noto Naskh Arabic"/>
          <w:b/>
          <w:i w:val="0"/>
          <w:color w:val="0C3B30"/>
          <w:sz w:val="18"/>
          <w:rtl w:val="1"/>
        </w:rPr>
        <w:t xml:space="preserve">[R37] Australian Institute of Family Studies: بحوث الأطفال في الرعاية  </w:t>
      </w:r>
      <w:hyperlink r:id="rId48">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https://aifs.gov.au/research/children-care</w:t>
      </w:r>
    </w:p>
    <w:p>
      <w:pPr>
        <w:spacing w:after="160"/>
        <w:jc w:val="right"/>
        <w:bidi w:val="1"/>
      </w:pPr>
      <w:r>
        <w:rPr>
          <w:rFonts w:ascii="Noto Naskh Arabic" w:hAnsi="Noto Naskh Arabic" w:cs="Noto Naskh Arabic" w:eastAsia="Noto Naskh Arabic"/>
          <w:b/>
          <w:i w:val="0"/>
          <w:color w:val="0C3B30"/>
          <w:sz w:val="18"/>
          <w:rtl w:val="1"/>
        </w:rPr>
        <w:t xml:space="preserve">[R38] AIHW: بيانات حماية الأطفال بأستراليا 2024-25  </w:t>
      </w:r>
      <w:hyperlink r:id="rId49">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https://www.aihw.gov.au/reports/child-protection/child-protection-australia-2024-25/contents/insights/supporting-children</w:t>
      </w:r>
    </w:p>
    <w:p>
      <w:pPr>
        <w:spacing w:after="160"/>
        <w:jc w:val="right"/>
        <w:bidi w:val="1"/>
      </w:pPr>
      <w:r>
        <w:rPr>
          <w:rFonts w:ascii="Noto Naskh Arabic" w:hAnsi="Noto Naskh Arabic" w:cs="Noto Naskh Arabic" w:eastAsia="Noto Naskh Arabic"/>
          <w:b/>
          <w:i w:val="0"/>
          <w:color w:val="0C3B30"/>
          <w:sz w:val="18"/>
          <w:rtl w:val="1"/>
        </w:rPr>
        <w:t xml:space="preserve">[R39] CREATE Foundation: موقع المنظمة  </w:t>
      </w:r>
      <w:hyperlink r:id="rId50">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https://www.create.org.au/</w:t>
      </w:r>
    </w:p>
    <w:p>
      <w:pPr>
        <w:spacing w:after="160"/>
        <w:jc w:val="right"/>
        <w:bidi w:val="1"/>
      </w:pPr>
      <w:r>
        <w:rPr>
          <w:rFonts w:ascii="Noto Naskh Arabic" w:hAnsi="Noto Naskh Arabic" w:cs="Noto Naskh Arabic" w:eastAsia="Noto Naskh Arabic"/>
          <w:b/>
          <w:i w:val="0"/>
          <w:color w:val="0C3B30"/>
          <w:sz w:val="18"/>
          <w:rtl w:val="1"/>
        </w:rPr>
        <w:t xml:space="preserve">[R40] الأمم المتحدة: المبادئ التوجيهية للرعاية البديلة A/RES/64/142  </w:t>
      </w:r>
      <w:hyperlink r:id="rId51">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https://digitallibrary.un.org/record/673583</w:t>
      </w:r>
    </w:p>
    <w:p>
      <w:pPr>
        <w:spacing w:after="160"/>
        <w:jc w:val="right"/>
        <w:bidi w:val="1"/>
      </w:pPr>
      <w:r>
        <w:rPr>
          <w:rFonts w:ascii="Noto Naskh Arabic" w:hAnsi="Noto Naskh Arabic" w:cs="Noto Naskh Arabic" w:eastAsia="Noto Naskh Arabic"/>
          <w:b/>
          <w:i w:val="0"/>
          <w:color w:val="0C3B30"/>
          <w:sz w:val="18"/>
          <w:rtl w:val="1"/>
        </w:rPr>
        <w:t xml:space="preserve">[R41] منتدى الطفل الأفريقي: تعريف مؤسسة بحث السياسات  </w:t>
      </w:r>
      <w:hyperlink r:id="rId52">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https://clr.africanchildforum.org/About_ACPF.html</w:t>
      </w:r>
    </w:p>
    <w:p>
      <w:pPr>
        <w:spacing w:after="160"/>
        <w:jc w:val="right"/>
        <w:bidi w:val="1"/>
      </w:pPr>
      <w:r>
        <w:rPr>
          <w:rFonts w:ascii="Noto Naskh Arabic" w:hAnsi="Noto Naskh Arabic" w:cs="Noto Naskh Arabic" w:eastAsia="Noto Naskh Arabic"/>
          <w:b/>
          <w:i w:val="0"/>
          <w:color w:val="0C3B30"/>
          <w:sz w:val="18"/>
          <w:rtl w:val="1"/>
        </w:rPr>
        <w:t xml:space="preserve">[R42] RELAF: مكتبة الدراسات والأوراق الإقليمية  </w:t>
      </w:r>
      <w:hyperlink r:id="rId53">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https://www.relaf.org/en/biblioteca/historial/?recursos=3</w:t>
      </w:r>
    </w:p>
    <w:p>
      <w:pPr>
        <w:spacing w:after="160"/>
        <w:jc w:val="right"/>
        <w:bidi w:val="1"/>
      </w:pPr>
      <w:r>
        <w:rPr>
          <w:rFonts w:ascii="Noto Naskh Arabic" w:hAnsi="Noto Naskh Arabic" w:cs="Noto Naskh Arabic" w:eastAsia="Noto Naskh Arabic"/>
          <w:b/>
          <w:i w:val="0"/>
          <w:color w:val="0C3B30"/>
          <w:sz w:val="18"/>
          <w:rtl w:val="1"/>
        </w:rPr>
        <w:t xml:space="preserve">[R43] UNICEF Innocenti: التقرير السنوي لعام 2025  </w:t>
      </w:r>
      <w:hyperlink r:id="rId54">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https://www.unicef.org/innocenti/reports/annual-report-2025</w:t>
      </w:r>
    </w:p>
    <w:p>
      <w:pPr>
        <w:spacing w:after="160"/>
        <w:jc w:val="right"/>
        <w:bidi w:val="1"/>
      </w:pPr>
      <w:r>
        <w:rPr>
          <w:rFonts w:ascii="Noto Naskh Arabic" w:hAnsi="Noto Naskh Arabic" w:cs="Noto Naskh Arabic" w:eastAsia="Noto Naskh Arabic"/>
          <w:b/>
          <w:i w:val="0"/>
          <w:color w:val="0C3B30"/>
          <w:sz w:val="18"/>
          <w:rtl w:val="1"/>
        </w:rPr>
        <w:t xml:space="preserve">[R44] جامعة مونتريال: سجل مشروع Data, Dignity and Direction  </w:t>
      </w:r>
      <w:hyperlink r:id="rId55">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https://recherche.umontreal.ca/en/chercheur/is/in14377/</w:t>
      </w:r>
    </w:p>
    <w:p>
      <w:pPr>
        <w:spacing w:after="160"/>
        <w:jc w:val="right"/>
        <w:bidi w:val="1"/>
      </w:pPr>
      <w:r>
        <w:rPr>
          <w:rFonts w:ascii="Noto Naskh Arabic" w:hAnsi="Noto Naskh Arabic" w:cs="Noto Naskh Arabic" w:eastAsia="Noto Naskh Arabic"/>
          <w:b/>
          <w:i w:val="0"/>
          <w:color w:val="0C3B30"/>
          <w:sz w:val="18"/>
          <w:rtl w:val="1"/>
        </w:rPr>
        <w:t xml:space="preserve">[R45] Family for Every Child: أداة التقييم التشاركي  </w:t>
      </w:r>
      <w:hyperlink r:id="rId56">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https://familyforeverychild.org/resources/participatory-evaluation-toolkit/</w:t>
      </w:r>
    </w:p>
    <w:p>
      <w:pPr>
        <w:spacing w:after="160"/>
        <w:jc w:val="right"/>
        <w:bidi w:val="1"/>
      </w:pPr>
      <w:r>
        <w:rPr>
          <w:rFonts w:ascii="Noto Naskh Arabic" w:hAnsi="Noto Naskh Arabic" w:cs="Noto Naskh Arabic" w:eastAsia="Noto Naskh Arabic"/>
          <w:b/>
          <w:i w:val="0"/>
          <w:color w:val="0C3B30"/>
          <w:sz w:val="18"/>
          <w:rtl w:val="1"/>
        </w:rPr>
        <w:t xml:space="preserve">[R46] منصة أيتامنا: منصة المعرفة القطاعية (إحالة من المجلس التخصصي)  </w:t>
      </w:r>
      <w:hyperlink r:id="rId57">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https://aytamna.sa/</w:t>
      </w:r>
    </w:p>
    <w:p>
      <w:pPr>
        <w:spacing w:after="160"/>
        <w:jc w:val="right"/>
        <w:bidi w:val="1"/>
      </w:pPr>
      <w:r>
        <w:rPr>
          <w:rFonts w:ascii="Noto Naskh Arabic" w:hAnsi="Noto Naskh Arabic" w:cs="Noto Naskh Arabic" w:eastAsia="Noto Naskh Arabic"/>
          <w:b/>
          <w:i w:val="0"/>
          <w:color w:val="0C3B30"/>
          <w:sz w:val="18"/>
          <w:rtl w:val="1"/>
        </w:rPr>
        <w:t xml:space="preserve">[R47] CoramBAAF: الأبحاث ومصادر الأعضاء  </w:t>
      </w:r>
      <w:hyperlink r:id="rId58">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https://corambaaf.org.uk/resources</w:t>
      </w:r>
    </w:p>
    <w:p>
      <w:pPr>
        <w:spacing w:after="160"/>
        <w:jc w:val="right"/>
        <w:bidi w:val="1"/>
      </w:pPr>
      <w:r>
        <w:rPr>
          <w:rFonts w:ascii="Noto Naskh Arabic" w:hAnsi="Noto Naskh Arabic" w:cs="Noto Naskh Arabic" w:eastAsia="Noto Naskh Arabic"/>
          <w:b/>
          <w:i w:val="0"/>
          <w:color w:val="0C3B30"/>
          <w:sz w:val="18"/>
          <w:rtl w:val="1"/>
        </w:rPr>
        <w:t xml:space="preserve">[R48] دراسة مراجعة Bucharest Early Intervention - PubMed  </w:t>
      </w:r>
      <w:hyperlink r:id="rId59">
        <w:r>
          <w:rPr>
            <w:rFonts w:ascii="Noto Naskh Arabic" w:hAnsi="Noto Naskh Arabic" w:cs="Noto Naskh Arabic"/>
            <w:color w:val="0C3B30"/>
            <w:u w:val="single"/>
            <w:rtl w:val="1"/>
          </w:rPr>
          <w:t>فتح المصدر</w:t>
        </w:r>
      </w:hyperlink>
    </w:p>
    <w:p>
      <w:pPr>
        <w:spacing w:after="40"/>
        <w:jc w:val="right"/>
        <w:bidi w:val="1"/>
      </w:pPr>
      <w:r>
        <w:rPr>
          <w:rFonts w:ascii="DejaVu Sans" w:hAnsi="DejaVu Sans" w:cs="DejaVu Sans" w:eastAsia="DejaVu Sans"/>
          <w:b w:val="0"/>
          <w:i w:val="0"/>
          <w:color w:val="66766F"/>
          <w:sz w:val="14"/>
          <w:rtl w:val="1"/>
        </w:rPr>
        <w:t>https://pubmed.ncbi.nlm.nih.gov/37211832/</w:t>
      </w:r>
    </w:p>
    <w:p>
      <w:r>
        <w:br w:type="page"/>
      </w:r>
    </w:p>
    <w:p>
      <w:pPr>
        <w:pStyle w:val="Heading1"/>
        <w:spacing w:before="240" w:after="140"/>
        <w:jc w:val="right"/>
        <w:keepNext/>
        <w:bidi w:val="1"/>
      </w:pPr>
      <w:r>
        <w:rPr>
          <w:rFonts w:ascii="Noto Kufi Arabic" w:hAnsi="Noto Kufi Arabic" w:cs="Noto Kufi Arabic" w:eastAsia="Noto Kufi Arabic"/>
          <w:b/>
          <w:i w:val="0"/>
          <w:color w:val="0C3B30"/>
          <w:sz w:val="32"/>
          <w:rtl w:val="1"/>
        </w:rPr>
        <w:t>بيان ختامي عن الدراسة الأولى</w:t>
      </w:r>
    </w:p>
    <w:p>
      <w:pPr>
        <w:spacing w:after="100" w:line="324" w:lineRule="auto"/>
        <w:jc w:val="right"/>
        <w:bidi w:val="1"/>
      </w:pPr>
      <w:r>
        <w:rPr>
          <w:rFonts w:ascii="Noto Naskh Arabic" w:hAnsi="Noto Naskh Arabic" w:cs="Noto Naskh Arabic" w:eastAsia="Noto Naskh Arabic"/>
          <w:b w:val="0"/>
          <w:i w:val="0"/>
          <w:rtl w:val="1"/>
        </w:rPr>
        <w:t>تُقدَّم هذه الورقة بوصفها الإسهام المرجعي الأول المنشور باسم مشروع «مركز دراسات وأبحاث الأيتام»، وهي نقطة انطلاق لبرنامج بحثي تراكمي لا إعلانًا عن سبق عالمي أو اكتمال نظام مؤسسي. وأفضل أثر يُرجى منها هو فتح حوار علمي بين الجهات العربية والإسلامية والدولية، وتحويل الخبرة القائمة إلى أسئلة بحثية قابلة للإنجاز، وإلى مكتبة مرجعية تستمر عبر السنين.</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936"/>
      </w:tblGrid>
      <w:tr>
        <w:tc>
          <w:tcPr>
            <w:tcW w:type="dxa" w:w="9864"/>
            <w:shd w:fill="F5F0E5"/>
            <w:tcMar>
              <w:top w:w="150" w:type="dxa"/>
              <w:start w:w="210" w:type="dxa"/>
              <w:bottom w:w="150" w:type="dxa"/>
              <w:end w:w="210" w:type="dxa"/>
            </w:tcMar>
          </w:tcPr>
          <w:p>
            <w:pPr>
              <w:jc w:val="right"/>
              <w:bidi w:val="1"/>
            </w:pPr>
            <w:r>
              <w:rPr>
                <w:rFonts w:ascii="Noto Kufi Arabic" w:hAnsi="Noto Kufi Arabic" w:cs="Noto Kufi Arabic" w:eastAsia="Noto Kufi Arabic"/>
                <w:b/>
                <w:i w:val="0"/>
                <w:color w:val="0C3B30"/>
                <w:sz w:val="21"/>
                <w:rtl w:val="1"/>
              </w:rPr>
              <w:t>إطار الهوية العلمية</w:t>
            </w:r>
          </w:p>
          <w:p>
            <w:pPr>
              <w:jc w:val="right"/>
              <w:bidi w:val="1"/>
            </w:pPr>
            <w:r>
              <w:rPr>
                <w:rFonts w:ascii="Noto Naskh Arabic" w:hAnsi="Noto Naskh Arabic" w:cs="Noto Naskh Arabic" w:eastAsia="Noto Naskh Arabic"/>
                <w:b w:val="0"/>
                <w:i w:val="0"/>
                <w:color w:val="18352C"/>
                <w:sz w:val="20"/>
                <w:rtl w:val="1"/>
              </w:rPr>
              <w:t>العلم في خدمة الكرامة والتمكين والمستقبل  |  من الرعاية إلى المعرفة، ومن المعرفة إلى الأثر</w:t>
            </w:r>
          </w:p>
        </w:tc>
      </w:tr>
    </w:tbl>
    <w:p>
      <w:pPr>
        <w:spacing w:after="20"/>
      </w:pPr>
    </w:p>
    <w:p>
      <w:pPr>
        <w:spacing w:after="160" w:line="324" w:lineRule="auto"/>
        <w:jc w:val="right"/>
        <w:bidi w:val="1"/>
      </w:pPr>
      <w:r>
        <w:rPr>
          <w:rFonts w:ascii="Noto Naskh Arabic" w:hAnsi="Noto Naskh Arabic" w:cs="Noto Naskh Arabic" w:eastAsia="Noto Naskh Arabic"/>
          <w:b/>
          <w:i w:val="0"/>
          <w:color w:val="0C3B30"/>
          <w:sz w:val="22"/>
          <w:rtl w:val="1"/>
        </w:rPr>
        <w:t>مركز دراسات وأبحاث الأيتام  •  مكتبة محمد شندي الراوي  •  أكتوبر 2026</w:t>
      </w:r>
    </w:p>
    <w:p>
      <w:pPr>
        <w:spacing w:after="100" w:line="324" w:lineRule="auto"/>
        <w:jc w:val="right"/>
        <w:bidi w:val="1"/>
      </w:pPr>
      <w:r>
        <w:rPr>
          <w:rFonts w:ascii="Noto Naskh Arabic" w:hAnsi="Noto Naskh Arabic" w:cs="Noto Naskh Arabic" w:eastAsia="Noto Naskh Arabic"/>
          <w:b w:val="0"/>
          <w:i w:val="0"/>
          <w:color w:val="66766F"/>
          <w:sz w:val="18"/>
          <w:rtl w:val="1"/>
        </w:rPr>
        <w:t>نسخة مرجعية تأسيسية للتداول. جميع روابط المؤسسات للعلم والتوثيق، ولا تعني أي شراكة أو اعتماد أو دعم مؤسسي.</w:t>
      </w:r>
    </w:p>
    <w:sectPr w:rsidR="00FC693F" w:rsidRPr="0006063C" w:rsidSect="00034616">
      <w:headerReference w:type="default" r:id="rId9"/>
      <w:footerReference w:type="default" r:id="rId10"/>
      <w:pgSz w:w="12240" w:h="15840"/>
      <w:pgMar w:top="1224" w:right="1224" w:bottom="1109" w:left="1152"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Fonts w:ascii="Noto Naskh Arabic" w:hAnsi="Noto Naskh Arabic" w:cs="Noto Naskh Arabic" w:eastAsia="Noto Naskh Arabic"/>
        <w:b w:val="0"/>
        <w:i w:val="0"/>
        <w:color w:val="66766F"/>
        <w:sz w:val="16"/>
        <w:rtl w:val="1"/>
      </w:rPr>
      <w:t xml:space="preserve">بحث مرجعي تأسيسي • 19 أكتوبر 2026   |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bidi w:val="1"/>
    </w:pPr>
    <w:r>
      <w:rPr>
        <w:rFonts w:ascii="Noto Kufi Arabic" w:hAnsi="Noto Kufi Arabic" w:cs="Noto Kufi Arabic" w:eastAsia="Noto Kufi Arabic"/>
        <w:b/>
        <w:i w:val="0"/>
        <w:color w:val="0C3B30"/>
        <w:sz w:val="16"/>
        <w:rtl w:val="1"/>
      </w:rPr>
      <w:t>مركز دراسات وأبحاث الأيتام   |   سلسلة الدراسات والبحوث •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12" w:lineRule="auto"/>
      <w:bidi w:val="1"/>
    </w:pPr>
    <w:rPr>
      <w:rFonts w:ascii="Noto Naskh Arabic" w:hAnsi="Noto Naskh Arabic"/>
      <w:color w:val="1835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bidi w:val="1"/>
    </w:pPr>
    <w:rPr>
      <w:rFonts w:asciiTheme="majorHAnsi" w:eastAsiaTheme="majorEastAsia" w:hAnsiTheme="majorHAnsi" w:cstheme="majorBidi" w:ascii="Noto Kufi Arabic" w:hAnsi="Noto Kufi Arabic"/>
      <w:b/>
      <w:bCs/>
      <w:color w:val="0C3B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bidi w:val="1"/>
    </w:pPr>
    <w:rPr>
      <w:rFonts w:asciiTheme="majorHAnsi" w:eastAsiaTheme="majorEastAsia" w:hAnsiTheme="majorHAnsi" w:cstheme="majorBidi" w:ascii="Noto Kufi Arabic" w:hAnsi="Noto Kufi Arabic"/>
      <w:b/>
      <w:bCs/>
      <w:color w:val="0C3B3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bidi w:val="1"/>
    </w:pPr>
    <w:rPr>
      <w:rFonts w:asciiTheme="majorHAnsi" w:eastAsiaTheme="majorEastAsia" w:hAnsiTheme="majorHAnsi" w:cstheme="majorBidi" w:ascii="Noto Kufi Arabic" w:hAnsi="Noto Kufi Arabic"/>
      <w:b/>
      <w:bCs/>
      <w:color w:val="0C3B3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uqu.edu.sa/aefor/App/About" TargetMode="External"/><Relationship Id="rId13" Type="http://schemas.openxmlformats.org/officeDocument/2006/relationships/hyperlink" Target="https://uqu.edu.sa/aefor/153656" TargetMode="External"/><Relationship Id="rId14" Type="http://schemas.openxmlformats.org/officeDocument/2006/relationships/hyperlink" Target="https://scfoa.org.sa/" TargetMode="External"/><Relationship Id="rId15" Type="http://schemas.openxmlformats.org/officeDocument/2006/relationships/hyperlink" Target="https://benaa.org.sa/ar/media/studies/" TargetMode="External"/><Relationship Id="rId16" Type="http://schemas.openxmlformats.org/officeDocument/2006/relationships/hyperlink" Target="https://www.orphans.care/dosya/OCF-2023-Annual-Report-Arabic.pdf" TargetMode="External"/><Relationship Id="rId17" Type="http://schemas.openxmlformats.org/officeDocument/2006/relationships/hyperlink" Target="https://yetimvakfi.org.tr/en/publish/detail/sosyal-yetimlik-sempozyumu" TargetMode="External"/><Relationship Id="rId18" Type="http://schemas.openxmlformats.org/officeDocument/2006/relationships/hyperlink" Target="https://www.dreama.org.qa/" TargetMode="External"/><Relationship Id="rId19" Type="http://schemas.openxmlformats.org/officeDocument/2006/relationships/hyperlink" Target="https://sanadorphans.org/en/pages/who-we-are" TargetMode="External"/><Relationship Id="rId20" Type="http://schemas.openxmlformats.org/officeDocument/2006/relationships/hyperlink" Target="https://sanadorphans.org/en/pages/articles/3" TargetMode="External"/><Relationship Id="rId21" Type="http://schemas.openxmlformats.org/officeDocument/2006/relationships/hyperlink" Target="https://alamanfund.jo/" TargetMode="External"/><Relationship Id="rId22" Type="http://schemas.openxmlformats.org/officeDocument/2006/relationships/hyperlink" Target="https://islamic-relief.org/publications/global-orphans-impact-study/" TargetMode="External"/><Relationship Id="rId23" Type="http://schemas.openxmlformats.org/officeDocument/2006/relationships/hyperlink" Target="https://cafo.org/research-center/" TargetMode="External"/><Relationship Id="rId24" Type="http://schemas.openxmlformats.org/officeDocument/2006/relationships/hyperlink" Target="https://cafo.org/research-center/about/" TargetMode="External"/><Relationship Id="rId25" Type="http://schemas.openxmlformats.org/officeDocument/2006/relationships/hyperlink" Target="https://cafo.org/research-center/improving-care/improving-care-think-global-podcast/" TargetMode="External"/><Relationship Id="rId26" Type="http://schemas.openxmlformats.org/officeDocument/2006/relationships/hyperlink" Target="https://orphans-cwpc.org/" TargetMode="External"/><Relationship Id="rId27" Type="http://schemas.openxmlformats.org/officeDocument/2006/relationships/hyperlink" Target="https://orphans-cwpc.org/about" TargetMode="External"/><Relationship Id="rId28" Type="http://schemas.openxmlformats.org/officeDocument/2006/relationships/hyperlink" Target="https://www.unicef.org/innocenti/stories/putting-children-heart-care" TargetMode="External"/><Relationship Id="rId29" Type="http://schemas.openxmlformats.org/officeDocument/2006/relationships/hyperlink" Target="https://www.education.ox.ac.uk/rees-centre/our-research/" TargetMode="External"/><Relationship Id="rId30" Type="http://schemas.openxmlformats.org/officeDocument/2006/relationships/hyperlink" Target="https://www.chapinhall.org/impact_area/child-welfare/" TargetMode="External"/><Relationship Id="rId31" Type="http://schemas.openxmlformats.org/officeDocument/2006/relationships/hyperlink" Target="https://www.corambaaf.org.uk/resources/adoption-fostering-journal" TargetMode="External"/><Relationship Id="rId32" Type="http://schemas.openxmlformats.org/officeDocument/2006/relationships/hyperlink" Target="https://crean-network.org/membership/members/know-how-centre-alternative-care-children-khc-bulgaria" TargetMode="External"/><Relationship Id="rId33" Type="http://schemas.openxmlformats.org/officeDocument/2006/relationships/hyperlink" Target="https://pmc.ncbi.nlm.nih.gov/articles/PMC10751847/" TargetMode="External"/><Relationship Id="rId34" Type="http://schemas.openxmlformats.org/officeDocument/2006/relationships/hyperlink" Target="https://bettercarenetwork.org/about-bcn/faqs" TargetMode="External"/><Relationship Id="rId35" Type="http://schemas.openxmlformats.org/officeDocument/2006/relationships/hyperlink" Target="https://www.sos-childrensvillages.org/news/global-report-on-children-at-risk-of-losing-care" TargetMode="External"/><Relationship Id="rId36" Type="http://schemas.openxmlformats.org/officeDocument/2006/relationships/hyperlink" Target="https://www.wearelumos.org/impact/resources/" TargetMode="External"/><Relationship Id="rId37" Type="http://schemas.openxmlformats.org/officeDocument/2006/relationships/hyperlink" Target="https://www.hopeandhomes.org/publications/" TargetMode="External"/><Relationship Id="rId38" Type="http://schemas.openxmlformats.org/officeDocument/2006/relationships/hyperlink" Target="https://familyforeverychild.org/resources/" TargetMode="External"/><Relationship Id="rId39" Type="http://schemas.openxmlformats.org/officeDocument/2006/relationships/hyperlink" Target="https://udayancare.org/advocacy-research-and-training/" TargetMode="External"/><Relationship Id="rId40" Type="http://schemas.openxmlformats.org/officeDocument/2006/relationships/hyperlink" Target="https://udayancare.org/resources/" TargetMode="External"/><Relationship Id="rId41" Type="http://schemas.openxmlformats.org/officeDocument/2006/relationships/hyperlink" Target="https://journals.sagepub.com/home/icb" TargetMode="External"/><Relationship Id="rId42" Type="http://schemas.openxmlformats.org/officeDocument/2006/relationships/hyperlink" Target="https://careleaving.com/" TargetMode="External"/><Relationship Id="rId43" Type="http://schemas.openxmlformats.org/officeDocument/2006/relationships/hyperlink" Target="https://careleavers.africa/" TargetMode="External"/><Relationship Id="rId44" Type="http://schemas.openxmlformats.org/officeDocument/2006/relationships/hyperlink" Target="https://clr.africanchildforum.org/index.html" TargetMode="External"/><Relationship Id="rId45" Type="http://schemas.openxmlformats.org/officeDocument/2006/relationships/hyperlink" Target="https://ci.uct.ac.za/child-gauge" TargetMode="External"/><Relationship Id="rId46" Type="http://schemas.openxmlformats.org/officeDocument/2006/relationships/hyperlink" Target="https://relaf.org/en/" TargetMode="External"/><Relationship Id="rId47" Type="http://schemas.openxmlformats.org/officeDocument/2006/relationships/hyperlink" Target="https://www.streetchildren.org/resources/" TargetMode="External"/><Relationship Id="rId48" Type="http://schemas.openxmlformats.org/officeDocument/2006/relationships/hyperlink" Target="https://aifs.gov.au/research/children-care" TargetMode="External"/><Relationship Id="rId49" Type="http://schemas.openxmlformats.org/officeDocument/2006/relationships/hyperlink" Target="https://www.aihw.gov.au/reports/child-protection/child-protection-australia-2024-25/contents/insights/supporting-children" TargetMode="External"/><Relationship Id="rId50" Type="http://schemas.openxmlformats.org/officeDocument/2006/relationships/hyperlink" Target="https://www.create.org.au/" TargetMode="External"/><Relationship Id="rId51" Type="http://schemas.openxmlformats.org/officeDocument/2006/relationships/hyperlink" Target="https://digitallibrary.un.org/record/673583" TargetMode="External"/><Relationship Id="rId52" Type="http://schemas.openxmlformats.org/officeDocument/2006/relationships/hyperlink" Target="https://clr.africanchildforum.org/About_ACPF.html" TargetMode="External"/><Relationship Id="rId53" Type="http://schemas.openxmlformats.org/officeDocument/2006/relationships/hyperlink" Target="https://www.relaf.org/en/biblioteca/historial/?recursos=3" TargetMode="External"/><Relationship Id="rId54" Type="http://schemas.openxmlformats.org/officeDocument/2006/relationships/hyperlink" Target="https://www.unicef.org/innocenti/reports/annual-report-2025" TargetMode="External"/><Relationship Id="rId55" Type="http://schemas.openxmlformats.org/officeDocument/2006/relationships/hyperlink" Target="https://recherche.umontreal.ca/en/chercheur/is/in14377/" TargetMode="External"/><Relationship Id="rId56" Type="http://schemas.openxmlformats.org/officeDocument/2006/relationships/hyperlink" Target="https://familyforeverychild.org/resources/participatory-evaluation-toolkit/" TargetMode="External"/><Relationship Id="rId57" Type="http://schemas.openxmlformats.org/officeDocument/2006/relationships/hyperlink" Target="https://aytamna.sa/" TargetMode="External"/><Relationship Id="rId58" Type="http://schemas.openxmlformats.org/officeDocument/2006/relationships/hyperlink" Target="https://corambaaf.org.uk/resources" TargetMode="External"/><Relationship Id="rId59" Type="http://schemas.openxmlformats.org/officeDocument/2006/relationships/hyperlink" Target="https://pubmed.ncbi.nlm.nih.gov/372118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المؤسسات البحثية والمعرفية المتخصصة في شؤون الأيتام حول العالم</dc:title>
  <dc:subject>أول إصدار بحثي مرجعي لمشروع مركز دراسات وأبحاث الأيتام</dc:subject>
  <dc:creator>مركز دراسات وأبحاث الأيتام - مشروع قيد التأسيس</dc:creator>
  <cp:keywords>أيتام, orphan care, research landscape, alternative care, orphan studies</cp:keywords>
  <dc:description>generated by python-docx</dc:description>
  <cp:lastModifiedBy/>
  <cp:revision>1</cp:revision>
  <dcterms:created xsi:type="dcterms:W3CDTF">2013-12-23T23:15:00Z</dcterms:created>
  <dcterms:modified xsi:type="dcterms:W3CDTF">2013-12-23T23:15:00Z</dcterms:modified>
  <cp:category/>
</cp:coreProperties>
</file>