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 Learning Reference</w:t>
      </w:r>
    </w:p>
    <w:p>
      <w:pPr>
        <w:jc w:val="center"/>
      </w:pPr>
      <w:r>
        <w:rPr>
          <w:rFonts w:ascii="Aptos" w:hAnsi="Aptos"/>
          <w:b w:val="0"/>
          <w:color w:val="555555"/>
          <w:sz w:val="20"/>
        </w:rPr>
        <w:t>Demonstration reference</w:t>
      </w:r>
    </w:p>
    <w:p/>
    <w:p>
      <w:pPr>
        <w:ind w:firstLine="360"/>
      </w:pPr>
      <w:r>
        <w:t>A digital learning management system gives students one location for lecture notes, assignments, announcements, and feedback from instructors.</w:t>
      </w:r>
    </w:p>
    <w:p>
      <w:pPr>
        <w:ind w:firstLine="360"/>
      </w:pPr>
      <w:r>
        <w:t>When course resources are organized consistently, learners spend less time searching for materials and can focus more attention on academic tasks.</w:t>
      </w:r>
    </w:p>
    <w:p>
      <w:pPr>
        <w:ind w:firstLine="360"/>
      </w:pPr>
      <w:r>
        <w:t>Learning analytics can help teachers identify patterns of participation, but the data should support human judgement rather than replace it.</w:t>
      </w:r>
    </w:p>
    <w:p>
      <w:pPr>
        <w:ind w:firstLine="360"/>
      </w:pPr>
      <w:r>
        <w:t>Universities must protect student information by limiting access, recording consent, and retaining data only for a defined educational purpose.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Proofline Final Year Project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Learning Reference</dc:title>
  <dc:subject>Proofline reference corpus demonstration</dc:subject>
  <dc:creator>Final Year Project 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