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Computing Reference</w:t>
      </w:r>
    </w:p>
    <w:p>
      <w:pPr>
        <w:jc w:val="center"/>
      </w:pPr>
      <w:r>
        <w:rPr>
          <w:rFonts w:ascii="Aptos" w:hAnsi="Aptos"/>
          <w:b w:val="0"/>
          <w:color w:val="555555"/>
          <w:sz w:val="20"/>
        </w:rPr>
        <w:t>Demonstration reference</w:t>
      </w:r>
    </w:p>
    <w:p/>
    <w:p>
      <w:pPr>
        <w:ind w:firstLine="360"/>
      </w:pPr>
      <w:r>
        <w:t>Cloud computing allows an institution to obtain shared processing, storage, and software resources through a network when those resources are required.</w:t>
      </w:r>
    </w:p>
    <w:p>
      <w:pPr>
        <w:ind w:firstLine="360"/>
      </w:pPr>
      <w:r>
        <w:t>Elastic infrastructure can increase or decrease computing capacity in response to demand without requiring the institution to purchase every physical server in advance.</w:t>
      </w:r>
    </w:p>
    <w:p>
      <w:pPr>
        <w:ind w:firstLine="360"/>
      </w:pPr>
      <w:r>
        <w:t>Moving data to a cloud platform does not remove institutional responsibility for access control, backup planning, privacy, and regulatory compliance.</w:t>
      </w:r>
    </w:p>
    <w:p>
      <w:pPr>
        <w:ind w:firstLine="360"/>
      </w:pPr>
      <w:r>
        <w:t>A service level agreement should state the expected availability, support arrangements, data responsibilities, and recovery commitments of the provider.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Proofline Final Year Project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 Reference</dc:title>
  <dc:subject>Proofline reference corpus demonstration</dc:subject>
  <dc:creator>Final Year Project 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