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1D6B5C"/>
        </w:rPr>
        <w:t>FINAL YEAR COMPUTER SCIENCE PROJECT</w:t>
      </w:r>
    </w:p>
    <w:p>
      <w:pPr>
        <w:pStyle w:val="Title"/>
      </w:pPr>
      <w:r>
        <w:t>Proofline Explainable Hybrid Plagiarism Detector</w:t>
      </w:r>
    </w:p>
    <w:p>
      <w:pPr>
        <w:pStyle w:val="Subtitle"/>
      </w:pPr>
      <w:r>
        <w:t>Technical implementation evaluation and release readiness report</w:t>
      </w:r>
    </w:p>
    <w:p>
      <w:r>
        <w:t>Version 0.12.0 release candidate</w:t>
      </w:r>
    </w:p>
    <w:p>
      <w:r>
        <w:t>20 September 2026</w:t>
      </w:r>
    </w:p>
    <w:p/>
    <w:p>
      <w:r>
        <w:rPr>
          <w:b/>
        </w:rPr>
        <w:t xml:space="preserve">Project outcome. </w:t>
      </w:r>
      <w:r>
        <w:t>Proofline is a working local web application that compares English academic documents with an authorised reference corpus and presents traceable passage-level similarity evidence. The preprocessing, lexical, semantic, hybrid, reporting, history, privacy, calibration, and pilot-evaluation components are implemented and tested. Final claims about real-world effectiveness remain dependent on the planned expanded PAN-PC-11 study.</w:t>
      </w:r>
    </w:p>
    <w:p>
      <w:r>
        <w:br w:type="page"/>
      </w:r>
    </w:p>
    <w:p>
      <w:pPr>
        <w:pStyle w:val="Heading1"/>
      </w:pPr>
      <w:r>
        <w:t>Executive Summary</w:t>
      </w:r>
    </w:p>
    <w:p>
      <w:r>
        <w:t>The project addresses a practical limitation of simple plagiarism detectors: a single percentage does not explain why text was flagged. Proofline combines transparent lexical signals with an optional MiniLM semantic model, identifies the matching source document, and shows submitted and source passages side by side. Correctly cited quotations are reported for transparency but excluded from the overall score.</w:t>
      </w:r>
    </w:p>
    <w:p>
      <w:r>
        <w:t>The application runs as one Python process with FastAPI, SQLite, and a browser interface. It avoids Docker, a separate database server, and a frontend build process, making it suitable for the available HP laptop with 4 GB RAM when other heavy applications are closed. A cached semantic model uses approximately 87 MB, while the complete optional semantic environment is approximately 1.02 GB.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trPr>
        <w:tc>
          <w:tcPr>
            <w:tcW w:type="dxa" w:w="2880"/>
            <w:shd w:fill="173B57"/>
            <w:tcMar>
              <w:top w:w="110" w:type="dxa"/>
              <w:left w:w="110" w:type="dxa"/>
              <w:bottom w:w="110" w:type="dxa"/>
              <w:right w:w="110" w:type="dxa"/>
            </w:tcMar>
            <w:vAlign w:val="center"/>
          </w:tcPr>
          <w:p>
            <w:r>
              <w:rPr>
                <w:b/>
                <w:color w:val="FFFFFF"/>
                <w:sz w:val="18"/>
              </w:rPr>
              <w:t>Area</w:t>
            </w:r>
          </w:p>
        </w:tc>
        <w:tc>
          <w:tcPr>
            <w:tcW w:type="dxa" w:w="6768"/>
            <w:shd w:fill="173B57"/>
            <w:tcMar>
              <w:top w:w="110" w:type="dxa"/>
              <w:left w:w="110" w:type="dxa"/>
              <w:bottom w:w="110" w:type="dxa"/>
              <w:right w:w="110" w:type="dxa"/>
            </w:tcMar>
            <w:vAlign w:val="center"/>
          </w:tcPr>
          <w:p>
            <w:r>
              <w:rPr>
                <w:b/>
                <w:color w:val="FFFFFF"/>
                <w:sz w:val="18"/>
              </w:rPr>
              <w:t>Current result</w:t>
            </w:r>
          </w:p>
        </w:tc>
      </w:tr>
      <w:tr>
        <w:tc>
          <w:tcPr>
            <w:tcW w:type="dxa" w:w="2880"/>
            <w:tcMar>
              <w:top w:w="110" w:type="dxa"/>
              <w:left w:w="110" w:type="dxa"/>
              <w:bottom w:w="110" w:type="dxa"/>
              <w:right w:w="110" w:type="dxa"/>
            </w:tcMar>
            <w:vAlign w:val="center"/>
          </w:tcPr>
          <w:p>
            <w:pPr>
              <w:spacing w:after="0"/>
            </w:pPr>
            <w:r>
              <w:rPr>
                <w:sz w:val="18"/>
              </w:rPr>
              <w:t>Engineering progress</w:t>
            </w:r>
          </w:p>
        </w:tc>
        <w:tc>
          <w:tcPr>
            <w:tcW w:type="dxa" w:w="6768"/>
            <w:tcMar>
              <w:top w:w="110" w:type="dxa"/>
              <w:left w:w="110" w:type="dxa"/>
              <w:bottom w:w="110" w:type="dxa"/>
              <w:right w:w="110" w:type="dxa"/>
            </w:tcMar>
            <w:vAlign w:val="center"/>
          </w:tcPr>
          <w:p>
            <w:pPr>
              <w:spacing w:after="0"/>
            </w:pPr>
            <w:r>
              <w:rPr>
                <w:sz w:val="18"/>
              </w:rPr>
              <w:t>97 percent release readiness</w:t>
            </w:r>
          </w:p>
        </w:tc>
      </w:tr>
      <w:tr>
        <w:tc>
          <w:tcPr>
            <w:tcW w:type="dxa" w:w="2880"/>
            <w:tcMar>
              <w:top w:w="110" w:type="dxa"/>
              <w:left w:w="110" w:type="dxa"/>
              <w:bottom w:w="110" w:type="dxa"/>
              <w:right w:w="110" w:type="dxa"/>
            </w:tcMar>
            <w:vAlign w:val="center"/>
            <w:shd w:fill="F4F6F7"/>
          </w:tcPr>
          <w:p>
            <w:pPr>
              <w:spacing w:after="0"/>
            </w:pPr>
            <w:r>
              <w:rPr>
                <w:sz w:val="18"/>
              </w:rPr>
              <w:t>Automated verification</w:t>
            </w:r>
          </w:p>
        </w:tc>
        <w:tc>
          <w:tcPr>
            <w:tcW w:type="dxa" w:w="6768"/>
            <w:tcMar>
              <w:top w:w="110" w:type="dxa"/>
              <w:left w:w="110" w:type="dxa"/>
              <w:bottom w:w="110" w:type="dxa"/>
              <w:right w:w="110" w:type="dxa"/>
            </w:tcMar>
            <w:vAlign w:val="center"/>
            <w:shd w:fill="F4F6F7"/>
          </w:tcPr>
          <w:p>
            <w:pPr>
              <w:spacing w:after="0"/>
            </w:pPr>
            <w:r>
              <w:rPr>
                <w:sz w:val="18"/>
              </w:rPr>
              <w:t>46 regression tests passing before final release checks</w:t>
            </w:r>
          </w:p>
        </w:tc>
      </w:tr>
      <w:tr>
        <w:tc>
          <w:tcPr>
            <w:tcW w:type="dxa" w:w="2880"/>
            <w:tcMar>
              <w:top w:w="110" w:type="dxa"/>
              <w:left w:w="110" w:type="dxa"/>
              <w:bottom w:w="110" w:type="dxa"/>
              <w:right w:w="110" w:type="dxa"/>
            </w:tcMar>
            <w:vAlign w:val="center"/>
          </w:tcPr>
          <w:p>
            <w:pPr>
              <w:spacing w:after="0"/>
            </w:pPr>
            <w:r>
              <w:rPr>
                <w:sz w:val="18"/>
              </w:rPr>
              <w:t>Supported documents</w:t>
            </w:r>
          </w:p>
        </w:tc>
        <w:tc>
          <w:tcPr>
            <w:tcW w:type="dxa" w:w="6768"/>
            <w:tcMar>
              <w:top w:w="110" w:type="dxa"/>
              <w:left w:w="110" w:type="dxa"/>
              <w:bottom w:w="110" w:type="dxa"/>
              <w:right w:w="110" w:type="dxa"/>
            </w:tcMar>
            <w:vAlign w:val="center"/>
          </w:tcPr>
          <w:p>
            <w:pPr>
              <w:spacing w:after="0"/>
            </w:pPr>
            <w:r>
              <w:rPr>
                <w:sz w:val="18"/>
              </w:rPr>
              <w:t>TXT DOCX and text based PDF</w:t>
            </w:r>
          </w:p>
        </w:tc>
      </w:tr>
      <w:tr>
        <w:tc>
          <w:tcPr>
            <w:tcW w:type="dxa" w:w="2880"/>
            <w:tcMar>
              <w:top w:w="110" w:type="dxa"/>
              <w:left w:w="110" w:type="dxa"/>
              <w:bottom w:w="110" w:type="dxa"/>
              <w:right w:w="110" w:type="dxa"/>
            </w:tcMar>
            <w:vAlign w:val="center"/>
            <w:shd w:fill="F4F6F7"/>
          </w:tcPr>
          <w:p>
            <w:pPr>
              <w:spacing w:after="0"/>
            </w:pPr>
            <w:r>
              <w:rPr>
                <w:sz w:val="18"/>
              </w:rPr>
              <w:t>Live models</w:t>
            </w:r>
          </w:p>
        </w:tc>
        <w:tc>
          <w:tcPr>
            <w:tcW w:type="dxa" w:w="6768"/>
            <w:tcMar>
              <w:top w:w="110" w:type="dxa"/>
              <w:left w:w="110" w:type="dxa"/>
              <w:bottom w:w="110" w:type="dxa"/>
              <w:right w:w="110" w:type="dxa"/>
            </w:tcMar>
            <w:vAlign w:val="center"/>
            <w:shd w:fill="F4F6F7"/>
          </w:tcPr>
          <w:p>
            <w:pPr>
              <w:spacing w:after="0"/>
            </w:pPr>
            <w:r>
              <w:rPr>
                <w:sz w:val="18"/>
              </w:rPr>
              <w:t>Lexical baseline and optional weighted MiniLM hybrid</w:t>
            </w:r>
          </w:p>
        </w:tc>
      </w:tr>
      <w:tr>
        <w:tc>
          <w:tcPr>
            <w:tcW w:type="dxa" w:w="2880"/>
            <w:tcMar>
              <w:top w:w="110" w:type="dxa"/>
              <w:left w:w="110" w:type="dxa"/>
              <w:bottom w:w="110" w:type="dxa"/>
              <w:right w:w="110" w:type="dxa"/>
            </w:tcMar>
            <w:vAlign w:val="center"/>
          </w:tcPr>
          <w:p>
            <w:pPr>
              <w:spacing w:after="0"/>
            </w:pPr>
            <w:r>
              <w:rPr>
                <w:sz w:val="18"/>
              </w:rPr>
              <w:t>Outputs</w:t>
            </w:r>
          </w:p>
        </w:tc>
        <w:tc>
          <w:tcPr>
            <w:tcW w:type="dxa" w:w="6768"/>
            <w:tcMar>
              <w:top w:w="110" w:type="dxa"/>
              <w:left w:w="110" w:type="dxa"/>
              <w:bottom w:w="110" w:type="dxa"/>
              <w:right w:w="110" w:type="dxa"/>
            </w:tcMar>
            <w:vAlign w:val="center"/>
          </w:tcPr>
          <w:p>
            <w:pPr>
              <w:spacing w:after="0"/>
            </w:pPr>
            <w:r>
              <w:rPr>
                <w:sz w:val="18"/>
              </w:rPr>
              <w:t>Evidence dashboard saved history and downloadable Word reports</w:t>
            </w:r>
          </w:p>
        </w:tc>
      </w:tr>
      <w:tr>
        <w:tc>
          <w:tcPr>
            <w:tcW w:type="dxa" w:w="2880"/>
            <w:tcMar>
              <w:top w:w="110" w:type="dxa"/>
              <w:left w:w="110" w:type="dxa"/>
              <w:bottom w:w="110" w:type="dxa"/>
              <w:right w:w="110" w:type="dxa"/>
            </w:tcMar>
            <w:vAlign w:val="center"/>
            <w:shd w:fill="F4F6F7"/>
          </w:tcPr>
          <w:p>
            <w:pPr>
              <w:spacing w:after="0"/>
            </w:pPr>
            <w:r>
              <w:rPr>
                <w:sz w:val="18"/>
              </w:rPr>
              <w:t>Primary limitation</w:t>
            </w:r>
          </w:p>
        </w:tc>
        <w:tc>
          <w:tcPr>
            <w:tcW w:type="dxa" w:w="6768"/>
            <w:tcMar>
              <w:top w:w="110" w:type="dxa"/>
              <w:left w:w="110" w:type="dxa"/>
              <w:bottom w:w="110" w:type="dxa"/>
              <w:right w:w="110" w:type="dxa"/>
            </w:tcMar>
            <w:vAlign w:val="center"/>
            <w:shd w:fill="F4F6F7"/>
          </w:tcPr>
          <w:p>
            <w:pPr>
              <w:spacing w:after="0"/>
            </w:pPr>
            <w:r>
              <w:rPr>
                <w:sz w:val="18"/>
              </w:rPr>
              <w:t>Expanded independent research dataset evaluation remains</w:t>
            </w:r>
          </w:p>
        </w:tc>
      </w:tr>
    </w:tbl>
    <w:p>
      <w:pPr>
        <w:spacing w:after="0"/>
      </w:pPr>
    </w:p>
    <w:p>
      <w:pPr>
        <w:pStyle w:val="Heading1"/>
      </w:pPr>
      <w:r>
        <w:t>Project Objectives and Achievement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3240"/>
            <w:shd w:fill="173B57"/>
            <w:tcMar>
              <w:top w:w="110" w:type="dxa"/>
              <w:left w:w="110" w:type="dxa"/>
              <w:bottom w:w="110" w:type="dxa"/>
              <w:right w:w="110" w:type="dxa"/>
            </w:tcMar>
            <w:vAlign w:val="center"/>
          </w:tcPr>
          <w:p>
            <w:r>
              <w:rPr>
                <w:b/>
                <w:color w:val="FFFFFF"/>
                <w:sz w:val="18"/>
              </w:rPr>
              <w:t>Objective</w:t>
            </w:r>
          </w:p>
        </w:tc>
        <w:tc>
          <w:tcPr>
            <w:tcW w:type="dxa" w:w="1584"/>
            <w:shd w:fill="173B57"/>
            <w:tcMar>
              <w:top w:w="110" w:type="dxa"/>
              <w:left w:w="110" w:type="dxa"/>
              <w:bottom w:w="110" w:type="dxa"/>
              <w:right w:w="110" w:type="dxa"/>
            </w:tcMar>
            <w:vAlign w:val="center"/>
          </w:tcPr>
          <w:p>
            <w:r>
              <w:rPr>
                <w:b/>
                <w:color w:val="FFFFFF"/>
                <w:sz w:val="18"/>
              </w:rPr>
              <w:t>Achievement</w:t>
            </w:r>
          </w:p>
        </w:tc>
        <w:tc>
          <w:tcPr>
            <w:tcW w:type="dxa" w:w="4824"/>
            <w:shd w:fill="173B57"/>
            <w:tcMar>
              <w:top w:w="110" w:type="dxa"/>
              <w:left w:w="110" w:type="dxa"/>
              <w:bottom w:w="110" w:type="dxa"/>
              <w:right w:w="110" w:type="dxa"/>
            </w:tcMar>
            <w:vAlign w:val="center"/>
          </w:tcPr>
          <w:p>
            <w:r>
              <w:rPr>
                <w:b/>
                <w:color w:val="FFFFFF"/>
                <w:sz w:val="18"/>
              </w:rPr>
              <w:t>Evidence</w:t>
            </w:r>
          </w:p>
        </w:tc>
      </w:tr>
      <w:tr>
        <w:tc>
          <w:tcPr>
            <w:tcW w:type="dxa" w:w="3240"/>
            <w:tcMar>
              <w:top w:w="110" w:type="dxa"/>
              <w:left w:w="110" w:type="dxa"/>
              <w:bottom w:w="110" w:type="dxa"/>
              <w:right w:w="110" w:type="dxa"/>
            </w:tcMar>
            <w:vAlign w:val="center"/>
          </w:tcPr>
          <w:p>
            <w:pPr>
              <w:spacing w:after="0"/>
            </w:pPr>
            <w:r>
              <w:rPr>
                <w:sz w:val="18"/>
              </w:rPr>
              <w:t>Preprocessing and similarity algorithms</w:t>
            </w:r>
          </w:p>
        </w:tc>
        <w:tc>
          <w:tcPr>
            <w:tcW w:type="dxa" w:w="1584"/>
            <w:tcMar>
              <w:top w:w="110" w:type="dxa"/>
              <w:left w:w="110" w:type="dxa"/>
              <w:bottom w:w="110" w:type="dxa"/>
              <w:right w:w="110" w:type="dxa"/>
            </w:tcMar>
            <w:vAlign w:val="center"/>
          </w:tcPr>
          <w:p>
            <w:pPr>
              <w:spacing w:after="0"/>
            </w:pPr>
            <w:r>
              <w:rPr>
                <w:sz w:val="18"/>
              </w:rPr>
              <w:t>Complete</w:t>
            </w:r>
          </w:p>
        </w:tc>
        <w:tc>
          <w:tcPr>
            <w:tcW w:type="dxa" w:w="4824"/>
            <w:tcMar>
              <w:top w:w="110" w:type="dxa"/>
              <w:left w:w="110" w:type="dxa"/>
              <w:bottom w:w="110" w:type="dxa"/>
              <w:right w:w="110" w:type="dxa"/>
            </w:tcMar>
            <w:vAlign w:val="center"/>
          </w:tcPr>
          <w:p>
            <w:pPr>
              <w:spacing w:after="0"/>
            </w:pPr>
            <w:r>
              <w:rPr>
                <w:sz w:val="18"/>
              </w:rPr>
              <w:t>Extraction normalization segmentation lexical scoring and MiniLM interface</w:t>
            </w:r>
          </w:p>
        </w:tc>
      </w:tr>
      <w:tr>
        <w:tc>
          <w:tcPr>
            <w:tcW w:type="dxa" w:w="3240"/>
            <w:tcMar>
              <w:top w:w="110" w:type="dxa"/>
              <w:left w:w="110" w:type="dxa"/>
              <w:bottom w:w="110" w:type="dxa"/>
              <w:right w:w="110" w:type="dxa"/>
            </w:tcMar>
            <w:vAlign w:val="center"/>
            <w:shd w:fill="F4F6F7"/>
          </w:tcPr>
          <w:p>
            <w:pPr>
              <w:spacing w:after="0"/>
            </w:pPr>
            <w:r>
              <w:rPr>
                <w:sz w:val="18"/>
              </w:rPr>
              <w:t>Explainable intelligent decision support</w:t>
            </w:r>
          </w:p>
        </w:tc>
        <w:tc>
          <w:tcPr>
            <w:tcW w:type="dxa" w:w="1584"/>
            <w:tcMar>
              <w:top w:w="110" w:type="dxa"/>
              <w:left w:w="110" w:type="dxa"/>
              <w:bottom w:w="110" w:type="dxa"/>
              <w:right w:w="110" w:type="dxa"/>
            </w:tcMar>
            <w:vAlign w:val="center"/>
            <w:shd w:fill="F4F6F7"/>
          </w:tcPr>
          <w:p>
            <w:pPr>
              <w:spacing w:after="0"/>
            </w:pPr>
            <w:r>
              <w:rPr>
                <w:sz w:val="18"/>
              </w:rPr>
              <w:t>Complete</w:t>
            </w:r>
          </w:p>
        </w:tc>
        <w:tc>
          <w:tcPr>
            <w:tcW w:type="dxa" w:w="4824"/>
            <w:tcMar>
              <w:top w:w="110" w:type="dxa"/>
              <w:left w:w="110" w:type="dxa"/>
              <w:bottom w:w="110" w:type="dxa"/>
              <w:right w:w="110" w:type="dxa"/>
            </w:tcMar>
            <w:vAlign w:val="center"/>
            <w:shd w:fill="F4F6F7"/>
          </w:tcPr>
          <w:p>
            <w:pPr>
              <w:spacing w:after="0"/>
            </w:pPr>
            <w:r>
              <w:rPr>
                <w:sz w:val="18"/>
              </w:rPr>
              <w:t>Hybrid signals calibrated priority bands source passages history and Word reports</w:t>
            </w:r>
          </w:p>
        </w:tc>
      </w:tr>
      <w:tr>
        <w:tc>
          <w:tcPr>
            <w:tcW w:type="dxa" w:w="3240"/>
            <w:tcMar>
              <w:top w:w="110" w:type="dxa"/>
              <w:left w:w="110" w:type="dxa"/>
              <w:bottom w:w="110" w:type="dxa"/>
              <w:right w:w="110" w:type="dxa"/>
            </w:tcMar>
            <w:vAlign w:val="center"/>
          </w:tcPr>
          <w:p>
            <w:pPr>
              <w:spacing w:after="0"/>
            </w:pPr>
            <w:r>
              <w:rPr>
                <w:sz w:val="18"/>
              </w:rPr>
              <w:t>Quantitative evaluation</w:t>
            </w:r>
          </w:p>
        </w:tc>
        <w:tc>
          <w:tcPr>
            <w:tcW w:type="dxa" w:w="1584"/>
            <w:tcMar>
              <w:top w:w="110" w:type="dxa"/>
              <w:left w:w="110" w:type="dxa"/>
              <w:bottom w:w="110" w:type="dxa"/>
              <w:right w:w="110" w:type="dxa"/>
            </w:tcMar>
            <w:vAlign w:val="center"/>
          </w:tcPr>
          <w:p>
            <w:pPr>
              <w:spacing w:after="0"/>
            </w:pPr>
            <w:r>
              <w:rPr>
                <w:sz w:val="18"/>
              </w:rPr>
              <w:t>Pilot complete</w:t>
            </w:r>
          </w:p>
        </w:tc>
        <w:tc>
          <w:tcPr>
            <w:tcW w:type="dxa" w:w="4824"/>
            <w:tcMar>
              <w:top w:w="110" w:type="dxa"/>
              <w:left w:w="110" w:type="dxa"/>
              <w:bottom w:w="110" w:type="dxa"/>
              <w:right w:w="110" w:type="dxa"/>
            </w:tcMar>
            <w:vAlign w:val="center"/>
          </w:tcPr>
          <w:p>
            <w:pPr>
              <w:spacing w:after="0"/>
            </w:pPr>
            <w:r>
              <w:rPr>
                <w:sz w:val="18"/>
              </w:rPr>
              <w:t>Leakage safe splits metrics fusion comparison category analysis and PAN adapter</w:t>
            </w:r>
          </w:p>
        </w:tc>
      </w:tr>
    </w:tbl>
    <w:p>
      <w:pPr>
        <w:spacing w:after="0"/>
      </w:pPr>
    </w:p>
    <w:p>
      <w:r>
        <w:t>The objectives describe both software deliverables and research evidence. Completing a module proves that the software works as designed; it does not by itself prove general accuracy. The final evaluation must report performance on independently reviewed cases.</w:t>
      </w:r>
    </w:p>
    <w:p>
      <w:r>
        <w:br w:type="page"/>
      </w:r>
    </w:p>
    <w:p>
      <w:pPr>
        <w:pStyle w:val="Heading1"/>
      </w:pPr>
      <w:r>
        <w:t>System Architecture</w:t>
      </w:r>
    </w:p>
    <w:p>
      <w:r>
        <w:t>The layered architecture separates document handling, algorithms, persistence, HTTP routes, and the user interface. This separation makes the models testable without running the website and keeps research experiments independent from the production workflow.</w:t>
      </w:r>
    </w:p>
    <w:p>
      <w:pPr>
        <w:jc w:val="center"/>
      </w:pPr>
      <w:r>
        <w:rPr>
          <w:b/>
        </w:rPr>
        <w:t>Browser  -&gt;  FastAPI routes  -&gt;  extraction and preprocessing  -&gt;  scan service</w:t>
        <w:br/>
        <w:t>scan service  -&gt;  corpus repository  -&gt;  lexical and semantic models  -&gt;  hybrid evidence</w:t>
        <w:br/>
        <w:t>hybrid evidence  -&gt;  saved history  -&gt;  dashboard and Word report</w:t>
      </w:r>
    </w:p>
    <w:p>
      <w:pPr>
        <w:pStyle w:val="Heading2"/>
      </w:pPr>
      <w:r>
        <w:t>Application Layers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trPr>
        <w:tc>
          <w:tcPr>
            <w:tcW w:type="dxa" w:w="1944"/>
            <w:shd w:fill="173B57"/>
            <w:tcMar>
              <w:top w:w="110" w:type="dxa"/>
              <w:left w:w="110" w:type="dxa"/>
              <w:bottom w:w="110" w:type="dxa"/>
              <w:right w:w="110" w:type="dxa"/>
            </w:tcMar>
            <w:vAlign w:val="center"/>
          </w:tcPr>
          <w:p>
            <w:r>
              <w:rPr>
                <w:b/>
                <w:color w:val="FFFFFF"/>
                <w:sz w:val="18"/>
              </w:rPr>
              <w:t>Layer</w:t>
            </w:r>
          </w:p>
        </w:tc>
        <w:tc>
          <w:tcPr>
            <w:tcW w:type="dxa" w:w="7704"/>
            <w:shd w:fill="173B57"/>
            <w:tcMar>
              <w:top w:w="110" w:type="dxa"/>
              <w:left w:w="110" w:type="dxa"/>
              <w:bottom w:w="110" w:type="dxa"/>
              <w:right w:w="110" w:type="dxa"/>
            </w:tcMar>
            <w:vAlign w:val="center"/>
          </w:tcPr>
          <w:p>
            <w:r>
              <w:rPr>
                <w:b/>
                <w:color w:val="FFFFFF"/>
                <w:sz w:val="18"/>
              </w:rPr>
              <w:t>Responsibility</w:t>
            </w:r>
          </w:p>
        </w:tc>
      </w:tr>
      <w:tr>
        <w:tc>
          <w:tcPr>
            <w:tcW w:type="dxa" w:w="1944"/>
            <w:tcMar>
              <w:top w:w="110" w:type="dxa"/>
              <w:left w:w="110" w:type="dxa"/>
              <w:bottom w:w="110" w:type="dxa"/>
              <w:right w:w="110" w:type="dxa"/>
            </w:tcMar>
            <w:vAlign w:val="center"/>
          </w:tcPr>
          <w:p>
            <w:pPr>
              <w:spacing w:after="0"/>
            </w:pPr>
            <w:r>
              <w:rPr>
                <w:sz w:val="18"/>
              </w:rPr>
              <w:t>API</w:t>
            </w:r>
          </w:p>
        </w:tc>
        <w:tc>
          <w:tcPr>
            <w:tcW w:type="dxa" w:w="7704"/>
            <w:tcMar>
              <w:top w:w="110" w:type="dxa"/>
              <w:left w:w="110" w:type="dxa"/>
              <w:bottom w:w="110" w:type="dxa"/>
              <w:right w:w="110" w:type="dxa"/>
            </w:tcMar>
            <w:vAlign w:val="center"/>
          </w:tcPr>
          <w:p>
            <w:pPr>
              <w:spacing w:after="0"/>
            </w:pPr>
            <w:r>
              <w:rPr>
                <w:sz w:val="18"/>
              </w:rPr>
              <w:t>Validates uploads and exposes health corpus scan history deletion and report endpoints</w:t>
            </w:r>
          </w:p>
        </w:tc>
      </w:tr>
      <w:tr>
        <w:tc>
          <w:tcPr>
            <w:tcW w:type="dxa" w:w="1944"/>
            <w:tcMar>
              <w:top w:w="110" w:type="dxa"/>
              <w:left w:w="110" w:type="dxa"/>
              <w:bottom w:w="110" w:type="dxa"/>
              <w:right w:w="110" w:type="dxa"/>
            </w:tcMar>
            <w:vAlign w:val="center"/>
            <w:shd w:fill="F4F6F7"/>
          </w:tcPr>
          <w:p>
            <w:pPr>
              <w:spacing w:after="0"/>
            </w:pPr>
            <w:r>
              <w:rPr>
                <w:sz w:val="18"/>
              </w:rPr>
              <w:t>Services</w:t>
            </w:r>
          </w:p>
        </w:tc>
        <w:tc>
          <w:tcPr>
            <w:tcW w:type="dxa" w:w="7704"/>
            <w:tcMar>
              <w:top w:w="110" w:type="dxa"/>
              <w:left w:w="110" w:type="dxa"/>
              <w:bottom w:w="110" w:type="dxa"/>
              <w:right w:w="110" w:type="dxa"/>
            </w:tcMar>
            <w:vAlign w:val="center"/>
            <w:shd w:fill="F4F6F7"/>
          </w:tcPr>
          <w:p>
            <w:pPr>
              <w:spacing w:after="0"/>
            </w:pPr>
            <w:r>
              <w:rPr>
                <w:sz w:val="18"/>
              </w:rPr>
              <w:t>Extracts text preprocesses passages coordinates scanning and creates reports</w:t>
            </w:r>
          </w:p>
        </w:tc>
      </w:tr>
      <w:tr>
        <w:tc>
          <w:tcPr>
            <w:tcW w:type="dxa" w:w="1944"/>
            <w:tcMar>
              <w:top w:w="110" w:type="dxa"/>
              <w:left w:w="110" w:type="dxa"/>
              <w:bottom w:w="110" w:type="dxa"/>
              <w:right w:w="110" w:type="dxa"/>
            </w:tcMar>
            <w:vAlign w:val="center"/>
          </w:tcPr>
          <w:p>
            <w:pPr>
              <w:spacing w:after="0"/>
            </w:pPr>
            <w:r>
              <w:rPr>
                <w:sz w:val="18"/>
              </w:rPr>
              <w:t>Models</w:t>
            </w:r>
          </w:p>
        </w:tc>
        <w:tc>
          <w:tcPr>
            <w:tcW w:type="dxa" w:w="7704"/>
            <w:tcMar>
              <w:top w:w="110" w:type="dxa"/>
              <w:left w:w="110" w:type="dxa"/>
              <w:bottom w:w="110" w:type="dxa"/>
              <w:right w:w="110" w:type="dxa"/>
            </w:tcMar>
            <w:vAlign w:val="center"/>
          </w:tcPr>
          <w:p>
            <w:pPr>
              <w:spacing w:after="0"/>
            </w:pPr>
            <w:r>
              <w:rPr>
                <w:sz w:val="18"/>
              </w:rPr>
              <w:t>Calculates lexical semantic hybrid and evaluation-only learned-fusion scores</w:t>
            </w:r>
          </w:p>
        </w:tc>
      </w:tr>
      <w:tr>
        <w:tc>
          <w:tcPr>
            <w:tcW w:type="dxa" w:w="1944"/>
            <w:tcMar>
              <w:top w:w="110" w:type="dxa"/>
              <w:left w:w="110" w:type="dxa"/>
              <w:bottom w:w="110" w:type="dxa"/>
              <w:right w:w="110" w:type="dxa"/>
            </w:tcMar>
            <w:vAlign w:val="center"/>
            <w:shd w:fill="F4F6F7"/>
          </w:tcPr>
          <w:p>
            <w:pPr>
              <w:spacing w:after="0"/>
            </w:pPr>
            <w:r>
              <w:rPr>
                <w:sz w:val="18"/>
              </w:rPr>
              <w:t>Repositories</w:t>
            </w:r>
          </w:p>
        </w:tc>
        <w:tc>
          <w:tcPr>
            <w:tcW w:type="dxa" w:w="7704"/>
            <w:tcMar>
              <w:top w:w="110" w:type="dxa"/>
              <w:left w:w="110" w:type="dxa"/>
              <w:bottom w:w="110" w:type="dxa"/>
              <w:right w:w="110" w:type="dxa"/>
            </w:tcMar>
            <w:vAlign w:val="center"/>
            <w:shd w:fill="F4F6F7"/>
          </w:tcPr>
          <w:p>
            <w:pPr>
              <w:spacing w:after="0"/>
            </w:pPr>
            <w:r>
              <w:rPr>
                <w:sz w:val="18"/>
              </w:rPr>
              <w:t>Stores corpus metadata and saved scan evidence in separate SQLite files</w:t>
            </w:r>
          </w:p>
        </w:tc>
      </w:tr>
      <w:tr>
        <w:tc>
          <w:tcPr>
            <w:tcW w:type="dxa" w:w="1944"/>
            <w:tcMar>
              <w:top w:w="110" w:type="dxa"/>
              <w:left w:w="110" w:type="dxa"/>
              <w:bottom w:w="110" w:type="dxa"/>
              <w:right w:w="110" w:type="dxa"/>
            </w:tcMar>
            <w:vAlign w:val="center"/>
          </w:tcPr>
          <w:p>
            <w:pPr>
              <w:spacing w:after="0"/>
            </w:pPr>
            <w:r>
              <w:rPr>
                <w:sz w:val="18"/>
              </w:rPr>
              <w:t>Web</w:t>
            </w:r>
          </w:p>
        </w:tc>
        <w:tc>
          <w:tcPr>
            <w:tcW w:type="dxa" w:w="7704"/>
            <w:tcMar>
              <w:top w:w="110" w:type="dxa"/>
              <w:left w:w="110" w:type="dxa"/>
              <w:bottom w:w="110" w:type="dxa"/>
              <w:right w:w="110" w:type="dxa"/>
            </w:tcMar>
            <w:vAlign w:val="center"/>
          </w:tcPr>
          <w:p>
            <w:pPr>
              <w:spacing w:after="0"/>
            </w:pPr>
            <w:r>
              <w:rPr>
                <w:sz w:val="18"/>
              </w:rPr>
              <w:t>Provides responsive uploads source management evidence review and privacy controls</w:t>
            </w:r>
          </w:p>
        </w:tc>
      </w:tr>
      <w:tr>
        <w:tc>
          <w:tcPr>
            <w:tcW w:type="dxa" w:w="1944"/>
            <w:tcMar>
              <w:top w:w="110" w:type="dxa"/>
              <w:left w:w="110" w:type="dxa"/>
              <w:bottom w:w="110" w:type="dxa"/>
              <w:right w:w="110" w:type="dxa"/>
            </w:tcMar>
            <w:vAlign w:val="center"/>
            <w:shd w:fill="F4F6F7"/>
          </w:tcPr>
          <w:p>
            <w:pPr>
              <w:spacing w:after="0"/>
            </w:pPr>
            <w:r>
              <w:rPr>
                <w:sz w:val="18"/>
              </w:rPr>
              <w:t>Evaluation</w:t>
            </w:r>
          </w:p>
        </w:tc>
        <w:tc>
          <w:tcPr>
            <w:tcW w:type="dxa" w:w="7704"/>
            <w:tcMar>
              <w:top w:w="110" w:type="dxa"/>
              <w:left w:w="110" w:type="dxa"/>
              <w:bottom w:w="110" w:type="dxa"/>
              <w:right w:w="110" w:type="dxa"/>
            </w:tcMar>
            <w:vAlign w:val="center"/>
            <w:shd w:fill="F4F6F7"/>
          </w:tcPr>
          <w:p>
            <w:pPr>
              <w:spacing w:after="0"/>
            </w:pPr>
            <w:r>
              <w:rPr>
                <w:sz w:val="18"/>
              </w:rPr>
              <w:t>Creates leakage-safe experiments metrics calibration charts and dataset imports</w:t>
            </w:r>
          </w:p>
        </w:tc>
      </w:tr>
    </w:tbl>
    <w:p>
      <w:pPr>
        <w:spacing w:after="0"/>
      </w:pPr>
    </w:p>
    <w:p>
      <w:r>
        <w:br w:type="page"/>
      </w:r>
    </w:p>
    <w:p>
      <w:pPr>
        <w:pStyle w:val="Heading1"/>
      </w:pPr>
      <w:r>
        <w:t>Similarity Models</w:t>
      </w:r>
    </w:p>
    <w:p>
      <w:pPr>
        <w:pStyle w:val="Heading2"/>
      </w:pPr>
      <w:r>
        <w:t>Lexical Model</w:t>
      </w:r>
    </w:p>
    <w:p>
      <w:r>
        <w:t>The lexical model combines word-vector cosine similarity and character four-gram Jaccard similarity. Word cosine measures shared vocabulary, while character overlap remains useful when words have small spelling or formatting changes. The deployed lexical score is 70 percent word cosine and 30 percent character Jaccard.</w:t>
      </w:r>
    </w:p>
    <w:p>
      <w:pPr>
        <w:pStyle w:val="Heading2"/>
      </w:pPr>
      <w:r>
        <w:t>Semantic Model</w:t>
      </w:r>
    </w:p>
    <w:p>
      <w:r>
        <w:t>The semantic component uses sentence-transformers/all-MiniLM-L6-v2 on the CPU. It can identify paraphrases with low word overlap. The model loads only when needed, uses small batches, and prefers the local cache once downloaded.</w:t>
      </w:r>
    </w:p>
    <w:p>
      <w:pPr>
        <w:pStyle w:val="Heading2"/>
      </w:pPr>
      <w:r>
        <w:t>Hybrid and Learned Fusion</w:t>
      </w:r>
    </w:p>
    <w:p>
      <w:r>
        <w:t>The live hybrid score combines 55 percent lexical evidence with 45 percent semantic evidence. A dependency-free logistic-regression model was also trained on pilot features for comparison. Because the pilot training set is small, learned fusion remains an evaluation model and does not silently replace the transparent live formula.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tblHeader w:val="true"/>
        </w:trPr>
        <w:tc>
          <w:tcPr>
            <w:tcW w:type="dxa" w:w="3312"/>
            <w:shd w:fill="173B57"/>
            <w:tcMar>
              <w:top w:w="110" w:type="dxa"/>
              <w:left w:w="110" w:type="dxa"/>
              <w:bottom w:w="110" w:type="dxa"/>
              <w:right w:w="110" w:type="dxa"/>
            </w:tcMar>
            <w:vAlign w:val="center"/>
          </w:tcPr>
          <w:p>
            <w:r>
              <w:rPr>
                <w:b/>
                <w:color w:val="FFFFFF"/>
                <w:sz w:val="18"/>
              </w:rPr>
              <w:t>Live mode</w:t>
            </w:r>
          </w:p>
        </w:tc>
        <w:tc>
          <w:tcPr>
            <w:tcW w:type="dxa" w:w="2088"/>
            <w:shd w:fill="173B57"/>
            <w:tcMar>
              <w:top w:w="110" w:type="dxa"/>
              <w:left w:w="110" w:type="dxa"/>
              <w:bottom w:w="110" w:type="dxa"/>
              <w:right w:w="110" w:type="dxa"/>
            </w:tcMar>
            <w:vAlign w:val="center"/>
          </w:tcPr>
          <w:p>
            <w:r>
              <w:rPr>
                <w:b/>
                <w:color w:val="FFFFFF"/>
                <w:sz w:val="18"/>
              </w:rPr>
              <w:t>Detection floor</w:t>
            </w:r>
          </w:p>
        </w:tc>
        <w:tc>
          <w:tcPr>
            <w:tcW w:type="dxa" w:w="2088"/>
            <w:shd w:fill="173B57"/>
            <w:tcMar>
              <w:top w:w="110" w:type="dxa"/>
              <w:left w:w="110" w:type="dxa"/>
              <w:bottom w:w="110" w:type="dxa"/>
              <w:right w:w="110" w:type="dxa"/>
            </w:tcMar>
            <w:vAlign w:val="center"/>
          </w:tcPr>
          <w:p>
            <w:r>
              <w:rPr>
                <w:b/>
                <w:color w:val="FFFFFF"/>
                <w:sz w:val="18"/>
              </w:rPr>
              <w:t>Medium priority</w:t>
            </w:r>
          </w:p>
        </w:tc>
        <w:tc>
          <w:tcPr>
            <w:tcW w:type="dxa" w:w="2088"/>
            <w:shd w:fill="173B57"/>
            <w:tcMar>
              <w:top w:w="110" w:type="dxa"/>
              <w:left w:w="110" w:type="dxa"/>
              <w:bottom w:w="110" w:type="dxa"/>
              <w:right w:w="110" w:type="dxa"/>
            </w:tcMar>
            <w:vAlign w:val="center"/>
          </w:tcPr>
          <w:p>
            <w:r>
              <w:rPr>
                <w:b/>
                <w:color w:val="FFFFFF"/>
                <w:sz w:val="18"/>
              </w:rPr>
              <w:t>High priority</w:t>
            </w:r>
          </w:p>
        </w:tc>
      </w:tr>
      <w:tr>
        <w:tc>
          <w:tcPr>
            <w:tcW w:type="dxa" w:w="3312"/>
            <w:tcMar>
              <w:top w:w="110" w:type="dxa"/>
              <w:left w:w="110" w:type="dxa"/>
              <w:bottom w:w="110" w:type="dxa"/>
              <w:right w:w="110" w:type="dxa"/>
            </w:tcMar>
            <w:vAlign w:val="center"/>
          </w:tcPr>
          <w:p>
            <w:pPr>
              <w:spacing w:after="0"/>
            </w:pPr>
            <w:r>
              <w:rPr>
                <w:sz w:val="18"/>
              </w:rPr>
              <w:t>Lexical</w:t>
            </w:r>
          </w:p>
        </w:tc>
        <w:tc>
          <w:tcPr>
            <w:tcW w:type="dxa" w:w="2088"/>
            <w:tcMar>
              <w:top w:w="110" w:type="dxa"/>
              <w:left w:w="110" w:type="dxa"/>
              <w:bottom w:w="110" w:type="dxa"/>
              <w:right w:w="110" w:type="dxa"/>
            </w:tcMar>
            <w:vAlign w:val="center"/>
          </w:tcPr>
          <w:p>
            <w:pPr>
              <w:spacing w:after="0"/>
            </w:pPr>
            <w:r>
              <w:rPr>
                <w:sz w:val="18"/>
              </w:rPr>
              <w:t>0.15</w:t>
            </w:r>
          </w:p>
        </w:tc>
        <w:tc>
          <w:tcPr>
            <w:tcW w:type="dxa" w:w="2088"/>
            <w:tcMar>
              <w:top w:w="110" w:type="dxa"/>
              <w:left w:w="110" w:type="dxa"/>
              <w:bottom w:w="110" w:type="dxa"/>
              <w:right w:w="110" w:type="dxa"/>
            </w:tcMar>
            <w:vAlign w:val="center"/>
          </w:tcPr>
          <w:p>
            <w:pPr>
              <w:spacing w:after="0"/>
            </w:pPr>
            <w:r>
              <w:rPr>
                <w:sz w:val="18"/>
              </w:rPr>
              <w:t>0.25</w:t>
            </w:r>
          </w:p>
        </w:tc>
        <w:tc>
          <w:tcPr>
            <w:tcW w:type="dxa" w:w="2088"/>
            <w:tcMar>
              <w:top w:w="110" w:type="dxa"/>
              <w:left w:w="110" w:type="dxa"/>
              <w:bottom w:w="110" w:type="dxa"/>
              <w:right w:w="110" w:type="dxa"/>
            </w:tcMar>
            <w:vAlign w:val="center"/>
          </w:tcPr>
          <w:p>
            <w:pPr>
              <w:spacing w:after="0"/>
            </w:pPr>
            <w:r>
              <w:rPr>
                <w:sz w:val="18"/>
              </w:rPr>
              <w:t>0.69</w:t>
            </w:r>
          </w:p>
        </w:tc>
      </w:tr>
      <w:tr>
        <w:tc>
          <w:tcPr>
            <w:tcW w:type="dxa" w:w="3312"/>
            <w:tcMar>
              <w:top w:w="110" w:type="dxa"/>
              <w:left w:w="110" w:type="dxa"/>
              <w:bottom w:w="110" w:type="dxa"/>
              <w:right w:w="110" w:type="dxa"/>
            </w:tcMar>
            <w:vAlign w:val="center"/>
            <w:shd w:fill="F4F6F7"/>
          </w:tcPr>
          <w:p>
            <w:pPr>
              <w:spacing w:after="0"/>
            </w:pPr>
            <w:r>
              <w:rPr>
                <w:sz w:val="18"/>
              </w:rPr>
              <w:t>Weighted hybrid</w:t>
            </w:r>
          </w:p>
        </w:tc>
        <w:tc>
          <w:tcPr>
            <w:tcW w:type="dxa" w:w="2088"/>
            <w:tcMar>
              <w:top w:w="110" w:type="dxa"/>
              <w:left w:w="110" w:type="dxa"/>
              <w:bottom w:w="110" w:type="dxa"/>
              <w:right w:w="110" w:type="dxa"/>
            </w:tcMar>
            <w:vAlign w:val="center"/>
            <w:shd w:fill="F4F6F7"/>
          </w:tcPr>
          <w:p>
            <w:pPr>
              <w:spacing w:after="0"/>
            </w:pPr>
            <w:r>
              <w:rPr>
                <w:sz w:val="18"/>
              </w:rPr>
              <w:t>0.20</w:t>
            </w:r>
          </w:p>
        </w:tc>
        <w:tc>
          <w:tcPr>
            <w:tcW w:type="dxa" w:w="2088"/>
            <w:tcMar>
              <w:top w:w="110" w:type="dxa"/>
              <w:left w:w="110" w:type="dxa"/>
              <w:bottom w:w="110" w:type="dxa"/>
              <w:right w:w="110" w:type="dxa"/>
            </w:tcMar>
            <w:vAlign w:val="center"/>
            <w:shd w:fill="F4F6F7"/>
          </w:tcPr>
          <w:p>
            <w:pPr>
              <w:spacing w:after="0"/>
            </w:pPr>
            <w:r>
              <w:rPr>
                <w:sz w:val="18"/>
              </w:rPr>
              <w:t>0.46</w:t>
            </w:r>
          </w:p>
        </w:tc>
        <w:tc>
          <w:tcPr>
            <w:tcW w:type="dxa" w:w="2088"/>
            <w:tcMar>
              <w:top w:w="110" w:type="dxa"/>
              <w:left w:w="110" w:type="dxa"/>
              <w:bottom w:w="110" w:type="dxa"/>
              <w:right w:w="110" w:type="dxa"/>
            </w:tcMar>
            <w:vAlign w:val="center"/>
            <w:shd w:fill="F4F6F7"/>
          </w:tcPr>
          <w:p>
            <w:pPr>
              <w:spacing w:after="0"/>
            </w:pPr>
            <w:r>
              <w:rPr>
                <w:sz w:val="18"/>
              </w:rPr>
              <w:t>0.80</w:t>
            </w:r>
          </w:p>
        </w:tc>
      </w:tr>
    </w:tbl>
    <w:p>
      <w:pPr>
        <w:spacing w:after="0"/>
      </w:pPr>
    </w:p>
    <w:p>
      <w:r>
        <w:t>These boundaries were calculated from validation examples only. A score determines review priority, not guilt. The thresholds must be reconfirmed using the expanded research dataset.</w:t>
      </w:r>
    </w:p>
    <w:p>
      <w:r>
        <w:br w:type="page"/>
      </w:r>
    </w:p>
    <w:p>
      <w:pPr>
        <w:pStyle w:val="Heading1"/>
      </w:pPr>
      <w:r>
        <w:t>Document Processing and Scan Workflow</w:t>
      </w:r>
    </w:p>
    <w:p>
      <w:pPr>
        <w:pStyle w:val="ListBullet"/>
      </w:pPr>
      <w:r>
        <w:t>The reviewer adds lawful TXT DOCX or text-based PDF sources to the local library.</w:t>
      </w:r>
    </w:p>
    <w:p>
      <w:pPr>
        <w:pStyle w:val="ListBullet"/>
      </w:pPr>
      <w:r>
        <w:t>SHA-256 hashing prevents duplicate source documents.</w:t>
      </w:r>
    </w:p>
    <w:p>
      <w:pPr>
        <w:pStyle w:val="ListBullet"/>
      </w:pPr>
      <w:r>
        <w:t>A submitted document is placed in temporary storage and its text is extracted.</w:t>
      </w:r>
    </w:p>
    <w:p>
      <w:pPr>
        <w:pStyle w:val="ListBullet"/>
      </w:pPr>
      <w:r>
        <w:t>Preprocessing normalizes text removes simple boilerplate and bibliography content and creates reviewable passages.</w:t>
      </w:r>
    </w:p>
    <w:p>
      <w:pPr>
        <w:pStyle w:val="ListBullet"/>
      </w:pPr>
      <w:r>
        <w:t>The lexical model retrieves the best source candidate for each submitted passage.</w:t>
      </w:r>
    </w:p>
    <w:p>
      <w:pPr>
        <w:pStyle w:val="ListBullet"/>
      </w:pPr>
      <w:r>
        <w:t>When enabled MiniLM scores only the retained candidate to reduce memory and computation.</w:t>
      </w:r>
    </w:p>
    <w:p>
      <w:pPr>
        <w:pStyle w:val="ListBullet"/>
      </w:pPr>
      <w:r>
        <w:t>The hybrid model assigns a calibrated evidence-priority band and applies quotation and citation exclusions.</w:t>
      </w:r>
    </w:p>
    <w:p>
      <w:pPr>
        <w:pStyle w:val="ListBullet"/>
      </w:pPr>
      <w:r>
        <w:t>The result is displayed saved locally and made available as a Microsoft Word report.</w:t>
      </w:r>
    </w:p>
    <w:p>
      <w:pPr>
        <w:pStyle w:val="ListBullet"/>
      </w:pPr>
      <w:r>
        <w:t>The submitted file is deleted in a finally block whether the scan succeeds or fails.</w:t>
      </w:r>
    </w:p>
    <w:p>
      <w:pPr>
        <w:pStyle w:val="Heading2"/>
      </w:pPr>
      <w:r>
        <w:t>Explainable Output</w:t>
      </w:r>
    </w:p>
    <w:p>
      <w:r>
        <w:t>Every evidence record includes the submitted passage, matching source passage, source document name, word cosine, character Jaccard, lexical score, optional semantic score, hybrid score, review band, and citation or quotation flags. This lets the lecturer inspect the reason for a result rather than accepting a hidden decision.</w:t>
      </w:r>
    </w:p>
    <w:p>
      <w:pPr>
        <w:pStyle w:val="Heading1"/>
      </w:pPr>
      <w:r>
        <w:t>Privacy Accessibility and Responsible Use</w:t>
      </w:r>
    </w:p>
    <w:p>
      <w:r>
        <w:t>Proofline binds to 127.0.0.1 and is designed for a single user on one local computer. Reference documents and saved evidence remain local. The interface can delete one scan or clear all saved history after confirmation. A public or shared deployment would require authentication encrypted transport institutional retention rules and an audit trail.</w:t>
      </w:r>
    </w:p>
    <w:p>
      <w:pPr>
        <w:pStyle w:val="ListBullet"/>
      </w:pPr>
      <w:r>
        <w:t>Keyboard users receive a skip link and visible focus indicators.</w:t>
      </w:r>
    </w:p>
    <w:p>
      <w:pPr>
        <w:pStyle w:val="ListBullet"/>
      </w:pPr>
      <w:r>
        <w:t>Dynamic status and history regions use accessible live announcements.</w:t>
      </w:r>
    </w:p>
    <w:p>
      <w:pPr>
        <w:pStyle w:val="ListBullet"/>
      </w:pPr>
      <w:r>
        <w:t>Reduced-motion preferences disable nonessential transitions.</w:t>
      </w:r>
    </w:p>
    <w:p>
      <w:pPr>
        <w:pStyle w:val="ListBullet"/>
      </w:pPr>
      <w:r>
        <w:t>Buttons use visible text or an accessible label, including destructive controls.</w:t>
      </w:r>
    </w:p>
    <w:p>
      <w:pPr>
        <w:pStyle w:val="ListBullet"/>
      </w:pPr>
      <w:r>
        <w:t>Similarity evidence is explicitly described as input for human review, not an automatic misconduct decision.</w:t>
      </w:r>
    </w:p>
    <w:p>
      <w:r>
        <w:br w:type="page"/>
      </w:r>
    </w:p>
    <w:p>
      <w:pPr>
        <w:pStyle w:val="Heading1"/>
      </w:pPr>
      <w:r>
        <w:t>Evaluation Method and Results</w:t>
      </w:r>
    </w:p>
    <w:p>
      <w:r>
        <w:t>The checked-in pilot dataset contains 30 synthetic labelled passage pairs in six source groups. Source-grouped train, validation, and test splits prevent variants of one source from leaking across splits. Training uses only the training split, threshold and band selection use only validation data, and the test split remains untouched until final measurement.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1958"/>
        <w:gridCol w:w="1958"/>
        <w:gridCol w:w="1958"/>
        <w:gridCol w:w="1958"/>
      </w:tblGrid>
      <w:tr>
        <w:trPr>
          <w:tblHeader w:val="true"/>
        </w:trPr>
        <w:tc>
          <w:tcPr>
            <w:tcW w:type="dxa" w:w="3024"/>
            <w:shd w:fill="173B57"/>
            <w:tcMar>
              <w:top w:w="110" w:type="dxa"/>
              <w:left w:w="110" w:type="dxa"/>
              <w:bottom w:w="110" w:type="dxa"/>
              <w:right w:w="110" w:type="dxa"/>
            </w:tcMar>
            <w:vAlign w:val="center"/>
          </w:tcPr>
          <w:p>
            <w:r>
              <w:rPr>
                <w:b/>
                <w:color w:val="FFFFFF"/>
                <w:sz w:val="18"/>
              </w:rPr>
              <w:t>Model</w:t>
            </w:r>
          </w:p>
        </w:tc>
        <w:tc>
          <w:tcPr>
            <w:tcW w:type="dxa" w:w="1584"/>
            <w:shd w:fill="173B57"/>
            <w:tcMar>
              <w:top w:w="110" w:type="dxa"/>
              <w:left w:w="110" w:type="dxa"/>
              <w:bottom w:w="110" w:type="dxa"/>
              <w:right w:w="110" w:type="dxa"/>
            </w:tcMar>
            <w:vAlign w:val="center"/>
          </w:tcPr>
          <w:p>
            <w:r>
              <w:rPr>
                <w:b/>
                <w:color w:val="FFFFFF"/>
                <w:sz w:val="18"/>
              </w:rPr>
              <w:t>Precision</w:t>
            </w:r>
          </w:p>
        </w:tc>
        <w:tc>
          <w:tcPr>
            <w:tcW w:type="dxa" w:w="1584"/>
            <w:shd w:fill="173B57"/>
            <w:tcMar>
              <w:top w:w="110" w:type="dxa"/>
              <w:left w:w="110" w:type="dxa"/>
              <w:bottom w:w="110" w:type="dxa"/>
              <w:right w:w="110" w:type="dxa"/>
            </w:tcMar>
            <w:vAlign w:val="center"/>
          </w:tcPr>
          <w:p>
            <w:r>
              <w:rPr>
                <w:b/>
                <w:color w:val="FFFFFF"/>
                <w:sz w:val="18"/>
              </w:rPr>
              <w:t>Recall</w:t>
            </w:r>
          </w:p>
        </w:tc>
        <w:tc>
          <w:tcPr>
            <w:tcW w:type="dxa" w:w="1440"/>
            <w:shd w:fill="173B57"/>
            <w:tcMar>
              <w:top w:w="110" w:type="dxa"/>
              <w:left w:w="110" w:type="dxa"/>
              <w:bottom w:w="110" w:type="dxa"/>
              <w:right w:w="110" w:type="dxa"/>
            </w:tcMar>
            <w:vAlign w:val="center"/>
          </w:tcPr>
          <w:p>
            <w:r>
              <w:rPr>
                <w:b/>
                <w:color w:val="FFFFFF"/>
                <w:sz w:val="18"/>
              </w:rPr>
              <w:t>F1</w:t>
            </w:r>
          </w:p>
        </w:tc>
        <w:tc>
          <w:tcPr>
            <w:tcW w:type="dxa" w:w="2088"/>
            <w:shd w:fill="173B57"/>
            <w:tcMar>
              <w:top w:w="110" w:type="dxa"/>
              <w:left w:w="110" w:type="dxa"/>
              <w:bottom w:w="110" w:type="dxa"/>
              <w:right w:w="110" w:type="dxa"/>
            </w:tcMar>
            <w:vAlign w:val="center"/>
          </w:tcPr>
          <w:p>
            <w:r>
              <w:rPr>
                <w:b/>
                <w:color w:val="FFFFFF"/>
                <w:sz w:val="18"/>
              </w:rPr>
              <w:t>False positive rate</w:t>
            </w:r>
          </w:p>
        </w:tc>
      </w:tr>
      <w:tr>
        <w:tc>
          <w:tcPr>
            <w:tcW w:type="dxa" w:w="3024"/>
            <w:tcMar>
              <w:top w:w="110" w:type="dxa"/>
              <w:left w:w="110" w:type="dxa"/>
              <w:bottom w:w="110" w:type="dxa"/>
              <w:right w:w="110" w:type="dxa"/>
            </w:tcMar>
            <w:vAlign w:val="center"/>
          </w:tcPr>
          <w:p>
            <w:pPr>
              <w:spacing w:after="0"/>
            </w:pPr>
            <w:r>
              <w:rPr>
                <w:sz w:val="18"/>
              </w:rPr>
              <w:t>Lexical</w:t>
            </w:r>
          </w:p>
        </w:tc>
        <w:tc>
          <w:tcPr>
            <w:tcW w:type="dxa" w:w="1584"/>
            <w:tcMar>
              <w:top w:w="110" w:type="dxa"/>
              <w:left w:w="110" w:type="dxa"/>
              <w:bottom w:w="110" w:type="dxa"/>
              <w:right w:w="110" w:type="dxa"/>
            </w:tcMar>
            <w:vAlign w:val="center"/>
          </w:tcPr>
          <w:p>
            <w:pPr>
              <w:spacing w:after="0"/>
            </w:pPr>
            <w:r>
              <w:rPr>
                <w:sz w:val="18"/>
              </w:rPr>
              <w:t>1.0000</w:t>
            </w:r>
          </w:p>
        </w:tc>
        <w:tc>
          <w:tcPr>
            <w:tcW w:type="dxa" w:w="1584"/>
            <w:tcMar>
              <w:top w:w="110" w:type="dxa"/>
              <w:left w:w="110" w:type="dxa"/>
              <w:bottom w:w="110" w:type="dxa"/>
              <w:right w:w="110" w:type="dxa"/>
            </w:tcMar>
            <w:vAlign w:val="center"/>
          </w:tcPr>
          <w:p>
            <w:pPr>
              <w:spacing w:after="0"/>
            </w:pPr>
            <w:r>
              <w:rPr>
                <w:sz w:val="18"/>
              </w:rPr>
              <w:t>0.6667</w:t>
            </w:r>
          </w:p>
        </w:tc>
        <w:tc>
          <w:tcPr>
            <w:tcW w:type="dxa" w:w="1440"/>
            <w:tcMar>
              <w:top w:w="110" w:type="dxa"/>
              <w:left w:w="110" w:type="dxa"/>
              <w:bottom w:w="110" w:type="dxa"/>
              <w:right w:w="110" w:type="dxa"/>
            </w:tcMar>
            <w:vAlign w:val="center"/>
          </w:tcPr>
          <w:p>
            <w:pPr>
              <w:spacing w:after="0"/>
            </w:pPr>
            <w:r>
              <w:rPr>
                <w:sz w:val="18"/>
              </w:rPr>
              <w:t>0.8000</w:t>
            </w:r>
          </w:p>
        </w:tc>
        <w:tc>
          <w:tcPr>
            <w:tcW w:type="dxa" w:w="2088"/>
            <w:tcMar>
              <w:top w:w="110" w:type="dxa"/>
              <w:left w:w="110" w:type="dxa"/>
              <w:bottom w:w="110" w:type="dxa"/>
              <w:right w:w="110" w:type="dxa"/>
            </w:tcMar>
            <w:vAlign w:val="center"/>
          </w:tcPr>
          <w:p>
            <w:pPr>
              <w:spacing w:after="0"/>
            </w:pPr>
            <w:r>
              <w:rPr>
                <w:sz w:val="18"/>
              </w:rPr>
              <w:t>0.0000</w:t>
            </w:r>
          </w:p>
        </w:tc>
      </w:tr>
      <w:tr>
        <w:tc>
          <w:tcPr>
            <w:tcW w:type="dxa" w:w="3024"/>
            <w:tcMar>
              <w:top w:w="110" w:type="dxa"/>
              <w:left w:w="110" w:type="dxa"/>
              <w:bottom w:w="110" w:type="dxa"/>
              <w:right w:w="110" w:type="dxa"/>
            </w:tcMar>
            <w:vAlign w:val="center"/>
            <w:shd w:fill="F4F6F7"/>
          </w:tcPr>
          <w:p>
            <w:pPr>
              <w:spacing w:after="0"/>
            </w:pPr>
            <w:r>
              <w:rPr>
                <w:sz w:val="18"/>
              </w:rPr>
              <w:t>MiniLM semantic</w:t>
            </w:r>
          </w:p>
        </w:tc>
        <w:tc>
          <w:tcPr>
            <w:tcW w:type="dxa" w:w="1584"/>
            <w:tcMar>
              <w:top w:w="110" w:type="dxa"/>
              <w:left w:w="110" w:type="dxa"/>
              <w:bottom w:w="110" w:type="dxa"/>
              <w:right w:w="110" w:type="dxa"/>
            </w:tcMar>
            <w:vAlign w:val="center"/>
            <w:shd w:fill="F4F6F7"/>
          </w:tcPr>
          <w:p>
            <w:pPr>
              <w:spacing w:after="0"/>
            </w:pPr>
            <w:r>
              <w:rPr>
                <w:sz w:val="18"/>
              </w:rPr>
              <w:t>1.0000</w:t>
            </w:r>
          </w:p>
        </w:tc>
        <w:tc>
          <w:tcPr>
            <w:tcW w:type="dxa" w:w="1584"/>
            <w:tcMar>
              <w:top w:w="110" w:type="dxa"/>
              <w:left w:w="110" w:type="dxa"/>
              <w:bottom w:w="110" w:type="dxa"/>
              <w:right w:w="110" w:type="dxa"/>
            </w:tcMar>
            <w:vAlign w:val="center"/>
            <w:shd w:fill="F4F6F7"/>
          </w:tcPr>
          <w:p>
            <w:pPr>
              <w:spacing w:after="0"/>
            </w:pPr>
            <w:r>
              <w:rPr>
                <w:sz w:val="18"/>
              </w:rPr>
              <w:t>0.8333</w:t>
            </w:r>
          </w:p>
        </w:tc>
        <w:tc>
          <w:tcPr>
            <w:tcW w:type="dxa" w:w="1440"/>
            <w:tcMar>
              <w:top w:w="110" w:type="dxa"/>
              <w:left w:w="110" w:type="dxa"/>
              <w:bottom w:w="110" w:type="dxa"/>
              <w:right w:w="110" w:type="dxa"/>
            </w:tcMar>
            <w:vAlign w:val="center"/>
            <w:shd w:fill="F4F6F7"/>
          </w:tcPr>
          <w:p>
            <w:pPr>
              <w:spacing w:after="0"/>
            </w:pPr>
            <w:r>
              <w:rPr>
                <w:sz w:val="18"/>
              </w:rPr>
              <w:t>0.9091</w:t>
            </w:r>
          </w:p>
        </w:tc>
        <w:tc>
          <w:tcPr>
            <w:tcW w:type="dxa" w:w="2088"/>
            <w:tcMar>
              <w:top w:w="110" w:type="dxa"/>
              <w:left w:w="110" w:type="dxa"/>
              <w:bottom w:w="110" w:type="dxa"/>
              <w:right w:w="110" w:type="dxa"/>
            </w:tcMar>
            <w:vAlign w:val="center"/>
            <w:shd w:fill="F4F6F7"/>
          </w:tcPr>
          <w:p>
            <w:pPr>
              <w:spacing w:after="0"/>
            </w:pPr>
            <w:r>
              <w:rPr>
                <w:sz w:val="18"/>
              </w:rPr>
              <w:t>0.0000</w:t>
            </w:r>
          </w:p>
        </w:tc>
      </w:tr>
      <w:tr>
        <w:tc>
          <w:tcPr>
            <w:tcW w:type="dxa" w:w="3024"/>
            <w:tcMar>
              <w:top w:w="110" w:type="dxa"/>
              <w:left w:w="110" w:type="dxa"/>
              <w:bottom w:w="110" w:type="dxa"/>
              <w:right w:w="110" w:type="dxa"/>
            </w:tcMar>
            <w:vAlign w:val="center"/>
          </w:tcPr>
          <w:p>
            <w:pPr>
              <w:spacing w:after="0"/>
            </w:pPr>
            <w:r>
              <w:rPr>
                <w:sz w:val="18"/>
              </w:rPr>
              <w:t>Weighted hybrid</w:t>
            </w:r>
          </w:p>
        </w:tc>
        <w:tc>
          <w:tcPr>
            <w:tcW w:type="dxa" w:w="1584"/>
            <w:tcMar>
              <w:top w:w="110" w:type="dxa"/>
              <w:left w:w="110" w:type="dxa"/>
              <w:bottom w:w="110" w:type="dxa"/>
              <w:right w:w="110" w:type="dxa"/>
            </w:tcMar>
            <w:vAlign w:val="center"/>
          </w:tcPr>
          <w:p>
            <w:pPr>
              <w:spacing w:after="0"/>
            </w:pPr>
            <w:r>
              <w:rPr>
                <w:sz w:val="18"/>
              </w:rPr>
              <w:t>1.0000</w:t>
            </w:r>
          </w:p>
        </w:tc>
        <w:tc>
          <w:tcPr>
            <w:tcW w:type="dxa" w:w="1584"/>
            <w:tcMar>
              <w:top w:w="110" w:type="dxa"/>
              <w:left w:w="110" w:type="dxa"/>
              <w:bottom w:w="110" w:type="dxa"/>
              <w:right w:w="110" w:type="dxa"/>
            </w:tcMar>
            <w:vAlign w:val="center"/>
          </w:tcPr>
          <w:p>
            <w:pPr>
              <w:spacing w:after="0"/>
            </w:pPr>
            <w:r>
              <w:rPr>
                <w:sz w:val="18"/>
              </w:rPr>
              <w:t>1.0000</w:t>
            </w:r>
          </w:p>
        </w:tc>
        <w:tc>
          <w:tcPr>
            <w:tcW w:type="dxa" w:w="1440"/>
            <w:tcMar>
              <w:top w:w="110" w:type="dxa"/>
              <w:left w:w="110" w:type="dxa"/>
              <w:bottom w:w="110" w:type="dxa"/>
              <w:right w:w="110" w:type="dxa"/>
            </w:tcMar>
            <w:vAlign w:val="center"/>
          </w:tcPr>
          <w:p>
            <w:pPr>
              <w:spacing w:after="0"/>
            </w:pPr>
            <w:r>
              <w:rPr>
                <w:sz w:val="18"/>
              </w:rPr>
              <w:t>1.0000</w:t>
            </w:r>
          </w:p>
        </w:tc>
        <w:tc>
          <w:tcPr>
            <w:tcW w:type="dxa" w:w="2088"/>
            <w:tcMar>
              <w:top w:w="110" w:type="dxa"/>
              <w:left w:w="110" w:type="dxa"/>
              <w:bottom w:w="110" w:type="dxa"/>
              <w:right w:w="110" w:type="dxa"/>
            </w:tcMar>
            <w:vAlign w:val="center"/>
          </w:tcPr>
          <w:p>
            <w:pPr>
              <w:spacing w:after="0"/>
            </w:pPr>
            <w:r>
              <w:rPr>
                <w:sz w:val="18"/>
              </w:rPr>
              <w:t>0.0000</w:t>
            </w:r>
          </w:p>
        </w:tc>
      </w:tr>
      <w:tr>
        <w:tc>
          <w:tcPr>
            <w:tcW w:type="dxa" w:w="3024"/>
            <w:tcMar>
              <w:top w:w="110" w:type="dxa"/>
              <w:left w:w="110" w:type="dxa"/>
              <w:bottom w:w="110" w:type="dxa"/>
              <w:right w:w="110" w:type="dxa"/>
            </w:tcMar>
            <w:vAlign w:val="center"/>
            <w:shd w:fill="F4F6F7"/>
          </w:tcPr>
          <w:p>
            <w:pPr>
              <w:spacing w:after="0"/>
            </w:pPr>
            <w:r>
              <w:rPr>
                <w:sz w:val="18"/>
              </w:rPr>
              <w:t>Learned fusion</w:t>
            </w:r>
          </w:p>
        </w:tc>
        <w:tc>
          <w:tcPr>
            <w:tcW w:type="dxa" w:w="1584"/>
            <w:tcMar>
              <w:top w:w="110" w:type="dxa"/>
              <w:left w:w="110" w:type="dxa"/>
              <w:bottom w:w="110" w:type="dxa"/>
              <w:right w:w="110" w:type="dxa"/>
            </w:tcMar>
            <w:vAlign w:val="center"/>
            <w:shd w:fill="F4F6F7"/>
          </w:tcPr>
          <w:p>
            <w:pPr>
              <w:spacing w:after="0"/>
            </w:pPr>
            <w:r>
              <w:rPr>
                <w:sz w:val="18"/>
              </w:rPr>
              <w:t>1.0000</w:t>
            </w:r>
          </w:p>
        </w:tc>
        <w:tc>
          <w:tcPr>
            <w:tcW w:type="dxa" w:w="1584"/>
            <w:tcMar>
              <w:top w:w="110" w:type="dxa"/>
              <w:left w:w="110" w:type="dxa"/>
              <w:bottom w:w="110" w:type="dxa"/>
              <w:right w:w="110" w:type="dxa"/>
            </w:tcMar>
            <w:vAlign w:val="center"/>
            <w:shd w:fill="F4F6F7"/>
          </w:tcPr>
          <w:p>
            <w:pPr>
              <w:spacing w:after="0"/>
            </w:pPr>
            <w:r>
              <w:rPr>
                <w:sz w:val="18"/>
              </w:rPr>
              <w:t>1.0000</w:t>
            </w:r>
          </w:p>
        </w:tc>
        <w:tc>
          <w:tcPr>
            <w:tcW w:type="dxa" w:w="1440"/>
            <w:tcMar>
              <w:top w:w="110" w:type="dxa"/>
              <w:left w:w="110" w:type="dxa"/>
              <w:bottom w:w="110" w:type="dxa"/>
              <w:right w:w="110" w:type="dxa"/>
            </w:tcMar>
            <w:vAlign w:val="center"/>
            <w:shd w:fill="F4F6F7"/>
          </w:tcPr>
          <w:p>
            <w:pPr>
              <w:spacing w:after="0"/>
            </w:pPr>
            <w:r>
              <w:rPr>
                <w:sz w:val="18"/>
              </w:rPr>
              <w:t>1.0000</w:t>
            </w:r>
          </w:p>
        </w:tc>
        <w:tc>
          <w:tcPr>
            <w:tcW w:type="dxa" w:w="2088"/>
            <w:tcMar>
              <w:top w:w="110" w:type="dxa"/>
              <w:left w:w="110" w:type="dxa"/>
              <w:bottom w:w="110" w:type="dxa"/>
              <w:right w:w="110" w:type="dxa"/>
            </w:tcMar>
            <w:vAlign w:val="center"/>
            <w:shd w:fill="F4F6F7"/>
          </w:tcPr>
          <w:p>
            <w:pPr>
              <w:spacing w:after="0"/>
            </w:pPr>
            <w:r>
              <w:rPr>
                <w:sz w:val="18"/>
              </w:rPr>
              <w:t>0.0000</w:t>
            </w:r>
          </w:p>
        </w:tc>
      </w:tr>
    </w:tbl>
    <w:p>
      <w:pPr>
        <w:spacing w:after="0"/>
      </w:pPr>
    </w:p>
    <w:p>
      <w:r>
        <w:t>The hybrid result confirms that integration works on the controlled pilot. It must not be presented as expected real-world accuracy because the test set contains only ten synthetic examples. The final protocol uses a balanced 600-case subset based on PAN-PC-11 and independently reviewed negative pairs.</w:t>
      </w:r>
    </w:p>
    <w:p>
      <w:pPr>
        <w:pStyle w:val="Heading2"/>
      </w:pPr>
      <w:r>
        <w:t>Research Dataset Preparation</w:t>
      </w:r>
    </w:p>
    <w:p>
      <w:r>
        <w:t>A tested PAN text and XML adapter validates offsets, extracts source and suspicious passages, filters English documents, balances categories, and assigns deterministic source-grouped splits. The full archive is not included in the repository because it is approximately 1.7 GB and distributed for research use.</w:t>
      </w:r>
    </w:p>
    <w:p>
      <w:pPr>
        <w:pStyle w:val="Heading1"/>
      </w:pPr>
      <w:r>
        <w:t>Verification and Quality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trPr>
        <w:tc>
          <w:tcPr>
            <w:tcW w:type="dxa" w:w="3240"/>
            <w:shd w:fill="173B57"/>
            <w:tcMar>
              <w:top w:w="110" w:type="dxa"/>
              <w:left w:w="110" w:type="dxa"/>
              <w:bottom w:w="110" w:type="dxa"/>
              <w:right w:w="110" w:type="dxa"/>
            </w:tcMar>
            <w:vAlign w:val="center"/>
          </w:tcPr>
          <w:p>
            <w:r>
              <w:rPr>
                <w:b/>
                <w:color w:val="FFFFFF"/>
                <w:sz w:val="18"/>
              </w:rPr>
              <w:t>Verification</w:t>
            </w:r>
          </w:p>
        </w:tc>
        <w:tc>
          <w:tcPr>
            <w:tcW w:type="dxa" w:w="6408"/>
            <w:shd w:fill="173B57"/>
            <w:tcMar>
              <w:top w:w="110" w:type="dxa"/>
              <w:left w:w="110" w:type="dxa"/>
              <w:bottom w:w="110" w:type="dxa"/>
              <w:right w:w="110" w:type="dxa"/>
            </w:tcMar>
            <w:vAlign w:val="center"/>
          </w:tcPr>
          <w:p>
            <w:r>
              <w:rPr>
                <w:b/>
                <w:color w:val="FFFFFF"/>
                <w:sz w:val="18"/>
              </w:rPr>
              <w:t>Result</w:t>
            </w:r>
          </w:p>
        </w:tc>
      </w:tr>
      <w:tr>
        <w:tc>
          <w:tcPr>
            <w:tcW w:type="dxa" w:w="3240"/>
            <w:tcMar>
              <w:top w:w="110" w:type="dxa"/>
              <w:left w:w="110" w:type="dxa"/>
              <w:bottom w:w="110" w:type="dxa"/>
              <w:right w:w="110" w:type="dxa"/>
            </w:tcMar>
            <w:vAlign w:val="center"/>
          </w:tcPr>
          <w:p>
            <w:pPr>
              <w:spacing w:after="0"/>
            </w:pPr>
            <w:r>
              <w:rPr>
                <w:sz w:val="18"/>
              </w:rPr>
              <w:t>Automated Python tests</w:t>
            </w:r>
          </w:p>
        </w:tc>
        <w:tc>
          <w:tcPr>
            <w:tcW w:type="dxa" w:w="6408"/>
            <w:tcMar>
              <w:top w:w="110" w:type="dxa"/>
              <w:left w:w="110" w:type="dxa"/>
              <w:bottom w:w="110" w:type="dxa"/>
              <w:right w:w="110" w:type="dxa"/>
            </w:tcMar>
            <w:vAlign w:val="center"/>
          </w:tcPr>
          <w:p>
            <w:pPr>
              <w:spacing w:after="0"/>
            </w:pPr>
            <w:r>
              <w:rPr>
                <w:sz w:val="18"/>
              </w:rPr>
              <w:t>46 passed before final release checks</w:t>
            </w:r>
          </w:p>
        </w:tc>
      </w:tr>
      <w:tr>
        <w:tc>
          <w:tcPr>
            <w:tcW w:type="dxa" w:w="3240"/>
            <w:tcMar>
              <w:top w:w="110" w:type="dxa"/>
              <w:left w:w="110" w:type="dxa"/>
              <w:bottom w:w="110" w:type="dxa"/>
              <w:right w:w="110" w:type="dxa"/>
            </w:tcMar>
            <w:vAlign w:val="center"/>
            <w:shd w:fill="F4F6F7"/>
          </w:tcPr>
          <w:p>
            <w:pPr>
              <w:spacing w:after="0"/>
            </w:pPr>
            <w:r>
              <w:rPr>
                <w:sz w:val="18"/>
              </w:rPr>
              <w:t>JavaScript syntax</w:t>
            </w:r>
          </w:p>
        </w:tc>
        <w:tc>
          <w:tcPr>
            <w:tcW w:type="dxa" w:w="6408"/>
            <w:tcMar>
              <w:top w:w="110" w:type="dxa"/>
              <w:left w:w="110" w:type="dxa"/>
              <w:bottom w:w="110" w:type="dxa"/>
              <w:right w:w="110" w:type="dxa"/>
            </w:tcMar>
            <w:vAlign w:val="center"/>
            <w:shd w:fill="F4F6F7"/>
          </w:tcPr>
          <w:p>
            <w:pPr>
              <w:spacing w:after="0"/>
            </w:pPr>
            <w:r>
              <w:rPr>
                <w:sz w:val="18"/>
              </w:rPr>
              <w:t>Passed</w:t>
            </w:r>
          </w:p>
        </w:tc>
      </w:tr>
      <w:tr>
        <w:tc>
          <w:tcPr>
            <w:tcW w:type="dxa" w:w="3240"/>
            <w:tcMar>
              <w:top w:w="110" w:type="dxa"/>
              <w:left w:w="110" w:type="dxa"/>
              <w:bottom w:w="110" w:type="dxa"/>
              <w:right w:w="110" w:type="dxa"/>
            </w:tcMar>
            <w:vAlign w:val="center"/>
          </w:tcPr>
          <w:p>
            <w:pPr>
              <w:spacing w:after="0"/>
            </w:pPr>
            <w:r>
              <w:rPr>
                <w:sz w:val="18"/>
              </w:rPr>
              <w:t>Live health endpoint</w:t>
            </w:r>
          </w:p>
        </w:tc>
        <w:tc>
          <w:tcPr>
            <w:tcW w:type="dxa" w:w="6408"/>
            <w:tcMar>
              <w:top w:w="110" w:type="dxa"/>
              <w:left w:w="110" w:type="dxa"/>
              <w:bottom w:w="110" w:type="dxa"/>
              <w:right w:w="110" w:type="dxa"/>
            </w:tcMar>
            <w:vAlign w:val="center"/>
          </w:tcPr>
          <w:p>
            <w:pPr>
              <w:spacing w:after="0"/>
            </w:pPr>
            <w:r>
              <w:rPr>
                <w:sz w:val="18"/>
              </w:rPr>
              <w:t>Version status model availability and thresholds verified</w:t>
            </w:r>
          </w:p>
        </w:tc>
      </w:tr>
      <w:tr>
        <w:tc>
          <w:tcPr>
            <w:tcW w:type="dxa" w:w="3240"/>
            <w:tcMar>
              <w:top w:w="110" w:type="dxa"/>
              <w:left w:w="110" w:type="dxa"/>
              <w:bottom w:w="110" w:type="dxa"/>
              <w:right w:w="110" w:type="dxa"/>
            </w:tcMar>
            <w:vAlign w:val="center"/>
            <w:shd w:fill="F4F6F7"/>
          </w:tcPr>
          <w:p>
            <w:pPr>
              <w:spacing w:after="0"/>
            </w:pPr>
            <w:r>
              <w:rPr>
                <w:sz w:val="18"/>
              </w:rPr>
              <w:t>Live semantic demonstration</w:t>
            </w:r>
          </w:p>
        </w:tc>
        <w:tc>
          <w:tcPr>
            <w:tcW w:type="dxa" w:w="6408"/>
            <w:tcMar>
              <w:top w:w="110" w:type="dxa"/>
              <w:left w:w="110" w:type="dxa"/>
              <w:bottom w:w="110" w:type="dxa"/>
              <w:right w:w="110" w:type="dxa"/>
            </w:tcMar>
            <w:vAlign w:val="center"/>
            <w:shd w:fill="F4F6F7"/>
          </w:tcPr>
          <w:p>
            <w:pPr>
              <w:spacing w:after="0"/>
            </w:pPr>
            <w:r>
              <w:rPr>
                <w:sz w:val="18"/>
              </w:rPr>
              <w:t>Five evidence matches and 68.53 percent overall score</w:t>
            </w:r>
          </w:p>
        </w:tc>
      </w:tr>
      <w:tr>
        <w:tc>
          <w:tcPr>
            <w:tcW w:type="dxa" w:w="3240"/>
            <w:tcMar>
              <w:top w:w="110" w:type="dxa"/>
              <w:left w:w="110" w:type="dxa"/>
              <w:bottom w:w="110" w:type="dxa"/>
              <w:right w:w="110" w:type="dxa"/>
            </w:tcMar>
            <w:vAlign w:val="center"/>
          </w:tcPr>
          <w:p>
            <w:pPr>
              <w:spacing w:after="0"/>
            </w:pPr>
            <w:r>
              <w:rPr>
                <w:sz w:val="18"/>
              </w:rPr>
              <w:t>Word report</w:t>
            </w:r>
          </w:p>
        </w:tc>
        <w:tc>
          <w:tcPr>
            <w:tcW w:type="dxa" w:w="6408"/>
            <w:tcMar>
              <w:top w:w="110" w:type="dxa"/>
              <w:left w:w="110" w:type="dxa"/>
              <w:bottom w:w="110" w:type="dxa"/>
              <w:right w:w="110" w:type="dxa"/>
            </w:tcMar>
            <w:vAlign w:val="center"/>
          </w:tcPr>
          <w:p>
            <w:pPr>
              <w:spacing w:after="0"/>
            </w:pPr>
            <w:r>
              <w:rPr>
                <w:sz w:val="18"/>
              </w:rPr>
              <w:t>Generated downloaded and reopened successfully</w:t>
            </w:r>
          </w:p>
        </w:tc>
      </w:tr>
      <w:tr>
        <w:tc>
          <w:tcPr>
            <w:tcW w:type="dxa" w:w="3240"/>
            <w:tcMar>
              <w:top w:w="110" w:type="dxa"/>
              <w:left w:w="110" w:type="dxa"/>
              <w:bottom w:w="110" w:type="dxa"/>
              <w:right w:w="110" w:type="dxa"/>
            </w:tcMar>
            <w:vAlign w:val="center"/>
            <w:shd w:fill="F4F6F7"/>
          </w:tcPr>
          <w:p>
            <w:pPr>
              <w:spacing w:after="0"/>
            </w:pPr>
            <w:r>
              <w:rPr>
                <w:sz w:val="18"/>
              </w:rPr>
              <w:t>Privacy endpoints</w:t>
            </w:r>
          </w:p>
        </w:tc>
        <w:tc>
          <w:tcPr>
            <w:tcW w:type="dxa" w:w="6408"/>
            <w:tcMar>
              <w:top w:w="110" w:type="dxa"/>
              <w:left w:w="110" w:type="dxa"/>
              <w:bottom w:w="110" w:type="dxa"/>
              <w:right w:w="110" w:type="dxa"/>
            </w:tcMar>
            <w:vAlign w:val="center"/>
            <w:shd w:fill="F4F6F7"/>
          </w:tcPr>
          <w:p>
            <w:pPr>
              <w:spacing w:after="0"/>
            </w:pPr>
            <w:r>
              <w:rPr>
                <w:sz w:val="18"/>
              </w:rPr>
              <w:t>Individual deletion and clear-all behavior verified in isolated API tests</w:t>
            </w:r>
          </w:p>
        </w:tc>
      </w:tr>
      <w:tr>
        <w:tc>
          <w:tcPr>
            <w:tcW w:type="dxa" w:w="3240"/>
            <w:tcMar>
              <w:top w:w="110" w:type="dxa"/>
              <w:left w:w="110" w:type="dxa"/>
              <w:bottom w:w="110" w:type="dxa"/>
              <w:right w:w="110" w:type="dxa"/>
            </w:tcMar>
            <w:vAlign w:val="center"/>
          </w:tcPr>
          <w:p>
            <w:pPr>
              <w:spacing w:after="0"/>
            </w:pPr>
            <w:r>
              <w:rPr>
                <w:sz w:val="18"/>
              </w:rPr>
              <w:t>Edge DOM smoke check</w:t>
            </w:r>
          </w:p>
        </w:tc>
        <w:tc>
          <w:tcPr>
            <w:tcW w:type="dxa" w:w="6408"/>
            <w:tcMar>
              <w:top w:w="110" w:type="dxa"/>
              <w:left w:w="110" w:type="dxa"/>
              <w:bottom w:w="110" w:type="dxa"/>
              <w:right w:w="110" w:type="dxa"/>
            </w:tcMar>
            <w:vAlign w:val="center"/>
          </w:tcPr>
          <w:p>
            <w:pPr>
              <w:spacing w:after="0"/>
            </w:pPr>
            <w:r>
              <w:rPr>
                <w:sz w:val="18"/>
              </w:rPr>
              <w:t>Rendered local application DOM and detected final interface controls</w:t>
            </w:r>
          </w:p>
        </w:tc>
      </w:tr>
    </w:tbl>
    <w:p>
      <w:pPr>
        <w:spacing w:after="0"/>
      </w:pPr>
    </w:p>
    <w:p>
      <w:r>
        <w:br w:type="page"/>
      </w:r>
    </w:p>
    <w:p>
      <w:pPr>
        <w:pStyle w:val="Heading1"/>
      </w:pPr>
      <w:r>
        <w:t>Hardware Suitability</w:t>
      </w:r>
    </w:p>
    <w:p>
      <w:r>
        <w:t>The application can run on the available HP laptop with 4 GB RAM. The low-memory design uses one local process, SQLite, candidate-first semantic scoring, CPU inference, and a small batch size. The semantic benchmark previously observed approximately 503 MB peak process memory in the project environment. Large dataset preparation or model retraining should be performed in a cloud notebook or on a university computer.</w:t>
      </w:r>
    </w:p>
    <w:p>
      <w:pPr>
        <w:pStyle w:val="ListBullet"/>
      </w:pPr>
      <w:r>
        <w:t>Close memory-heavy programs before the first semantic scan.</w:t>
      </w:r>
    </w:p>
    <w:p>
      <w:pPr>
        <w:pStyle w:val="ListBullet"/>
      </w:pPr>
      <w:r>
        <w:t>Keep the local model cache to avoid repeated downloads.</w:t>
      </w:r>
    </w:p>
    <w:p>
      <w:pPr>
        <w:pStyle w:val="ListBullet"/>
      </w:pPr>
      <w:r>
        <w:t>Begin with a few hundred short source documents rather than a very large corpus.</w:t>
      </w:r>
    </w:p>
    <w:p>
      <w:pPr>
        <w:pStyle w:val="ListBullet"/>
      </w:pPr>
      <w:r>
        <w:t>Use the lexical-only mode if the semantic environment is unavailable.</w:t>
      </w:r>
    </w:p>
    <w:p>
      <w:pPr>
        <w:pStyle w:val="Heading1"/>
      </w:pPr>
      <w:r>
        <w:t>Installation and Demonstration</w:t>
      </w:r>
    </w:p>
    <w:p>
      <w:r>
        <w:t>From PowerShell in the project folder:</w:t>
      </w:r>
    </w:p>
    <w:p>
      <w:pPr>
        <w:ind w:left="504"/>
      </w:pPr>
      <w:r>
        <w:rPr>
          <w:rFonts w:ascii="Consolas" w:hAnsi="Consolas"/>
          <w:sz w:val="19"/>
        </w:rPr>
        <w:t>Set-ExecutionPolicy -Scope Process Bypass</w:t>
      </w:r>
    </w:p>
    <w:p>
      <w:pPr>
        <w:ind w:left="504"/>
      </w:pPr>
      <w:r>
        <w:rPr>
          <w:rFonts w:ascii="Consolas" w:hAnsi="Consolas"/>
          <w:sz w:val="19"/>
        </w:rPr>
        <w:t>.\setup.ps1</w:t>
      </w:r>
    </w:p>
    <w:p>
      <w:pPr>
        <w:ind w:left="504"/>
      </w:pPr>
      <w:r>
        <w:rPr>
          <w:rFonts w:ascii="Consolas" w:hAnsi="Consolas"/>
          <w:sz w:val="19"/>
        </w:rPr>
        <w:t>.\run.ps1</w:t>
      </w:r>
    </w:p>
    <w:p>
      <w:r>
        <w:t>Open http://127.0.0.1:8000. Add the three files in lecturer_demo/Corpus, then scan lecturer_demo/Document to Scan/Student Submission Demo.docx. Review the source-attributed matches, reopen the saved scan, and download the Word evidence report.</w:t>
      </w:r>
    </w:p>
    <w:p>
      <w:pPr>
        <w:pStyle w:val="Heading2"/>
      </w:pPr>
      <w:r>
        <w:t>Primary API Endpoints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trPr>
        <w:tc>
          <w:tcPr>
            <w:tcW w:type="dxa" w:w="3528"/>
            <w:shd w:fill="173B57"/>
            <w:tcMar>
              <w:top w:w="110" w:type="dxa"/>
              <w:left w:w="110" w:type="dxa"/>
              <w:bottom w:w="110" w:type="dxa"/>
              <w:right w:w="110" w:type="dxa"/>
            </w:tcMar>
            <w:vAlign w:val="center"/>
          </w:tcPr>
          <w:p>
            <w:r>
              <w:rPr>
                <w:b/>
                <w:color w:val="FFFFFF"/>
                <w:sz w:val="18"/>
              </w:rPr>
              <w:t>Method and path</w:t>
            </w:r>
          </w:p>
        </w:tc>
        <w:tc>
          <w:tcPr>
            <w:tcW w:type="dxa" w:w="6120"/>
            <w:shd w:fill="173B57"/>
            <w:tcMar>
              <w:top w:w="110" w:type="dxa"/>
              <w:left w:w="110" w:type="dxa"/>
              <w:bottom w:w="110" w:type="dxa"/>
              <w:right w:w="110" w:type="dxa"/>
            </w:tcMar>
            <w:vAlign w:val="center"/>
          </w:tcPr>
          <w:p>
            <w:r>
              <w:rPr>
                <w:b/>
                <w:color w:val="FFFFFF"/>
                <w:sz w:val="18"/>
              </w:rPr>
              <w:t>Purpose</w:t>
            </w:r>
          </w:p>
        </w:tc>
      </w:tr>
      <w:tr>
        <w:tc>
          <w:tcPr>
            <w:tcW w:type="dxa" w:w="3528"/>
            <w:tcMar>
              <w:top w:w="110" w:type="dxa"/>
              <w:left w:w="110" w:type="dxa"/>
              <w:bottom w:w="110" w:type="dxa"/>
              <w:right w:w="110" w:type="dxa"/>
            </w:tcMar>
            <w:vAlign w:val="center"/>
          </w:tcPr>
          <w:p>
            <w:pPr>
              <w:spacing w:after="0"/>
            </w:pPr>
            <w:r>
              <w:rPr>
                <w:sz w:val="18"/>
              </w:rPr>
              <w:t>GET /api/health</w:t>
            </w:r>
          </w:p>
        </w:tc>
        <w:tc>
          <w:tcPr>
            <w:tcW w:type="dxa" w:w="6120"/>
            <w:tcMar>
              <w:top w:w="110" w:type="dxa"/>
              <w:left w:w="110" w:type="dxa"/>
              <w:bottom w:w="110" w:type="dxa"/>
              <w:right w:w="110" w:type="dxa"/>
            </w:tcMar>
            <w:vAlign w:val="center"/>
          </w:tcPr>
          <w:p>
            <w:pPr>
              <w:spacing w:after="0"/>
            </w:pPr>
            <w:r>
              <w:rPr>
                <w:sz w:val="18"/>
              </w:rPr>
              <w:t>Application version model status and calibrated thresholds</w:t>
            </w:r>
          </w:p>
        </w:tc>
      </w:tr>
      <w:tr>
        <w:tc>
          <w:tcPr>
            <w:tcW w:type="dxa" w:w="3528"/>
            <w:tcMar>
              <w:top w:w="110" w:type="dxa"/>
              <w:left w:w="110" w:type="dxa"/>
              <w:bottom w:w="110" w:type="dxa"/>
              <w:right w:w="110" w:type="dxa"/>
            </w:tcMar>
            <w:vAlign w:val="center"/>
            <w:shd w:fill="F4F6F7"/>
          </w:tcPr>
          <w:p>
            <w:pPr>
              <w:spacing w:after="0"/>
            </w:pPr>
            <w:r>
              <w:rPr>
                <w:sz w:val="18"/>
              </w:rPr>
              <w:t>POST /api/references</w:t>
            </w:r>
          </w:p>
        </w:tc>
        <w:tc>
          <w:tcPr>
            <w:tcW w:type="dxa" w:w="6120"/>
            <w:tcMar>
              <w:top w:w="110" w:type="dxa"/>
              <w:left w:w="110" w:type="dxa"/>
              <w:bottom w:w="110" w:type="dxa"/>
              <w:right w:w="110" w:type="dxa"/>
            </w:tcMar>
            <w:vAlign w:val="center"/>
            <w:shd w:fill="F4F6F7"/>
          </w:tcPr>
          <w:p>
            <w:pPr>
              <w:spacing w:after="0"/>
            </w:pPr>
            <w:r>
              <w:rPr>
                <w:sz w:val="18"/>
              </w:rPr>
              <w:t>Add a lawful reference document</w:t>
            </w:r>
          </w:p>
        </w:tc>
      </w:tr>
      <w:tr>
        <w:tc>
          <w:tcPr>
            <w:tcW w:type="dxa" w:w="3528"/>
            <w:tcMar>
              <w:top w:w="110" w:type="dxa"/>
              <w:left w:w="110" w:type="dxa"/>
              <w:bottom w:w="110" w:type="dxa"/>
              <w:right w:w="110" w:type="dxa"/>
            </w:tcMar>
            <w:vAlign w:val="center"/>
          </w:tcPr>
          <w:p>
            <w:pPr>
              <w:spacing w:after="0"/>
            </w:pPr>
            <w:r>
              <w:rPr>
                <w:sz w:val="18"/>
              </w:rPr>
              <w:t>POST /api/scan</w:t>
            </w:r>
          </w:p>
        </w:tc>
        <w:tc>
          <w:tcPr>
            <w:tcW w:type="dxa" w:w="6120"/>
            <w:tcMar>
              <w:top w:w="110" w:type="dxa"/>
              <w:left w:w="110" w:type="dxa"/>
              <w:bottom w:w="110" w:type="dxa"/>
              <w:right w:w="110" w:type="dxa"/>
            </w:tcMar>
            <w:vAlign w:val="center"/>
          </w:tcPr>
          <w:p>
            <w:pPr>
              <w:spacing w:after="0"/>
            </w:pPr>
            <w:r>
              <w:rPr>
                <w:sz w:val="18"/>
              </w:rPr>
              <w:t>Analyse one submitted document and save its evidence</w:t>
            </w:r>
          </w:p>
        </w:tc>
      </w:tr>
      <w:tr>
        <w:tc>
          <w:tcPr>
            <w:tcW w:type="dxa" w:w="3528"/>
            <w:tcMar>
              <w:top w:w="110" w:type="dxa"/>
              <w:left w:w="110" w:type="dxa"/>
              <w:bottom w:w="110" w:type="dxa"/>
              <w:right w:w="110" w:type="dxa"/>
            </w:tcMar>
            <w:vAlign w:val="center"/>
            <w:shd w:fill="F4F6F7"/>
          </w:tcPr>
          <w:p>
            <w:pPr>
              <w:spacing w:after="0"/>
            </w:pPr>
            <w:r>
              <w:rPr>
                <w:sz w:val="18"/>
              </w:rPr>
              <w:t>GET /api/scans</w:t>
            </w:r>
          </w:p>
        </w:tc>
        <w:tc>
          <w:tcPr>
            <w:tcW w:type="dxa" w:w="6120"/>
            <w:tcMar>
              <w:top w:w="110" w:type="dxa"/>
              <w:left w:w="110" w:type="dxa"/>
              <w:bottom w:w="110" w:type="dxa"/>
              <w:right w:w="110" w:type="dxa"/>
            </w:tcMar>
            <w:vAlign w:val="center"/>
            <w:shd w:fill="F4F6F7"/>
          </w:tcPr>
          <w:p>
            <w:pPr>
              <w:spacing w:after="0"/>
            </w:pPr>
            <w:r>
              <w:rPr>
                <w:sz w:val="18"/>
              </w:rPr>
              <w:t>List recent saved scans</w:t>
            </w:r>
          </w:p>
        </w:tc>
      </w:tr>
      <w:tr>
        <w:tc>
          <w:tcPr>
            <w:tcW w:type="dxa" w:w="3528"/>
            <w:tcMar>
              <w:top w:w="110" w:type="dxa"/>
              <w:left w:w="110" w:type="dxa"/>
              <w:bottom w:w="110" w:type="dxa"/>
              <w:right w:w="110" w:type="dxa"/>
            </w:tcMar>
            <w:vAlign w:val="center"/>
          </w:tcPr>
          <w:p>
            <w:pPr>
              <w:spacing w:after="0"/>
            </w:pPr>
            <w:r>
              <w:rPr>
                <w:sz w:val="18"/>
              </w:rPr>
              <w:t>GET /api/scans/{id}/report</w:t>
            </w:r>
          </w:p>
        </w:tc>
        <w:tc>
          <w:tcPr>
            <w:tcW w:type="dxa" w:w="6120"/>
            <w:tcMar>
              <w:top w:w="110" w:type="dxa"/>
              <w:left w:w="110" w:type="dxa"/>
              <w:bottom w:w="110" w:type="dxa"/>
              <w:right w:w="110" w:type="dxa"/>
            </w:tcMar>
            <w:vAlign w:val="center"/>
          </w:tcPr>
          <w:p>
            <w:pPr>
              <w:spacing w:after="0"/>
            </w:pPr>
            <w:r>
              <w:rPr>
                <w:sz w:val="18"/>
              </w:rPr>
              <w:t>Download a Microsoft Word evidence report</w:t>
            </w:r>
          </w:p>
        </w:tc>
      </w:tr>
      <w:tr>
        <w:tc>
          <w:tcPr>
            <w:tcW w:type="dxa" w:w="3528"/>
            <w:tcMar>
              <w:top w:w="110" w:type="dxa"/>
              <w:left w:w="110" w:type="dxa"/>
              <w:bottom w:w="110" w:type="dxa"/>
              <w:right w:w="110" w:type="dxa"/>
            </w:tcMar>
            <w:vAlign w:val="center"/>
            <w:shd w:fill="F4F6F7"/>
          </w:tcPr>
          <w:p>
            <w:pPr>
              <w:spacing w:after="0"/>
            </w:pPr>
            <w:r>
              <w:rPr>
                <w:sz w:val="18"/>
              </w:rPr>
              <w:t>DELETE /api/scans/{id}</w:t>
            </w:r>
          </w:p>
        </w:tc>
        <w:tc>
          <w:tcPr>
            <w:tcW w:type="dxa" w:w="6120"/>
            <w:tcMar>
              <w:top w:w="110" w:type="dxa"/>
              <w:left w:w="110" w:type="dxa"/>
              <w:bottom w:w="110" w:type="dxa"/>
              <w:right w:w="110" w:type="dxa"/>
            </w:tcMar>
            <w:vAlign w:val="center"/>
            <w:shd w:fill="F4F6F7"/>
          </w:tcPr>
          <w:p>
            <w:pPr>
              <w:spacing w:after="0"/>
            </w:pPr>
            <w:r>
              <w:rPr>
                <w:sz w:val="18"/>
              </w:rPr>
              <w:t>Delete one saved scan</w:t>
            </w:r>
          </w:p>
        </w:tc>
      </w:tr>
      <w:tr>
        <w:tc>
          <w:tcPr>
            <w:tcW w:type="dxa" w:w="3528"/>
            <w:tcMar>
              <w:top w:w="110" w:type="dxa"/>
              <w:left w:w="110" w:type="dxa"/>
              <w:bottom w:w="110" w:type="dxa"/>
              <w:right w:w="110" w:type="dxa"/>
            </w:tcMar>
            <w:vAlign w:val="center"/>
          </w:tcPr>
          <w:p>
            <w:pPr>
              <w:spacing w:after="0"/>
            </w:pPr>
            <w:r>
              <w:rPr>
                <w:sz w:val="18"/>
              </w:rPr>
              <w:t>DELETE /api/scans</w:t>
            </w:r>
          </w:p>
        </w:tc>
        <w:tc>
          <w:tcPr>
            <w:tcW w:type="dxa" w:w="6120"/>
            <w:tcMar>
              <w:top w:w="110" w:type="dxa"/>
              <w:left w:w="110" w:type="dxa"/>
              <w:bottom w:w="110" w:type="dxa"/>
              <w:right w:w="110" w:type="dxa"/>
            </w:tcMar>
            <w:vAlign w:val="center"/>
          </w:tcPr>
          <w:p>
            <w:pPr>
              <w:spacing w:after="0"/>
            </w:pPr>
            <w:r>
              <w:rPr>
                <w:sz w:val="18"/>
              </w:rPr>
              <w:t>Clear all saved scan history</w:t>
            </w:r>
          </w:p>
        </w:tc>
      </w:tr>
    </w:tbl>
    <w:p>
      <w:pPr>
        <w:spacing w:after="0"/>
      </w:pPr>
    </w:p>
    <w:p>
      <w:r>
        <w:br w:type="page"/>
      </w:r>
    </w:p>
    <w:p>
      <w:pPr>
        <w:pStyle w:val="Heading1"/>
      </w:pPr>
      <w:r>
        <w:t>Limitations and Remaining Research Work</w:t>
      </w:r>
    </w:p>
    <w:p>
      <w:pPr>
        <w:pStyle w:val="ListBullet"/>
      </w:pPr>
      <w:r>
        <w:t>The corpus is local and defined by the user; the system does not search the public internet.</w:t>
      </w:r>
    </w:p>
    <w:p>
      <w:pPr>
        <w:pStyle w:val="ListBullet"/>
      </w:pPr>
      <w:r>
        <w:t>Image-only scanned PDFs require OCR, which is not included in this lightweight release.</w:t>
      </w:r>
    </w:p>
    <w:p>
      <w:pPr>
        <w:pStyle w:val="ListBullet"/>
      </w:pPr>
      <w:r>
        <w:t>The citation and quotation rules are explainable heuristics and may need discipline-specific extensions.</w:t>
      </w:r>
    </w:p>
    <w:p>
      <w:pPr>
        <w:pStyle w:val="ListBullet"/>
      </w:pPr>
      <w:r>
        <w:t>The current application is single-user localhost software and has no authentication.</w:t>
      </w:r>
    </w:p>
    <w:p>
      <w:pPr>
        <w:pStyle w:val="ListBullet"/>
      </w:pPr>
      <w:r>
        <w:t>The pilot dataset is too small for final effectiveness claims.</w:t>
      </w:r>
    </w:p>
    <w:p>
      <w:pPr>
        <w:pStyle w:val="ListBullet"/>
      </w:pPr>
      <w:r>
        <w:t>The expanded PAN-PC-11 evaluation, independent review, final charts, and final dissertation tables remain required research activities.</w:t>
      </w:r>
    </w:p>
    <w:p>
      <w:pPr>
        <w:pStyle w:val="ListBullet"/>
      </w:pPr>
      <w:r>
        <w:t>A manual visual workflow check in Chrome and Edge and a clean-account installation check should be completed before submission day.</w:t>
      </w:r>
    </w:p>
    <w:p>
      <w:pPr>
        <w:pStyle w:val="Heading1"/>
      </w:pPr>
      <w:r>
        <w:t>Conclusion</w:t>
      </w:r>
    </w:p>
    <w:p>
      <w:r>
        <w:t>Proofline has progressed from an initial idea to a tested explainable plagiarism-detection prototype. It accepts common academic document formats, compares passages using lexical and semantic evidence, handles cited quotations transparently, saves review history, and produces lecturer-ready Word reports. Its architecture and evaluation pipeline are suitable for a final-year computer science project because the implementation is functional while the research limitations remain explicit and measurable.</w:t>
      </w:r>
    </w:p>
    <w:p>
      <w:pPr>
        <w:pStyle w:val="Heading1"/>
      </w:pPr>
      <w:r>
        <w:t>References and Project Evidence</w:t>
      </w:r>
    </w:p>
    <w:p>
      <w:pPr>
        <w:pStyle w:val="ListBullet"/>
      </w:pPr>
      <w:r>
        <w:t>PAN at CLEF 2011 External Plagiarism Detection task specification. https://pan.webis.de/clef11/pan11-web/external-plagiarism-detection.html</w:t>
      </w:r>
    </w:p>
    <w:p>
      <w:pPr>
        <w:pStyle w:val="ListBullet"/>
      </w:pPr>
      <w:r>
        <w:t>PAN Plagiarism Corpus 2011. Zenodo. DOI 10.5281/zenodo.3250095.</w:t>
      </w:r>
    </w:p>
    <w:p>
      <w:pPr>
        <w:pStyle w:val="ListBullet"/>
      </w:pPr>
      <w:r>
        <w:t>Sentence Transformers model sentence-transformers/all-MiniLM-L6-v2.</w:t>
      </w:r>
    </w:p>
    <w:p>
      <w:pPr>
        <w:pStyle w:val="ListBullet"/>
      </w:pPr>
      <w:r>
        <w:t>Internal evidence: PROJECT_TRACKER.md evaluation/CALIBRATION_RESULTS.md evaluation/DATASET_PLAN.md docs/ARCHITECTURE.md and docs/PRIVACY.md.</w:t>
      </w:r>
    </w:p>
    <w:sectPr w:rsidR="00FC693F" w:rsidRPr="0006063C" w:rsidSect="00034616">
      <w:footerReference w:type="default" r:id="rId9"/>
      <w:pgSz w:w="12240" w:h="15840"/>
      <w:pgMar w:top="1123"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9"/>
        <w:sz w:val="16"/>
      </w:rPr>
      <w:t xml:space="preserve">Proofline Technical Report   |   Page </w:t>
    </w:r>
    <w:r>
      <w:rPr>
        <w:color w:val="5A6469"/>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Proofline Final Project Technical Report</dc:title>
  <dc:subject>Explainable hybrid plagiarism detection final year project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