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 Core Ultra NPU Üzerinde Graph Neural Network (GNN) İş Yüklerinin Yürütülmesi ve Karşılaştırmalı Analizi: Kapsamlı Literatür İncelemesi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GNN MODELLERİ VE MİMARİLERİ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Çizge Sinir Ağları (Graph Neural Networks - GNN), düğümler (nodes) ve kenarlardan (edges) oluşan, Öklidyen olmayan (non-Euclidean) düzensiz veri yapılarındaki karmaşık ilişkileri modellemek için tasarlanmış derin öğrenme mimarileridir.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Geleneksel Evrişimli Sinir Ağları (CNN) düzenli piksel matrisleri üzerinde, tekrarlayan dizilim modelleri (RNN) ise ardışık zaman serileri üzerinde çalışırken; GNN'ler sosyal ağlar, moleküler yapılar, ulaşım ağları, tavsiye sistemleri ve bilgi grafları gibi boyutları ve bağlantı dereceleri homojen olmayan veri kümelerinde yüksek performans göstermektedir.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 mimarilerin merkezinde, her bir düğümün kendi yerel komşularından gelen bilgileri toplayıp (aggregation) kendi mevcut öznitelikleriyle birleştirdiği (combination) çok aşamalı mesaj iletme (message passing) mekanizması yatmaktadır. Bu mekanizma, çizge yapısının topolojik özelliklerinin ve düğüm özniteliklerinin aynı anda öğrenilmesini olanaklı kılar.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Temel GNN Modelleri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Alanın temelini oluşturan mimariler, mesaj iletme ve komşu birleştirme fonksiyonlarının matematiksel formülasyonlarına, ölçeklenebilirlik yaklaşımlarına ve öğrenme paradigmalarına göre farklılık göstermektedir. Graph Convolutional Network (GCN), komşu düğümlerin özniteliklerini spektral çizge teorisine dayanarak, normalize edilmiş bir komşuluk matrisi üzerinden toplar.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GCN katmanlarının matematiksel temeli, yerel komşulukların doğrusal dönüşümü ve ardından uygulanan ReLU gibi doğrusal olmayan aktivasyon fonksiyonlarına dayanır. Ancak, çok sayıda GCN katmanının üst üste eklenmesi, literatürde "aşırı pürüzsüzleştirme" (over-smoothing) olarak bilinen kritik bir probleme yol açmaktadır; bu durumda çizgedeki farklı düğümlerin öznitelik vektörleri birbirine çok benzeyerek ayırt edilemez hale gelir ve modelin sınıflandırma kapasitesi dramatik ölçüde düşer.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Graph Attention Network (GAT), GCN'nin sabit normalizasyon katsayıları yerine, komşular arasındaki ilişkilerin önemini dinamik olarak öğrenen bir dikkat (attention) mekanizması kullanır.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Bu mekanizma, her bir kenar için hesaplanan dikkat skorları üzerinden komşu düğümlerin ağırlıklı ortalamasının alınmasını sağlar. Dikkat katsayılarının hesaplanması, modele üstün bir ifade gücü kazandırsa da, özellikle donanım üzerinde düzensiz bellek erişimlerine ek olarak yüksek hesaplama yükü (her kenar için uygulanan ardışık softmax operasyonları) getirmektedir.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GraphSAGE (Graph Sample and Aggregate), eğitim sırasında tüm grafı belleğe yükleme (transductive learning) zorunluluğunu ortadan kaldırarak düğüm örnekleme (node sampling) stratejisini benimseyen endüktif (inductive) bir mimaridir. Rastgele seçilmiş komşu alt kümeleri üzerinden ortalama (mean), havuzlama (pooling) veya LSTM tabanlı birleştirme fonksiyonları uygulayarak, daha önce görülmemiş düğümlerin veya devasa ölçekli grafların işlenmesini ölçeklenebilir hale getirir.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Graph Isomorphism Network (GIN), Weisfeiler-Lehman çizge izomorfizm testi ile aynı dışavurum (expressive) gücüne sahip olduğunu teorik olarak kanıtlayan, komşu özniteliklerinin toplanması aşamasında injektif fonksiyonları ve Çok Katmanlı Algılayıcıları (MLP) merkeze alan bir mimaridir. GIN, özellikle çizge seviyesinde sınıflandırma (graph classification) görevlerinde karmaşık yapısal desenleri yakalama kapasitesiyle öne çıkar.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Simplified Graph Convolution (SGC) ise, GCN mimarisindeki çoklu katmanlar arasındaki doğrusal olmayan dönüşümleri tamamen kaldırarak ve ardışık ağırlık matrislerini tek bir doğrusal dönüşümde birleştirerek hesaplama karmaşıklığını ciddi şekilde düşürür. Bu model, grafik evrişim matrisinin K'ncı kuvvetini hesaplayarak daha yüksek dereceden bilgileri tek bir adımda yakalar. Bu yapısal basitleştirme, GNN hesaplamasını, NPU gibi matris çarpım donanımlarında yürütülmesi çok daha verimli olan yoğun matris işlemlerine indirger.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Hafif ve Edge-Uyumlu GNN Varyantları</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Sınır bilişim (edge computing) cihazlarında, IoT terminal birimlerinde, akıllı telefonlarda ve uç sunucularda bellek bant genişliği, güç tüketimi ve işlem kapasitesi sınırlamaları nedeniyle devasa GNN modellerinin doğrudan dağıtımı büyük teknik engeller barındırır.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Bu engelleri aşmak için 2022-2025 yılları arasında literatürde "hafif" (lightweight) GNN mimarileri ivme kazanmıştır. Örneğin, tavsiye sistemlerinde (recommendation systems) ve e-ticaret platformlarında sıklıkla kullanılan LightGCN, standart GCN'deki özellik dönüşümü (feature transformation) ağırlık matrislerini ve doğrusal olmayan aktivasyon fonksiyonlarını tamamen devreden çıkarır.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Yalnızca normalize edilmiş komşuluk toplama (neighborhood aggregation) işlemini gerçekleştiren LightGCN, model parametre sayısını ve yoğun matris çarpım operasyonlarını dramatik ölçüde azaltırken, bağlantı tahmini (link prediction) görevlerinde temel modellere denk veya daha üstün başarım gösterir.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LightGNN ve TinyGNN gibi modern mimariler, büyük ve karmaşık "öğretmen" (teacher) GNN modellerinin "bilgi damıtma" (knowledge distillation) veya adaptif ağ budama (network pruning) yöntemleriyle kaynak-kısıtlı cihazlar için küçültülmesini hedefler.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LightGNN, işbirliğine dayalı modelleme (collaboration modeling) yeteneklerini korurken, hesaplama açısından maliyetli veya yedekli (redundant) kenarları ve yerleştirme (embedding) girişlerini dinamik olarak belirleyip kaldırır. Bu donanım farkındalıklı model sıkıştırması, uç cihazlarda gerçek zamanlı işlem yeteneğini maksimize eder.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Özellikle pil ömrünün kritik olduğu platformlarda, işlemci başına düşen watt başına performansın optimize edilmesi için bu tür parametresiz veya düşük Kayan Nokta Operasyonu (FLOP) değerlerine sahip mimariler hayati önem taşır.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GNN Operasyonlarının Hesaplama Profili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GNN hesaplamaları donanım seviyesinde incelendiğinde, mesaj iletme ve özellik dönüştürme fazlarının birbirine zıt iki farklı matris profiline sahip olduğu görülür: Seyrek (Sparse) ve Yoğun (Dense) profiller. Düğüm özelliklerini barındıran Özellik Matrisi (Feature Matrix) yoğun iken, düğümler arasındaki topolojik bağlantıları temsil eden Komşuluk Matrisi (Adjacency Matrix) genellikle aşırı derecede seyrektir.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GNN mesaj iletme aşaması, donanım düzeyinde bir Seyrek Matris-Yoğun Matris Çarpımı (Sparse Matrix-Dense Matrix Multiplication - SpMM) problemi olarak formüle edilir. Bu aşamada komşuluk matrisindeki yapısal düzensizlik, yüksek performanslı hızlandırıcılardaki önbellek (cache) isabet oranlarını minimuma indirir ve ana belleğe (DRAM) pahalı, ardışık olmayan rastgele erişimler gerektirir.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İkinci aşama olan düğüm özelliklerinin çok katmanlı algılayıcılar üzerinden dönüştürülmesi işlemi ise standart bir Yoğun Matris-Yoğun Matris Çarpımı (GEMM) olup, NPU veya GPU gibi sistolik dizilere sahip paralelleştirilmiş hızlandırıcılar için son derece uygundur.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Seyrek hesaplamaların yarattığı rastgele bellek okuma paternlerinin, donanımların "Dense TOPS" (Yoğun Tera Operasyon/Saniye) kapasitelerini tam olarak kullanamamasına neden olduğu ve sistemde ciddi bir veri hareketi (data movement) darboğazı yarattığı endüstriyel raporlarda sıkça vurgulanmaktadır.</w:t>
      </w:r>
      <w:r w:rsidDel="00000000" w:rsidR="00000000" w:rsidRPr="00000000">
        <w:rPr>
          <w:rFonts w:ascii="Google Sans" w:cs="Google Sans" w:eastAsia="Google Sans" w:hAnsi="Google Sans"/>
          <w:color w:val="444746"/>
          <w:sz w:val="24"/>
          <w:szCs w:val="24"/>
          <w:vertAlign w:val="superscript"/>
          <w:rtl w:val="0"/>
        </w:rPr>
        <w:t xml:space="preserve">19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Operasyon Aşaması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Matematiksel Karşılığı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Hesaplama Karakteristiği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Donanımsal Darboğaz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Toplama (Aggregation)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331081" cy="22580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31081" cy="2258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(SpMM)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Düzensiz, rastgele bellek erişimi, seyrek mantık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Bellek bant genişliği, önbellek ıskalamaları, düşük kullanım (utilization)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Dönüştürme (Combination)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708175" cy="22696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08175" cy="2269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(GEMM)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Düzenli, ardışık bellek erişimi, yüksek aritmetik yoğunluk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Hesaplama kapasitesi, MAC birim sınırları</w:t>
            </w:r>
          </w:p>
        </w:tc>
      </w:tr>
    </w:tbl>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Alanın Kurucu ve Güncel Çalışmaları ile Araştırma Boşlukları</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Çizge sinir ağları alanının temelini oluşturan kurucu makaleler incelendiğinde, Kipf ve Welling tarafından geliştirilen GCN modeli, çizge evrişim ağlarının spektral temellerini atarak düğüm sınıflandırma görevlerinde bir devrim yaratmıştır.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Ardından Veličković ve arkadaşları tarafından sunulan GAT modeli, dikkat mekanizmasının çizge yapılarına adaptasyonunu sağlamış; Hamilton ve ekibinin GraphSAGE çalışması ise komşu örnekleme yöntemiyle endüktif öğrenmenin kapılarını aralamıştır.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Xu ve arkadaşlarının GIN üzerine yaptığı teorik çalışmalar, GNN'lerin dışavurum gücünü Weisfeiler-Lehman izomorfizm testi bağlamında matematiksel olarak temellendirmiştir.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Bu kurucu eserlerin ardından 2022-2025 yılları arasındaki güncel çalışmalar, GNN'lerin donanım farkındalıklı sıkıştırılması ve Graph Transformer (GT) mimarileriyle kıyaslanması ekseninde ilerlemiştir. Örneğin Luo ve ekibi tarafından 2024 yılında yayımlanan kapsamlı bir ampirik analiz, klasik GCN, GAT ve GIN modellerinin uygun hiperparametre optimizasyonu ile modern Graph Transformer mimarilerine denk veya 18 veri setinin 17'sinde daha üstün performans gösterebildiğini, üstelik bunu çok daha düşük bir hesaplama maliyetiyle başardığını kanıtlamıştır.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LightGNN gibi çağdaş mimariler ise, bilgi damıtma ve adaptif kenar budama yöntemlerini birleştirerek uç cihazlarda GNN kullanımını demokratikleştiren yeni çerçeveler sunmuştur.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yoğun araştırma faaliyetlerine rağmen literatürde kritik araştırma boşlukları mevcuttur. En büyük boşluk, donanım mimarileriyle GNN algoritmaları arasındaki yapısal uyuşmazlığın (mismatch) henüz tam anlamıyla giderilememiş olmasıdır. Çok derin GNN mimarilerinde aşırı pürüzsüzleştirme sorununu çözmek için ağa eklenen kalıntı bağlantıların (residual connections) ve düğüm derecesine dayalı normalizasyon katmanlarının, donanım hızlandırıcılardaki deterministik bellek erişim şablonlarını nasıl bozduğu ve bu bozulmanın NPU derleyicileri tarafından nasıl telafi edileceği belirsizdir.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Ek olarak, otonom sürüş sistemleri veya finansal dolandırıcılık tespiti gibi dinamik grafik (dynamic graphs) ortamlarında kenar ve düğümlerin milisaniyeler içinde değiştiği durumlarda, önceden hesaplanmış seyrek erişim indekslerinin NPU bellek hiyerarşisinde asenkron olarak nasıl güncellenebileceği, alanın yanıt bekleyen en zorlu teorik ve pratik sorularından biridir.</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NPU VE EDGE AI DONANIM MİMARİLERİ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Derin öğrenme modellerinin mobil telefonlar, kişisel bilgisayarlar ve endüstriyel sensörler gibi uç cihazlarda (edge devices) enerji verimli ve düşük gecikmeli çalıştırılabilmesi için özel olarak tasarlanmış donanımlar, yapay zeka ivmelendirme ekosisteminin merkezine yerleşmiştir. Nöral İşlem Birimleri (NPU), geleneksel Von Neumann mimarisinin bellek-işlemci darboğazını hafifletmeyi amaçlayan özelleştirilmiş donanım (ASIC/IP) tasarımlarıyla CPU ve GPU'lardan kesin çizgilerle ayrılır.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Genel NPU Mimarileri ve Tasarım Felsefesi</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NPU tasarım felsefesinin kökeninde, yapay zeka algoritmalarının temelini oluşturan devasa matris ve vektör çarpım-birikim (Multiply-Accumulate - MAC) işlemlerini enerji-etkin şekilde donanım düzeyinde gerçekleştirmek yatar.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CPU'lar düşük gecikmeli, sıralı ve karmaşık dallanma barındıran genel amaçlı mantık işlemlerine odaklanırken; GPU'lar yüksek paralel akış işlemcileriyle (streaming multiprocessors) grafik oluşturma ve bulut tabanlı yapay zeka eğitim görevlerini yürütmekte başarılıdır. Ancak GPU'ların eşzamanlı veri yönetimi ve yüksek bant genişliği ihtiyacı, uç cihazlar için hayati olan güç tüketimi (watt başına performans) metriklerini olumsuz etkiler.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NPU'lar, doğrudan matris matematiği için tasarlanmış uzaysal donanım birimlerine (sistolik diziler - systolic arrays), modele özgü ağırlıkları ve ara aktivasyonları yongada (on-chip) tutmak için yüksek hızlı entegre belleklere (SRAM / Scratchpad RAM) ve veriyi ana bellekten (DRAM) hesaplama birimlerine CPU'yu meşgul etmeden doğrudan taşıyan otonom Doğrudan Bellek Erişim (DMA) motorlarına sahiptir.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Bu sıkı entegre mimari, bellek erişim gecikmelerini minimize ederken, verinin çip dışına gidip gelmesinden doğan devasa güç tüketimini kökten azaltır.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 Core Ultra NPU Mimarisi (Meteor Lake / Lunar Lake)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Intel'in kişisel bilgisayar platformuna "AI PC" vizyonuyla yapay zekayı entegre etme stratejisi, Meteor Lake (Core Ultra Seri 1) ve Lunar Lake (Core Ultra Seri 2 - 200V serisi) işlemcileriyle donanımsal bir evrim geçirmiştir.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Meteor Lake içerisinde yer alan ilk nesil entegre NPU (NPU 3 mimarisi), Intel'in monolitik silikondan ayrıştırılmış çiplet (Multi-Chip Module) tasarımına geçişinin öncüsü olmuştur. Bu donanım, içerisinde iki adet Nöral Hesaplama Motoru (Neural Compute Engine - NCE) barındırmaktaydı. Her bir NCE, doğrudan matris çarpımları için MAC dizilimleri, aktivasyon fonksiyonları donanımı ve genel amaçlı karmaşık paralel hesaplamalar için Streaming Hybrid Architecture Vector Engine (SHAVE) adı verilen özel DSP birimleri içeriyordu. Toplamda 4096 MAC ile donatılan NPU 3, yaklaşık 10-11 INT8 TOPS hesaplama kapasitesi sunarak temel Windows Studio Effects ve hafif çıkarım görevleri için yeterli bir platform oluşturmuştur.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2024 yılının üçüncü çeyreğinde piyasaya sürülen Lunar Lake mimarisi (NPU 4), Microsoft'un yeni nesil yerel dil modeli çıkarımını hedefleyen Copilot+ AI PC gereksinimlerini (en az 40 TOPS NPU şartı) karşılamak üzere devasa bir sıçrama gerçekleştirmiştir.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NPU 4 mimarisi, donanımsal NCE sayısını 2'den 6'ya çıkarmış, çekirdek frekanslarını artırmış ve döngü başına MAC işleme kapasitesini üç katından fazla artırarak 12.000 MAC seviyesine ulaştırmıştır. Sonuç olarak, Lunar Lake işlemcileri sadece NPU üzerinden 48 INT8 TOPS, platform genelinde (Yeni nesil Lion Cove P-Core'lar, Skymont E-Core'lar ve Battlemage Xe2 GPU dahil) 120 TOPS yapay zeka performansı verebilmektedir.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Lunar Lake NPU 4 mimarisindeki en kritik geliştirmeler, GNN gibi zorlu ve bellek kısıtlı (memory-bound) iş yükleri için hayati önem taşıyan veri yolu revizyonlarıdır. SHAVE DSP'lerinin vektör performansı 4 kat artırılmış ve bu DSP'ler 512-bit genişliğinde vektör kayıt dosyası (vector register file) boyutuna sahip olacak şekilde güçlendirilmiştir.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Bu, geleneksel MAC birimlerinin desteklemediği doğrusal olmayan GNN aktivasyonlarının ve komşuluk birleştirme fonksiyonlarının donanımda çok daha hızlı yürütülmesini sağlar. Sistem bellek yönetimini iyileştirmek için, dışarıdaki anakarta lehimli bellekler yerine doğrudan pakete entegre (memory-on-package) edilmiş 32 GB'a kadar LPDDR5X-8533 RAM kullanılmıştır. Fiziksel sinyal hatlarının kısalması PHY güç tüketimini %40 oranında düşürmüştür.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Ek olarak, NPU'nun doğrudan erişebildiği yeni bir 8MB Özel Bellek Tarafı Önbelleği (Memory Side Cache) eklenmiştir.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GNN'lerin SpMM işlemleri sırasında ihtiyaç duyduğu dağınık düğüm öznitelikleri, DRAM yerine bu 8MB'lık SRAM önbelleğinden çekilerek rastgele bellek erişimi maliyetlerini dramatik olarak telafi eder.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DNN Accelerator'ların GNN İçin Sınırlılıkları</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TPU veya genel amaçlı NPU'lar gibi geleneksel Derin Sinir Ağı (DNN) hızlandırıcıları, CNN'lerdeki görüntü pikselleri veya LLM'lerdeki ardışık kelime gömmeleri gibi yoğun (dense) ve son derece düzenli yapıdaki tensör işlemleri için tasarlanmıştır.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GNN iş yükleri ise, gerçek dünyadaki seyrek (sparse) graf yapılarının doğası gereği doğrusal olmayan, tahmin edilemez bellek erişim izleri bırakır. NPU donanımındaki bir mesaj iletme aşamasında, bitişik olmayan bellek adreslerinden sürekli veri getirilmesi gerekir. Bir sistolik dizi MAC birimi, verilerin düzenli ve bitişik dalgalar halinde aktarılmasını bekler; ancak SpMM işlemi sırasında ihtiyaç duyulan komşu düğüm verilerinin önbellekte bulunamaması (cache miss) nedeniyle önbellek thrashing (sürekli veri atılıp yenisinin yüklenmesi) yaşanır ve pahalı donanım döngüleri boşta kalarak kilitlenir (pipeline stall).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Buna ek olarak, bir grafın topolojisi genellikle güç yasası (power-law) dağılımı sergiler; yani bazı merkez düğümler (hubs) binlerce kenara sahipken, düğümlerin büyük çoğunluğunun tek veya iki bağlantısı bulunur. Donanım hızlandırıcıları matrisleri sabit bloklar halinde işlediği için, bu dengesiz derece dağılımı donanım Paralel İşlem Elemanları (PE) arasında devasa iş yükü dengesizliklerine yol açar. Bir PE binlerce komşuyu toplamaya çalışırken diğer PE'ler boşta bekler. Bu durum, teorik olarak saniyede trilyonlarca işlem yapabilen standart DNN hızlandırıcıların GNN çalıştırırken pratik kullanım oranını (hardware utilization) %10 ila %20 seviyelerine kadar düşürebilir.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Alanın Kurucu ve Güncel Çalışmaları ile Araştırma Boşlukları</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NPU ve hızlandırıcı mimarileri alanındaki kurucu çalışmalar incelendiğinde, Google'ın TPU mikro-mimari tasarımını ve sistolik dizilerin derin öğrenme performansına etkisini detaylandıran makaleler (Jouppi vd., 2017) donanım devriminin mihenk taşı kabul edilir. Daha sonra GNN ve DNN iş yüklerinin birbirine zıt karakteristiğini çözümleyen ve her iki algoritma türünün donanımsal ihtiyaçlarını harmanlayan hibrit mimari yaklaşımlarının (örneğin GRIP mimarisi) temelini atan çalışmalar, bu alandaki ilk kısıtlılık analizlerini sunmuştur.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2022-2025 dönemi güncel çalışmaları ise daha çok son kullanıcıya ulaşan COTS (ticari raf ürünü) mimarilerin anatomisini çıkarmaya odaklanmıştır. Intel'in Tech Tour 2024 sunumları ve bağımsız teknoloji incelemeleri, Lunar Lake NPU 4 içindeki geliştirilmiş 12K MAC dizilimlerinin ve SHAVE DSP birimlerinin spesifik olarak Transformer ve GNN vektör yüklerini nasıl hızlandırdığını, LPDDR5X pakete entegre belleğin enerji analizlerini Roofline modelleriyle ortaya koymuştur.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etkileyici donanım inovasyonlarına karşın, NPU mimarileri GNN çıkarımı bağlamında hala ciddi araştırma boşlukları barındırmaktadır. En belirgin sorun, GNN'lerdeki rastgele bellek erişim paternlerini doğrudan silikon seviyesinde hızlandıracak "Seyrek Tensör Çekirdekleri" (Sparse Tensor Cores) yapısının ticari uç birim cihazlara enerji verimli bir şekilde henüz entegre edilememiş olmasıdır. Qualcomm ve Intel gibi üreticiler "Sparse TOPS" veya donanımsal seyreklik desteği ifadelerini pazarlama materyallerinde kullanmaya başlasa da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bu yerleşik seyreklik özelliklerinin, ağın matematiksel doğruluğunu kaybetmeden standart GNN SpMM görevlerinde gerçekten ne kadar pratik verim sağladığı belirsizdir. Ayrıca, NPU içindeki yerel SRAM önbellekleri ile ana bellek arasındaki otonom DMA taşıma işlemlerinin, düzensiz yapıdaki komşuluk matrisleri için bir yazılım derleyici seviyesinde otomatik ve proaktif (prefetching) olarak nasıl optimize edileceği, donanım-yazılım ortak tasarımının (co-design) yanıt bekleyen büyük bir problemidir.</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GNN DONANIM HIZLANDIRMA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Özelleşmiş donanım hızlandırma stratejileri, GNN işlemlerindeki düğüm özelliklerinin toplanması (aggregation) fazının yol açtığı devasa bellek darboğazlarını ve düşük donanım kullanımını çözmek üzere; esnek tasarımlı FPGA'ler, amaca özel ASIC'ler ve ticari yapay zeka hızlandırıcıları (NPU, GPU) üzerinde yoğun şekilde araştırılmıştır.</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FPGA ve ASIC Tabanlı GNN Accelerator'lar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Alan Programlanabilir Kapı Dizileri (FPGA) tabanlı çalışmalar, veri yolunu ve bellek hiyerarşisini GNN algoritmalarının özel SpMM ihtiyaçlarına göre yeniden şekillendirme yeteneğinden yararlanır. Bu alandaki kurucu çalışmalardan olan </w:t>
      </w:r>
      <w:r w:rsidDel="00000000" w:rsidR="00000000" w:rsidRPr="00000000">
        <w:rPr>
          <w:rFonts w:ascii="Google Sans" w:cs="Google Sans" w:eastAsia="Google Sans" w:hAnsi="Google Sans"/>
          <w:b w:val="1"/>
          <w:bCs w:val="1"/>
          <w:color w:val="1f1f1f"/>
          <w:rtl w:val="0"/>
        </w:rPr>
        <w:t xml:space="preserve">AWB-GCN</w:t>
      </w:r>
      <w:r w:rsidDel="00000000" w:rsidR="00000000" w:rsidRPr="00000000">
        <w:rPr>
          <w:rFonts w:ascii="Google Sans" w:cs="Google Sans" w:eastAsia="Google Sans" w:hAnsi="Google Sans"/>
          <w:color w:val="1f1f1f"/>
          <w:rtl w:val="0"/>
        </w:rPr>
        <w:t xml:space="preserve">, gerçek dünya graflarındaki güç yasası (power-law) dağılımından kaynaklanan yapısal seyrekliğin yarattığı yük dengesizliğini çözmek için donanım tabanlı agresif bir uyumlanma sergiler. Mimari, yüksek seyreklik durumlarında sıfırları atlayan (skipping zeros) özel matris çarpım motorları ve Görev Dağıtıcı Kuyruğu (Task Distributor Queue - TDQ) üzerinden üç farklı dinamik donanımsal yük dengeleme fonksiyonu tasarlayarak PE'lerin (İşlem Elemanları) sürekli aktif kalmasını sağlamıştır.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Bir diğer FPGA inovasyonu olan </w:t>
      </w:r>
      <w:r w:rsidDel="00000000" w:rsidR="00000000" w:rsidRPr="00000000">
        <w:rPr>
          <w:rFonts w:ascii="Google Sans" w:cs="Google Sans" w:eastAsia="Google Sans" w:hAnsi="Google Sans"/>
          <w:b w:val="1"/>
          <w:bCs w:val="1"/>
          <w:color w:val="1f1f1f"/>
          <w:rtl w:val="0"/>
        </w:rPr>
        <w:t xml:space="preserve">EnGN</w:t>
      </w:r>
      <w:r w:rsidDel="00000000" w:rsidR="00000000" w:rsidRPr="00000000">
        <w:rPr>
          <w:rFonts w:ascii="Google Sans" w:cs="Google Sans" w:eastAsia="Google Sans" w:hAnsi="Google Sans"/>
          <w:color w:val="1f1f1f"/>
          <w:rtl w:val="0"/>
        </w:rPr>
        <w:t xml:space="preserve">, graf işleme süreçlerini hızlandırmak için Ring-Edge-Reduce (RER) adlı özel bir dairesel veri akışı mimarisi ve karşılık gelen RER işleme elemanı dizisi kullanarak rastgele bağlanan köşelerle ilişkili zayıf uzaysal lokaliteyi (poor locality) maskelemiş ve bellek darboğazını azaltmıştır.</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Uygulamaya Özel Tümleşik Devre (ASIC) yaklaşımları arasında öne çıkan </w:t>
      </w:r>
      <w:r w:rsidDel="00000000" w:rsidR="00000000" w:rsidRPr="00000000">
        <w:rPr>
          <w:rFonts w:ascii="Google Sans" w:cs="Google Sans" w:eastAsia="Google Sans" w:hAnsi="Google Sans"/>
          <w:b w:val="1"/>
          <w:bCs w:val="1"/>
          <w:color w:val="1f1f1f"/>
          <w:rtl w:val="0"/>
        </w:rPr>
        <w:t xml:space="preserve">HyGCN</w:t>
      </w:r>
      <w:r w:rsidDel="00000000" w:rsidR="00000000" w:rsidRPr="00000000">
        <w:rPr>
          <w:rFonts w:ascii="Google Sans" w:cs="Google Sans" w:eastAsia="Google Sans" w:hAnsi="Google Sans"/>
          <w:color w:val="1f1f1f"/>
          <w:rtl w:val="0"/>
        </w:rPr>
        <w:t xml:space="preserve">, mesaj iletme (aggregation) ve özellik dönüştürme (combination) evrelerinin tamamen zıt bellek ve hesaplama profilleri çizdiği ampirik gerçeğinden yola çıkmıştır. Bu donanım tasarımı, her iki işlem evresi için mimari olarak birbirinden izole edilmiş özel hibrit (iki motorlu) mikro-mimariler oluşturarak her aşamanın kendi sınırlarına (aggregation için bellek, combination için MAC) optimize edilmesini sağlamıştır.</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akademik düzeydeki özel hızlandırıcılar, genel amaçlı CPU'lara kıyasla 100 kata varan, GPU'lara kıyasla ise 7-10 kat arası hızlanma ve devasa enerji tasarrufu elde etse de; geliştirme sürelerinin uzunluğu, tescilli çip tasarımlarının veya yüksek maliyetli üst uç FPGA cihazlarının mobil telefonlara ve ana akım dizüstü bilgisayarlara entegre edilmesinin pratik olmaması nedeniyle laboratuvar ortamının dışına çıkmakta zorlanmaktadır.</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COTS (Commercial Off-The-Shelf) Cihazlarda GNN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Uç noktalarda GNN kullanabilmek için maliyet-etkin çözüm, son kullanıcının elindeki ticari raf ürünlerinin (CPU, Mobile GPU, Edge NPU) yazılımsal yeniliklerle verimli kullanılmasıdır. Yüksek performanslı GPU'larda Tensör Çekirdeklerini spesifik olarak GNN'ler için adapte eden </w:t>
      </w:r>
      <w:r w:rsidDel="00000000" w:rsidR="00000000" w:rsidRPr="00000000">
        <w:rPr>
          <w:rFonts w:ascii="Google Sans" w:cs="Google Sans" w:eastAsia="Google Sans" w:hAnsi="Google Sans"/>
          <w:b w:val="1"/>
          <w:bCs w:val="1"/>
          <w:color w:val="1f1f1f"/>
          <w:rtl w:val="0"/>
        </w:rPr>
        <w:t xml:space="preserve">TC-GNN</w:t>
      </w:r>
      <w:r w:rsidDel="00000000" w:rsidR="00000000" w:rsidRPr="00000000">
        <w:rPr>
          <w:rFonts w:ascii="Google Sans" w:cs="Google Sans" w:eastAsia="Google Sans" w:hAnsi="Google Sans"/>
          <w:color w:val="1f1f1f"/>
          <w:rtl w:val="0"/>
        </w:rPr>
        <w:t xml:space="preserve"> (2023) mimarisi, GPU çekirdeklerinin "Yoğun" (Dense) hesaplama beklentisini karşılamak için "seyrek graf öteleme" (sparse graph translation) adı verilen yepyeni bir CUDA-çekirdek işbirliği tekniği geliştirmiş ve klasik PyTorch/DGL çatısına kıyasla çeşitli veri setlerinde ortalama 1.70 kat hızlanma sağlamıştır.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Ancak, GPU tabanlı yazılımsal çözümler, mobil ve dizüstü platformlarda yüksek TDP (Thermal Design Power) değerleri ve watt cinsinden aşırı güç tüketimleri nedeniyle batarya ömrü sınırlarına takılmakta ve uzun süreli yapay zeka asistanlarının (always-on AI) arka planda çalışmasını engellemektedir.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NPU Üzerinde GNN (GraNNite ve Benzeri Çalışmalar)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bağlamdaki en çığır açıcı güncel ilerlemelerden biri, uç cihaz NPUsunu doğrudan hedefleyen </w:t>
      </w:r>
      <w:r w:rsidDel="00000000" w:rsidR="00000000" w:rsidRPr="00000000">
        <w:rPr>
          <w:rFonts w:ascii="Google Sans" w:cs="Google Sans" w:eastAsia="Google Sans" w:hAnsi="Google Sans"/>
          <w:b w:val="1"/>
          <w:bCs w:val="1"/>
          <w:color w:val="1f1f1f"/>
          <w:rtl w:val="0"/>
        </w:rPr>
        <w:t xml:space="preserve">GraNNite</w:t>
      </w:r>
      <w:r w:rsidDel="00000000" w:rsidR="00000000" w:rsidRPr="00000000">
        <w:rPr>
          <w:rFonts w:ascii="Google Sans" w:cs="Google Sans" w:eastAsia="Google Sans" w:hAnsi="Google Sans"/>
          <w:color w:val="1f1f1f"/>
          <w:rtl w:val="0"/>
        </w:rPr>
        <w:t xml:space="preserve"> (2025) framework'üdür. GraNNite, Intel Core Ultra AI PC platformları (Meteor Lake Seri 1 ve Lunar Lake Seri 2 NPU'ları) gibi son derece kısıtlı donanım hızlandırıcılarında GNN çalıştırmak için geliştirilen, donanım-farkındalığına (hardware-aware) sahip özel bir iş yükü haritalama ve optimizasyon metodolojisidir.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GraNNite'ın sunduğu sistematik 3 adımlı metodoloji donanım darboğazlarını adım adım çözer:</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NPU Yürütmesini Etkinleştirme:</w:t>
      </w:r>
      <w:r w:rsidDel="00000000" w:rsidR="00000000" w:rsidRPr="00000000">
        <w:rPr>
          <w:rFonts w:ascii="Google Sans" w:cs="Google Sans" w:eastAsia="Google Sans" w:hAnsi="Google Sans"/>
          <w:color w:val="1f1f1f"/>
          <w:rtl w:val="0"/>
        </w:rPr>
        <w:t xml:space="preserve"> Donanımın GNN'i çalıştırabilmesi için </w:t>
      </w:r>
      <w:r w:rsidDel="00000000" w:rsidR="00000000" w:rsidRPr="00000000">
        <w:rPr>
          <w:rFonts w:ascii="Google Sans" w:cs="Google Sans" w:eastAsia="Google Sans" w:hAnsi="Google Sans"/>
          <w:i w:val="1"/>
          <w:iCs w:val="1"/>
          <w:color w:val="1f1f1f"/>
          <w:rtl w:val="0"/>
        </w:rPr>
        <w:t xml:space="preserve">GraphSplit</w:t>
      </w:r>
      <w:r w:rsidDel="00000000" w:rsidR="00000000" w:rsidRPr="00000000">
        <w:rPr>
          <w:rFonts w:ascii="Google Sans" w:cs="Google Sans" w:eastAsia="Google Sans" w:hAnsi="Google Sans"/>
          <w:color w:val="1f1f1f"/>
          <w:rtl w:val="0"/>
        </w:rPr>
        <w:t xml:space="preserve"> stratejisi ile GNN operasyonları profillenir ve bölünür. İşletim sistemi benzeri kontrol ağırlıklı (control-heavy) ön işleme görevleri CPU'ya bırakılırken, veri-paralel yoğun hesaplama görevleri NPU'nun MAC dizilimlerine atanır. Değişmeyen yapıdaki bilgi grafları için geliştirilen </w:t>
      </w:r>
      <w:r w:rsidDel="00000000" w:rsidR="00000000" w:rsidRPr="00000000">
        <w:rPr>
          <w:rFonts w:ascii="Google Sans" w:cs="Google Sans" w:eastAsia="Google Sans" w:hAnsi="Google Sans"/>
          <w:i w:val="1"/>
          <w:iCs w:val="1"/>
          <w:color w:val="1f1f1f"/>
          <w:rtl w:val="0"/>
        </w:rPr>
        <w:t xml:space="preserve">StaGr</w:t>
      </w:r>
      <w:r w:rsidDel="00000000" w:rsidR="00000000" w:rsidRPr="00000000">
        <w:rPr>
          <w:rFonts w:ascii="Google Sans" w:cs="Google Sans" w:eastAsia="Google Sans" w:hAnsi="Google Sans"/>
          <w:color w:val="1f1f1f"/>
          <w:rtl w:val="0"/>
        </w:rPr>
        <w:t xml:space="preserve"> (Statik Graf) mekanizması, toplama (aggregation) işlemini statikleştirip donanıma özgü optimize edilmiş bir maske (precomputed mask) kullanarak işlemi NPU'nun en iyi yaptığı Standart Matris Çarpımına dönüştürür. Ulaşım ağları gibi dinamik grafikler içinse </w:t>
      </w:r>
      <w:r w:rsidDel="00000000" w:rsidR="00000000" w:rsidRPr="00000000">
        <w:rPr>
          <w:rFonts w:ascii="Google Sans" w:cs="Google Sans" w:eastAsia="Google Sans" w:hAnsi="Google Sans"/>
          <w:i w:val="1"/>
          <w:iCs w:val="1"/>
          <w:color w:val="1f1f1f"/>
          <w:rtl w:val="0"/>
        </w:rPr>
        <w:t xml:space="preserve">GrAd</w:t>
      </w:r>
      <w:r w:rsidDel="00000000" w:rsidR="00000000" w:rsidRPr="00000000">
        <w:rPr>
          <w:rFonts w:ascii="Google Sans" w:cs="Google Sans" w:eastAsia="Google Sans" w:hAnsi="Google Sans"/>
          <w:color w:val="1f1f1f"/>
          <w:rtl w:val="0"/>
        </w:rPr>
        <w:t xml:space="preserve"> ve </w:t>
      </w:r>
      <w:r w:rsidDel="00000000" w:rsidR="00000000" w:rsidRPr="00000000">
        <w:rPr>
          <w:rFonts w:ascii="Google Sans" w:cs="Google Sans" w:eastAsia="Google Sans" w:hAnsi="Google Sans"/>
          <w:i w:val="1"/>
          <w:iCs w:val="1"/>
          <w:color w:val="1f1f1f"/>
          <w:rtl w:val="0"/>
        </w:rPr>
        <w:t xml:space="preserve">NodePad</w:t>
      </w:r>
      <w:r w:rsidDel="00000000" w:rsidR="00000000" w:rsidRPr="00000000">
        <w:rPr>
          <w:rFonts w:ascii="Google Sans" w:cs="Google Sans" w:eastAsia="Google Sans" w:hAnsi="Google Sans"/>
          <w:color w:val="1f1f1f"/>
          <w:rtl w:val="0"/>
        </w:rPr>
        <w:t xml:space="preserve"> modülleri ile düğümler çalışma zamanında hizalanarak NPU'nun sürekli beslenmesi sağlanır.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Performans Optimizasyonu:</w:t>
      </w:r>
      <w:r w:rsidDel="00000000" w:rsidR="00000000" w:rsidRPr="00000000">
        <w:rPr>
          <w:rFonts w:ascii="Google Sans" w:cs="Google Sans" w:eastAsia="Google Sans" w:hAnsi="Google Sans"/>
          <w:color w:val="1f1f1f"/>
          <w:rtl w:val="0"/>
        </w:rPr>
        <w:t xml:space="preserve"> NPU ve CPU arasında oluşan PCI-e veya on-chip interconnect veriyolu aktarım maliyetlerini gizlemek için </w:t>
      </w:r>
      <w:r w:rsidDel="00000000" w:rsidR="00000000" w:rsidRPr="00000000">
        <w:rPr>
          <w:rFonts w:ascii="Google Sans" w:cs="Google Sans" w:eastAsia="Google Sans" w:hAnsi="Google Sans"/>
          <w:i w:val="1"/>
          <w:iCs w:val="1"/>
          <w:color w:val="1f1f1f"/>
          <w:rtl w:val="0"/>
        </w:rPr>
        <w:t xml:space="preserve">EffOp</w:t>
      </w:r>
      <w:r w:rsidDel="00000000" w:rsidR="00000000" w:rsidRPr="00000000">
        <w:rPr>
          <w:rFonts w:ascii="Google Sans" w:cs="Google Sans" w:eastAsia="Google Sans" w:hAnsi="Google Sans"/>
          <w:color w:val="1f1f1f"/>
          <w:rtl w:val="0"/>
        </w:rPr>
        <w:t xml:space="preserve"> modülü devreye girer. </w:t>
      </w:r>
      <w:r w:rsidDel="00000000" w:rsidR="00000000" w:rsidRPr="00000000">
        <w:rPr>
          <w:rFonts w:ascii="Google Sans" w:cs="Google Sans" w:eastAsia="Google Sans" w:hAnsi="Google Sans"/>
          <w:i w:val="1"/>
          <w:iCs w:val="1"/>
          <w:color w:val="1f1f1f"/>
          <w:rtl w:val="0"/>
        </w:rPr>
        <w:t xml:space="preserve">GraSp</w:t>
      </w:r>
      <w:r w:rsidDel="00000000" w:rsidR="00000000" w:rsidRPr="00000000">
        <w:rPr>
          <w:rFonts w:ascii="Google Sans" w:cs="Google Sans" w:eastAsia="Google Sans" w:hAnsi="Google Sans"/>
          <w:color w:val="1f1f1f"/>
          <w:rtl w:val="0"/>
        </w:rPr>
        <w:t xml:space="preserve"> adlı optimizasyon ise, GNN hesaplamalarındaki dikkat mekanizmaları (attention mechanism) ile yoğun mesaj iletme matrislerindeki lokalite fırsatlarını (data locality) birleştirerek bellek erişim isabetini (cache hit) maksimize eder.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Doğruluk-Verimlilik Takası (Trading Accuracy):</w:t>
      </w:r>
      <w:r w:rsidDel="00000000" w:rsidR="00000000" w:rsidRPr="00000000">
        <w:rPr>
          <w:rFonts w:ascii="Google Sans" w:cs="Google Sans" w:eastAsia="Google Sans" w:hAnsi="Google Sans"/>
          <w:color w:val="1f1f1f"/>
          <w:rtl w:val="0"/>
        </w:rPr>
        <w:t xml:space="preserve"> NPU donanımından daha fazla yararlanmak için </w:t>
      </w:r>
      <w:r w:rsidDel="00000000" w:rsidR="00000000" w:rsidRPr="00000000">
        <w:rPr>
          <w:rFonts w:ascii="Google Sans" w:cs="Google Sans" w:eastAsia="Google Sans" w:hAnsi="Google Sans"/>
          <w:i w:val="1"/>
          <w:iCs w:val="1"/>
          <w:color w:val="1f1f1f"/>
          <w:rtl w:val="0"/>
        </w:rPr>
        <w:t xml:space="preserve">QuantGr</w:t>
      </w:r>
      <w:r w:rsidDel="00000000" w:rsidR="00000000" w:rsidRPr="00000000">
        <w:rPr>
          <w:rFonts w:ascii="Google Sans" w:cs="Google Sans" w:eastAsia="Google Sans" w:hAnsi="Google Sans"/>
          <w:color w:val="1f1f1f"/>
          <w:rtl w:val="0"/>
        </w:rPr>
        <w:t xml:space="preserve"> modülü INT8 kuantizasyonu uygulayarak bellek ayak izini düşürür. Sistemin en inovatif yönü ise </w:t>
      </w:r>
      <w:r w:rsidDel="00000000" w:rsidR="00000000" w:rsidRPr="00000000">
        <w:rPr>
          <w:rFonts w:ascii="Google Sans" w:cs="Google Sans" w:eastAsia="Google Sans" w:hAnsi="Google Sans"/>
          <w:i w:val="1"/>
          <w:iCs w:val="1"/>
          <w:color w:val="1f1f1f"/>
          <w:rtl w:val="0"/>
        </w:rPr>
        <w:t xml:space="preserve">GrAx1, GrAx2</w:t>
      </w:r>
      <w:r w:rsidDel="00000000" w:rsidR="00000000" w:rsidRPr="00000000">
        <w:rPr>
          <w:rFonts w:ascii="Google Sans" w:cs="Google Sans" w:eastAsia="Google Sans" w:hAnsi="Google Sans"/>
          <w:color w:val="1f1f1f"/>
          <w:rtl w:val="0"/>
        </w:rPr>
        <w:t xml:space="preserve"> ve </w:t>
      </w:r>
      <w:r w:rsidDel="00000000" w:rsidR="00000000" w:rsidRPr="00000000">
        <w:rPr>
          <w:rFonts w:ascii="Google Sans" w:cs="Google Sans" w:eastAsia="Google Sans" w:hAnsi="Google Sans"/>
          <w:i w:val="1"/>
          <w:iCs w:val="1"/>
          <w:color w:val="1f1f1f"/>
          <w:rtl w:val="0"/>
        </w:rPr>
        <w:t xml:space="preserve">GrAx3</w:t>
      </w:r>
      <w:r w:rsidDel="00000000" w:rsidR="00000000" w:rsidRPr="00000000">
        <w:rPr>
          <w:rFonts w:ascii="Google Sans" w:cs="Google Sans" w:eastAsia="Google Sans" w:hAnsi="Google Sans"/>
          <w:color w:val="1f1f1f"/>
          <w:rtl w:val="0"/>
        </w:rPr>
        <w:t xml:space="preserve"> adı verilen algoritmik yaklaşıklamalardır (approximations). Örneğin </w:t>
      </w:r>
      <w:r w:rsidDel="00000000" w:rsidR="00000000" w:rsidRPr="00000000">
        <w:rPr>
          <w:rFonts w:ascii="Google Sans" w:cs="Google Sans" w:eastAsia="Google Sans" w:hAnsi="Google Sans"/>
          <w:i w:val="1"/>
          <w:iCs w:val="1"/>
          <w:color w:val="1f1f1f"/>
          <w:rtl w:val="0"/>
        </w:rPr>
        <w:t xml:space="preserve">GrAx2</w:t>
      </w:r>
      <w:r w:rsidDel="00000000" w:rsidR="00000000" w:rsidRPr="00000000">
        <w:rPr>
          <w:rFonts w:ascii="Google Sans" w:cs="Google Sans" w:eastAsia="Google Sans" w:hAnsi="Google Sans"/>
          <w:color w:val="1f1f1f"/>
          <w:rtl w:val="0"/>
        </w:rPr>
        <w:t xml:space="preserve">, donanımda çok fazla veri hareketi gerektiren transpoze ve yayın (broadcast-add) operasyonlarını iptal ederek model doğruluk oranını neredeyse hiç bozmadan gecikmeyi yok eder. </w:t>
      </w:r>
      <w:r w:rsidDel="00000000" w:rsidR="00000000" w:rsidRPr="00000000">
        <w:rPr>
          <w:rFonts w:ascii="Google Sans" w:cs="Google Sans" w:eastAsia="Google Sans" w:hAnsi="Google Sans"/>
          <w:i w:val="1"/>
          <w:iCs w:val="1"/>
          <w:color w:val="1f1f1f"/>
          <w:rtl w:val="0"/>
        </w:rPr>
        <w:t xml:space="preserve">GrAx3</w:t>
      </w:r>
      <w:r w:rsidDel="00000000" w:rsidR="00000000" w:rsidRPr="00000000">
        <w:rPr>
          <w:rFonts w:ascii="Google Sans" w:cs="Google Sans" w:eastAsia="Google Sans" w:hAnsi="Google Sans"/>
          <w:color w:val="1f1f1f"/>
          <w:rtl w:val="0"/>
        </w:rPr>
        <w:t xml:space="preserve"> ise GraphSAGE mimarisindeki sıralı ve yavaş DSP işlemlerini, NPU'daki paralel eleman bazlı (element-wise) çarpım ve max-pooling işlemleriyle değiştirerek donanımın tam kapasite çalışmasını garanti eder.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Sonuç olarak GraNNite, Intel Core Ultra serisi NPU donanımları üzerinde varsayılan (out-of-the-box) NPU eşlemelerine göre 2.6 kattan 7.6 kata kadar bir hızlanma sağlamış; CPU ve GPU'ya kıyasla da enerji verimliliğinde (Performance/Watt) sırasıyla 10.8 kata ve 6.7 kata kadar artış elde ederek uç cihazlarda devrimsel bir NPU optimizasyonu örneği sunmuştur.</w:t>
      </w:r>
      <w:r w:rsidDel="00000000" w:rsidR="00000000" w:rsidRPr="00000000">
        <w:rPr>
          <w:rFonts w:ascii="Google Sans" w:cs="Google Sans" w:eastAsia="Google Sans" w:hAnsi="Google Sans"/>
          <w:color w:val="444746"/>
          <w:sz w:val="24"/>
          <w:szCs w:val="24"/>
          <w:vertAlign w:val="superscript"/>
          <w:rtl w:val="0"/>
        </w:rPr>
        <w:t xml:space="preserve">8</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Hızlandırma Yaklaşımı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 Türü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Temel İnovasyon / Optimizasyon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Dezavantajı / Kısıtı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AWB-GCN / EnGN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FPGA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İş yükü dengeleme donanımı, Ring-edge-reduce veri akışı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Geliştirme zorluğu, PC'lerde bulunmama, yüksek maliyet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HyGCN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Agregation ve Combination için iki ayrı hibrit donanım motoru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Sadece belirli algoritmalara özel silikon, esneklik eksikliği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TC-GNN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COTS (GPU)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Tensör çekirdekleri için seyrek matris öteleme yazılımı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Yüksek güç tüketimi, mobil batarya kısıtlarına takılma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GraNNite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COTS (Intel NPU)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GraphSplit, Statik Maskeleme, GrAx Donanımsal Yaklaşıklamalar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Algoritma doğruluğunda (accuracy) minimal kayıp takası</w:t>
            </w:r>
          </w:p>
        </w:tc>
      </w:tr>
    </w:tbl>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Alanın Kurucu ve Güncel Çalışmaları ile Araştırma Boşlukları</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Donanım hızlandırma alanının kurucu çalışmaları literatürde GNN mimarilerinin spesifik olarak donanıma haritalandığı ilk mimari tasarımları barındırır. Yan ve arkadaşları tarafından sunulan HyGCN, GNN'lerin hibrit hesaplama karakteristiğinin silikona döküldüğü ilk seminal ASIC tasarımıdır.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Geng ve ekibi tarafından tasarlanan AWB-GCN, seyreklik dağılımındaki dengesizliğin donanımsal yük dengeleyici kuyruklarla çözüldüğü referans FPGA çalışması iken; EnGN mimarisi dairesel veri akış modeli ile GNN bellek sorunlarını çözen öncü donanım makalelerinden olmuştur.</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2022-2025 arası periyottaki güncel çalışmalar ise akademik silikonlardan uzaklaşıp doğrudan ticari raf ürünlerinde (COTS) GNN çalıştırmayı odağına almıştır. GPU'lardaki donanım kısıtlarını yazılım tabanlı aşan TC-GNN (2023)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ve Intel NPU'lara özel donanım-farkındalıklı optimizasyon çerçevesi sunarak uç cihaz yapay zekasına eşsiz bir katkı sağlayan GraNNite (2025)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dönemin en öne çıkan çalışmalarıdır. Ayrıca HGL (2022) ve MEGA (2024) gibi sistem tasarımları, heterojen SoC'ler için karma hassasiyetli kuantizasyonları donanım seviyesine taşımıştır.</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yeniliklere rağmen GNN hızlandırma pratiklerinde devasa araştırma boşlukları mevcuttur. GraNNite framework'ünün başarılı performansının arkasında yatan "StaGr" (Statik Graf maskelemesi) tekniği, graf topolojisinin model çıkarımı (inference) boyunca tamamen sabit kalması varsayımına dayanır.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Ancak dinamik yol tarif sistemleri veya anlık sosyal ağ akışları gibi düğüm ve kenarların sürekli değiştiği dinamik grafik ortamlarda, </w:t>
      </w:r>
      <w:r w:rsidDel="00000000" w:rsidR="00000000" w:rsidRPr="00000000">
        <w:rPr>
          <w:rFonts w:ascii="Google Sans" w:cs="Google Sans" w:eastAsia="Google Sans" w:hAnsi="Google Sans"/>
          <w:i w:val="1"/>
          <w:iCs w:val="1"/>
          <w:color w:val="1f1f1f"/>
          <w:rtl w:val="0"/>
        </w:rPr>
        <w:t xml:space="preserve">NodePad</w:t>
      </w:r>
      <w:r w:rsidDel="00000000" w:rsidR="00000000" w:rsidRPr="00000000">
        <w:rPr>
          <w:rFonts w:ascii="Google Sans" w:cs="Google Sans" w:eastAsia="Google Sans" w:hAnsi="Google Sans"/>
          <w:color w:val="1f1f1f"/>
          <w:rtl w:val="0"/>
        </w:rPr>
        <w:t xml:space="preserve"> gibi eklentilerin yarattığı anlık bellek tahsis maliyeti (overhead) NPU donanımını darboğaza sokabilmektedir. Ek olarak, uç cihazlarda CPU, NPU ve GPU donanımları arasında görev paylaşımı yapılırken, işletim sistemi zamanlayıcılarının (scheduler) SpMM ve dikkat katsayılarının birleştirilmesini (operator fusion) ne derece asenkron ve kayıpsız yönetebileceği hala kanıtlanmamış bir alandır.</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DEPLOYMENT VE OPTİMİZASYON TEKNİKLERİ</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Kenar (Edge) donanımlarda, özellikle de NPU'larda yapay zeka modellerinin başarılı bir şekilde devreye alınması (deployment), yalnızca donanım silikonunun TOPS kapasitesine değil; model dönüştürme (conversion), parametre kuantizasyonu ve yazılım yürütme ortamlarının (runtime compiler) mimari uyumuna bağlıdır.</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Kuantizasyonu (INT8, FP16) ve Trade-Off'lar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Sınırlı kapasiteye sahip donanımlarda bellek ayak izini daraltmanın, LPDDR5X veri yolu (bus) darboğazlarını hafifletmenin ve NPU içerisindeki MAC dizilimlerini doyurmanın en etkili yolu hesaplama hassasiyetini düşürmektir (Low Precision). Derin öğrenme iş yüklerinde, ağırlık matrisleri (weights) ve aktivasyonlar (activations) genellikle 32-bit kayar noktadan (FP32), 16-bit kayar noktaya (FP16, BF16) veya NPU'nun en yüksek verimi sunduğu 8-bit tam sayıya (INT8) kuantize edilir.</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Intel NPU 4 mimarisinde, INT8 hassasiyeti kullanmak FP16'ya kıyasla teorik olarak 2 kat daha fazla hesaplama hızı (TOPS) ve watt başına 4 kat daha fazla enerji verimliliği (TOPS/Watt) sağlar.</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 var ki, GNN mimarilerinde kuantizasyonun uygulanması standart CNN veya LLM modellerine kıyasla matematiksel olarak çok daha zordur. GNN graf yapısındaki düğüm derecelerindeki yüksek varyasyon (power-law dağılımı nedeniyle bir düğümün on binlerce, diğerinin tek bir bağlantısı olması), düğümler arası komşuluk toplama işlemi sırasında aktivasyon değerlerinde ekstrem aykırı değerlere (outliers) sebep olur.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Sabit bir global ölçekleme faktörü (static scale parameter) kullanan geleneksel Eğitim Sonrası Kuantizasyon (Post-Training Quantization - PTQ) yöntemleri, bu aykırı değerler karşısında aktivasyon aralığını yanlış haritalayarak devasa bir doğruluk (accuracy) kaybına neden olur. Bu sorunu aşmak için </w:t>
      </w:r>
      <w:r w:rsidDel="00000000" w:rsidR="00000000" w:rsidRPr="00000000">
        <w:rPr>
          <w:rFonts w:ascii="Google Sans" w:cs="Google Sans" w:eastAsia="Google Sans" w:hAnsi="Google Sans"/>
          <w:i w:val="1"/>
          <w:iCs w:val="1"/>
          <w:color w:val="1f1f1f"/>
          <w:rtl w:val="0"/>
        </w:rPr>
        <w:t xml:space="preserve">Degree-Quant</w:t>
      </w:r>
      <w:r w:rsidDel="00000000" w:rsidR="00000000" w:rsidRPr="00000000">
        <w:rPr>
          <w:rFonts w:ascii="Google Sans" w:cs="Google Sans" w:eastAsia="Google Sans" w:hAnsi="Google Sans"/>
          <w:color w:val="1f1f1f"/>
          <w:rtl w:val="0"/>
        </w:rPr>
        <w:t xml:space="preserve"> gibi çalışmalar geliştirilmiş, düğüm derecelerine duyarlı normalizasyon ve dinamik öğrenilebilir ölçek parametreleri kullanılarak Kuantizasyon Farkındalıklı Eğitim (Quantization-Aware Training - QAT) yapılması önerilmiştir.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Endüstriyel uygulama vakalarında, INT8 kuantizasyonunun getirdiği matematiksel yuvarlamanın (rounding) bazen model için doğal bir gürültü regülarizasyonu (noise regularization) sağlayarak FP16'dan bile daha iyi test doğruluğu verebildiği anekdotsal olarak raporlansa da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genel bilimsel konsensüs, INT8 kuantizasyonunun performansı optimize ederken kalibrasyon sürecinin GNN'e özel yapılmaması halinde ciddi tahmin sapmaları yaratacağı yönündedir.</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Graf Seyrekliği (Sparsity) İstismarı ve Optimizasyonu</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Donanımın boşta kalmasını (pipeline stalls) engellemek adına GNN modellerinin veri yerleşimleri (data layout) işletim sistemi ve derleyici düzeyinde yeniden düzenlenir. Çok seyrek olan komşuluk matrisi içindeki verilerin (non-zero elemanların) algoritmik olarak blok-çapraz (block-diagonal) yapılara getirilmesi, seyrekliğin rastgele bellek erişimi yaratma etkisini sınırlandırır ve veri ön-getirme (prefetching) algoritmalarının isabet oranını artırır.</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Ağ yapısında uygulanan kenar budaması (edge pruning) ve bilgi damıtması yöntemleriyle (LightGNN örneğinde olduğu gibi), modelin çıkarım performansına minimal katkı sunan bağlantılar baştan elenerek, NPU'nun işlemesi gereken sıfır-olmayan matris boyutu donanım limitleri dahiline çekilir.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Operator Fusion (Operatör Birleştirme) ve Çizge Yığınlama (Batching)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 mimarisinde veri hareketini (data movement) ve bellek aktarım gecikmesini en aza indirmenin en yaygın yazılımsal yöntemi, bağımlı işlemlerin ardışık olarak birleştirilerek (operator fusion) tek bir donanım geçişinde (single pass) yürütülmesidir. GNN üzerinde, komşu mesajlarının gönderimi, düğüm toplaması (aggregation) ve aktivasyon (ReLU vb.) aşamalarının geçici ara matrisler oluşturularak ana belleğe (DRAM) geri yazılması yerine; veriler işlemcideyken doğrudan NPU içerisindeki lokal 8MB Özel Bellek Tarafı Önbelleği veya Scratchpad RAM üzerinden "anında" (on-the-fly) işlenerek bir sonraki PE birimine aktarılır.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Toplu veri işleme (Graph Batching) tekniği ise, hızlandırıcılardaki geniş vektör kayıt birimlerini (örneğin Lunar Lake NPU'daki 512-bit SHAVE vektör DSP'leri) doldurmak için, bağımsız birden fazla küçük alt-çizgenin (subgraph) yan yana yığınlanarak devasa bloklar halinde NPU'ya beslenmesi işlemidir.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OpenVINO ile NPU GNN Dağıtımı</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Intel'in endüstri standardı OpenVINO (Open Visual Inference and Neural Network Optimization) araç seti, Pytorch ve TensorFlow gibi popüler makine öğrenmesi çerçevelerinde eğitilmiş modellerin Core Ultra platformlarındaki CPU, GPU ve NPU üzerinde homojen şekilde çalıştırılmasını sağlayan entegre bir yazılım derleyicisidir.</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OpenVINO, Lunar Lake NPU donanımını tam kapasite kullanabilmek için NNCF (Neural Network Compression Framework) modülüyle kapsamlı INT8 ve INT4 kuantizasyon algoritmalarını destekler.</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GNN modelinin OpenVINO IR (Ara Temsil - Intermediate Representation) formunda INT8 NPU donanım talimatlarına çevrilebilmesi için, derleyicinin girdiler ve ağırlıklar üzerine "FakeQuantize" düğümlerini enjekte etmesi zorunludur.</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OpenVINO'nun 2024 ve özellikle 2025 sürümleri (2025.2), LLM'ler ve GNN'ler gibi dil ve graf tabanlı matris operasyonları için "Dinamik Kuantizasyon" (Dynamic Quantization) desteği getirmiştir.</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Bu mekanizma, aktivasyon tensörlerini MatMul (Matris Çarpımı) operasyonuna girmeden hemen önce dinamik olarak hesaplayarak (örneğin FP16'dan INT8'e) dönüştürür. Gömme (embedding) ekseni boyunca, veriler token/düğüm gruplarına ayrılır ve her grubun kendi min/max değerleri hesaplanarak ayrı bir dinamik kuantizasyon ölçeği ve sıfır-noktası (zero-point) belirlenir.</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NPU 4 mimarisinde dinamik kuantizasyon, girdi dizisi uzunluğu (token length) 64'ten büyük olduğunda varsayılan olarak devreye girerek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GNN'lerdeki derece varyasyonundan doğan ekstrem aykırı değer (outlier) problemini çalışma zamanı esnasında absorbe eder.</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Alanın Kurucu ve Güncel Çalışmaları ile Araştırma Boşlukları</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Dağıtım ve optimizasyon literatüründeki kurucu çalışmalar, yapay sinir ağlarında Eğitim Sonrası Kuantizasyon (PTQ) ve Kuantizasyon Farkındalıklı Eğitim (QAT) metotlarının matematiksel temellerini atan eserlere dayanır (Jacob vd., 2018; Esser vd., 2019). GNN özelinde ise Tailor ve ekibi tarafından literatüre kazandırılan </w:t>
      </w:r>
      <w:r w:rsidDel="00000000" w:rsidR="00000000" w:rsidRPr="00000000">
        <w:rPr>
          <w:rFonts w:ascii="Google Sans" w:cs="Google Sans" w:eastAsia="Google Sans" w:hAnsi="Google Sans"/>
          <w:i w:val="1"/>
          <w:iCs w:val="1"/>
          <w:color w:val="1f1f1f"/>
          <w:rtl w:val="0"/>
        </w:rPr>
        <w:t xml:space="preserve">Degree-Quant</w:t>
      </w:r>
      <w:r w:rsidDel="00000000" w:rsidR="00000000" w:rsidRPr="00000000">
        <w:rPr>
          <w:rFonts w:ascii="Google Sans" w:cs="Google Sans" w:eastAsia="Google Sans" w:hAnsi="Google Sans"/>
          <w:color w:val="1f1f1f"/>
          <w:rtl w:val="0"/>
        </w:rPr>
        <w:t xml:space="preserve"> çalışması, düğüm derecesine göre ağırlıklandırılmış kalibrasyon metoduyla GNN'ler için kuantizasyon araştırmalarının yönünü belirleyen seminal bir mihenk taşıdır.</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Güncel 2022-2025 dönemi incelemeleri, OpenVINO'nun 2024.x ve 2025.x sürümlerindeki Linux NPU sürücü entegrasyonlarına, Lunar Lake işlemcilerindeki donanımsal Intel XMX matris çarpım uzantılarına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ve MEGA (2024) gibi derece-farkındalığına sahip karma hassasiyetli (mixed-precision) yeni kuantizasyon mimarilerine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odaklanmıştır.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kapsamlı yazılım araç setlerine rağmen donanım dağıtımlarında çözülememiş ciddi araştırma boşlukları mevcuttur. OpenVINO ve NNCF paketleri, genel amaçlı Büyük Dil Modelleri (LLM) ve Bilgisayarlı Görü ağları için son derece rafine edilmiş olsa da; graf mesaj iletiminde kullanılan "Scatter" (Dağıt) ve "Gather" (Topla) operatörlerinin NPU üzerindeki performansı Intel kütüphanelerinde hala yeterince optimize edilememiştir.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Yazılım ekosistemi, karmaşık GNN algoritmalarında tam otomatik operatör birleştirmesi (operator fusion) yapamamaktadır; bu nedenle GraNNite gibi donanım spesifik harici derleyicilere ihtiyaç duyulmaktadır. Ayrıca, spesifik graf alt birimleri için "FakeQuantize" nodları enjekte edildiğinde, OpenVINO derleyicisinin optimize edemediği alt matris işlemlerini NPU'dan reddedip CPU'ya geri atması (fallback) durumunda oluşacak korkunç veri aktarım gecikmesinin tamamen nasıl engellenebileceği literatürde yanıtsız bir sorudur.</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BENCHMARK METODOLOJİSİ</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 Nöral İşlem Biriminin silikon tasarımında belirtilen teorik TOPS (Saniyede Trilyon İşlem) değerleri ile cihaz üzerindeki gerçek uygulama performansı arasındaki uçurumu ölçmek, bilgisayar mimarisinin en kritik doğrulama aşamasıdır. Intel Core Ultra gibi heterojen sistemlerde GNN performansının ölçümü, basit sentetik hız testlerinden ziyade, platform çapında darboğazları analiz eden Roofline modelleri ve sistem geneli enerji telemetri araçlarını bir araya getirmeyi zorunlu kılar.</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Donanım Benchmark Metodolojileri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donanım kıyaslamalarında CPU, GPU ve NPU sınırlarını belirlemek için "Roofline Modeli" kullanılır. Bu model, operasyonel yoğunluğa (byte başına yapılan işlem) karşılık saniyede yapılan işlemi grafiğe dökerek, belirli bir GNN algoritmasının işlemcinin bellek bant genişliği tarafından mı (memory-bound) yoksa matematiksel hesaplama birimleri tarafından mı (compute-bound) sınırlandırıldığını görselleştirir.</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Özellikle GNN'lerdeki agresif seyrekliğin (sparsity) TOPS ölçümlerinde yarattığı yanılsamayı önlemek endüstride bir kriz haline gelmiştir. Qualcomm ve Intel mühendislik raporları, donanım spesifikasyonlarını tanımlarken "Dense TOPS" (Yoğun TOPS) ve "Sparse TOPS" (Seyrek TOPS) terimlerinin kesin çizgilerle ayrılması gerektiği konusunda sektörü uyarmaktadır.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NPU mimarileri, veri seyrekliğini algılayarak hesaplaması gereksiz olan sıfır parametrelerini donanımda baypas edebiliyorsa, bu durum efektif işlem miktarını artırarak "Sparse TOPS" olarak pazarlanır. Ancak, sadece seyrek TOPS değerlerine güvenerek NPU mimarilerini kıyaslamak, yazılımsal kalibrasyonun neden olabileceği doğruluk kayıplarını ve rastgele bellek erişiminin yarattığı gizli maliyetleri maskelediği için gerçek GNN çıkarım performansını yansıtmayabilir.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GNN Inference Benchmark Çalışmaları</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Geçmiş yıllarda GNN modellerinin donanım performansını test etmek için endüstri çapında kabul görmüş standart bir metrik yoktu; araştırmacılar genellikle NLP veya Görü modelleri için tasarlanmış test paketlerini modifiye etmeye çalışırdı. Bu eksiklik, GNN modellerini dinamik, heterojen ve homojen grafikleri kapsayan çeşitli eğitim ve çıkarım (inference) profilleriyle kapsamlı bir şekilde test eden </w:t>
      </w:r>
      <w:r w:rsidDel="00000000" w:rsidR="00000000" w:rsidRPr="00000000">
        <w:rPr>
          <w:rFonts w:ascii="Google Sans" w:cs="Google Sans" w:eastAsia="Google Sans" w:hAnsi="Google Sans"/>
          <w:b w:val="1"/>
          <w:bCs w:val="1"/>
          <w:color w:val="1f1f1f"/>
          <w:rtl w:val="0"/>
        </w:rPr>
        <w:t xml:space="preserve">GNNMark</w:t>
      </w:r>
      <w:r w:rsidDel="00000000" w:rsidR="00000000" w:rsidRPr="00000000">
        <w:rPr>
          <w:rFonts w:ascii="Google Sans" w:cs="Google Sans" w:eastAsia="Google Sans" w:hAnsi="Google Sans"/>
          <w:color w:val="1f1f1f"/>
          <w:rtl w:val="0"/>
        </w:rPr>
        <w:t xml:space="preserve"> gibi modern kıyaslama paketlerinin (benchmark suite) geliştirilmesiyle aşılmaya başlanmıştır.</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GNNMark, sistem düzeyinde çoklu GPU'ların ve hızlandırıcıların iletişim darboğazlarını, özellikle SpMM operasyonundaki seyrekliğin bellek hiyerarşisinde nasıl bir ısı ve güç profili oluşturduğunu analiz eden alanındaki ilk ve en önemli yaklaşımlardandır.</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Enerji Verimliliği Ölçüm Yöntemleri</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 Core Ultra mimarisinde (Lunar Lake / Meteor Lake), bir GNN iş yükünün tüm platform üzerindeki asıl güç tüketimini izlemek için </w:t>
      </w:r>
      <w:r w:rsidDel="00000000" w:rsidR="00000000" w:rsidRPr="00000000">
        <w:rPr>
          <w:rFonts w:ascii="Google Sans" w:cs="Google Sans" w:eastAsia="Google Sans" w:hAnsi="Google Sans"/>
          <w:b w:val="1"/>
          <w:bCs w:val="1"/>
          <w:color w:val="1f1f1f"/>
          <w:rtl w:val="0"/>
        </w:rPr>
        <w:t xml:space="preserve">Intel® SoC Watch</w:t>
      </w:r>
      <w:r w:rsidDel="00000000" w:rsidR="00000000" w:rsidRPr="00000000">
        <w:rPr>
          <w:rFonts w:ascii="Google Sans" w:cs="Google Sans" w:eastAsia="Google Sans" w:hAnsi="Google Sans"/>
          <w:color w:val="1f1f1f"/>
          <w:rtl w:val="0"/>
        </w:rPr>
        <w:t xml:space="preserve"> (System-on-Chip Watch) analiz aracı kullanılır.</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Yazılımsal testler sırasında SoC Watch, platform bileşenlerinin donanım olay tabanlı sayaçlarını (hardware event counters) kullanarak işletim sistemi düzeyinde derinlemesine telemetri verisi toplar. Enerji ölçümleri başlıca iki metodoloji ile yapılır:</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Sampled Value Data (Örneklenmiş Anlık Değer Verisi):</w:t>
      </w:r>
      <w:r w:rsidDel="00000000" w:rsidR="00000000" w:rsidRPr="00000000">
        <w:rPr>
          <w:rFonts w:ascii="Google Sans" w:cs="Google Sans" w:eastAsia="Google Sans" w:hAnsi="Google Sans"/>
          <w:color w:val="1f1f1f"/>
          <w:rtl w:val="0"/>
        </w:rPr>
        <w:t xml:space="preserve"> Test aracının belirli milisaniyelik zaman aralıklarıyla NPU silikonunun (örneğin North Complex D0ix durumları) güç tüketimini, çekilen gerilim ve akım temelinde anlık olarak ölçmesidir.</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Sampled Residency Data (Örneklenmiş İkamet Süresi Verisi):</w:t>
      </w:r>
      <w:r w:rsidDel="00000000" w:rsidR="00000000" w:rsidRPr="00000000">
        <w:rPr>
          <w:rFonts w:ascii="Google Sans" w:cs="Google Sans" w:eastAsia="Google Sans" w:hAnsi="Google Sans"/>
          <w:color w:val="1f1f1f"/>
          <w:rtl w:val="0"/>
        </w:rPr>
        <w:t xml:space="preserve"> NPU içindeki SHAVE DSP'lerin veya MAC dizilerinin işlem sırasındaki aktif (P-State) durumlarında veya bekleme (C-State uyku) durumlarında yüzde kaç oranında kaldığını hesaplar. İş yükü esnasında donanımın boşta geçen döngüleri bir ısı haritası (heat map) şeklinde kaydedilir.</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Toplanan bu ham donanım verileri, Intel® VTune™ Profiler aracılığıyla içe aktarılarak NPU üzerindeki GNN yürütmesinin mikrosaniye bazındaki tam enerji haritası (miliwatt düzeyinde) çıkarılır.</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MLPerf ve Endüstri Standartları</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Yapay zeka donanım rekabetini nesnel kriterlere bağlayan MLCommons konsorsiyumunun yürüttüğü MLPerf Inference kıyaslamaları, küresel pazarın en güvenilir donanım sıralama aracıdır.</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Son birkaç yılda test paketi, Llama 2 ve Stable Diffusion gibi devrimsel modelleri çalıştırabilen uç cihazların kapasitesini (TOPS ve bellek) ölçmek için MLPerf Client konfigürasyonlarını genişletmiştir.</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Ancak endüstride çizge sinir ağlarının sosyal ağlardan moleküler modellemeye kadar her alanda yaygınlaşması, MLPerf komitesini kaçınılmaz bir adım atmaya zorlamıştır; hazırlığı süren MLPerf Inference v5.0 süiti içerisine bağımsız bir GNN kategorisi resmi olarak eklenmektedir.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Model mimarisi olarak sıradan ve standart bir GCN veya GAT yerine, bilgi graflarında (knowledge graphs) çoklu ilişki tiplerini dinamik olarak ayrıştırabilen, endüstriyel olarak çok daha karmaşık ve zorlu bir mimari olan </w:t>
      </w:r>
      <w:r w:rsidDel="00000000" w:rsidR="00000000" w:rsidRPr="00000000">
        <w:rPr>
          <w:rFonts w:ascii="Google Sans" w:cs="Google Sans" w:eastAsia="Google Sans" w:hAnsi="Google Sans"/>
          <w:b w:val="1"/>
          <w:bCs w:val="1"/>
          <w:color w:val="1f1f1f"/>
          <w:rtl w:val="0"/>
        </w:rPr>
        <w:t xml:space="preserve">RGAT (Relational Graph Attention Network)</w:t>
      </w:r>
      <w:r w:rsidDel="00000000" w:rsidR="00000000" w:rsidRPr="00000000">
        <w:rPr>
          <w:rFonts w:ascii="Google Sans" w:cs="Google Sans" w:eastAsia="Google Sans" w:hAnsi="Google Sans"/>
          <w:color w:val="1f1f1f"/>
          <w:rtl w:val="0"/>
        </w:rPr>
        <w:t xml:space="preserve"> seçilmiştir.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 yeni nesil benchmark'lar, donanım üreticilerini uç cihazlarda RGAT modelinin çıkarım gecikmesini (latency), saniyedeki sorgu sayısını (throughput) ve NPU üzerindeki tam yükte enerji tüketimini şeffaf bir standart çerçevede beyan etmeye zorlayacaktır.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Alanın Kurucu ve Güncel Çalışmaları ile Araştırma Boşlukları</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Kıyaslama metodolojilerinde kurucu çalışmalar, MLPerf Inference konsorsiyumunun kurulmasını sağlayan ve endüstri standardı belirleyen makaleler (Reddi vd., 2020) ile GNN iş yüklerini bir araya getiren ilk kapsamlı çerçeve olan GNNMark (Baruah vd., 2021) etrafında şekillenmiştir.</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2022-2025 dönemi güncel kıyaslama gelişmeleri ise, mobil cihazlar ve AI PC'ler için güç tüketimi testlerini (Power Consumption Test) resmi olarak uygulayan MLPerf Inference v4.1 lansmanı ve Intel NPU 4 mimarisinin ilk sonuçlarını veren test tablolarıdır.</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Yakın tarihli duyurular, v5.0 versiyonu ile RGAT mimarisinin resmi endüstri testi olacağını teyit etmiş; Intel SoC Watch 2024 ve 2025 revizyonları ise Android ve Linux işletim sistemleri üzerinde yeni MCDM (Microsoft Compute Driver Model) uyumlu NPU sürücü ölçümlerini desteklemiştir.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Kapsamlı ve gelişmiş analiz araçlarına rağmen, performans ölçümlerinde çözülemeyen çok spesifik araştırma boşlukları kalmıştır. Çizge veri setlerinin boyutu (Düğüm ve Kenar sayısı) MLPerf veya GNNMark gibi testlerde standartlaştırılmış olsa da, gerçek dünyadaki "seyreklik kalıpları" (sparsity pattern) manipüle edilmeye son derece açıktır. Dağınık bir sosyal ağ veri setine ait graf ile çok daha düzenli bir moleküler kimya grafının aynı boyutlarda olsalar bile NPU üzerinde yapacakları SpMM işlemi, donanımda tamamen zıt güç tüketimi ve gecikme eğrileri çizer.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Ayrıca SoC Watch gibi enerji izleme araçlarının, işlemci p-çekirdekleri, NPU ve Özel Bellek Tarafı Önbelleği (Memory Side Cache) arasındaki veri taşınması esnasında oluşan LPDDR5X PHY enerji tüketimini donanımsal izolasyonla kesin olarak hangi işlem birimine fatura edebileceği net değildir. NPU'nun GNN'deki rastgele bellek erişimini beklerken (stall) yaşadığı kaçak güç tüketiminin testlerde izole edilememesi, kıyaslama doğruluğunu gölgeleyen açık bir metrik sorunudur.</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KARŞILAŞTIRMALI ANALİZ ÇALIŞMALARI</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Uç yapay zeka (Edge AI) donanımlarının mimari evrimi, GNN gibi kompleks iş yüklerinin yürütülmesinde heterojen platform seçeneklerini (CPU, GPU ve NPU) yoğun bir analitik inceleme altına almayı mümkün kılmıştır. Yapılan karşılaştırmalı çalışmalar, platformlar arasındaki performans/watt dinamiklerini ve termal limitasyonları somutlaştırmaktadır.</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CPU vs GPU vs NPU Karşılaştırmaları</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Ampirik analizler, GNN ve benzeri bellek-sınırlı, matris-yoğun çıkarım senaryolarında GPU ve NPU arasında keskin bir operasyonel ayrım olduğunu göstermektedir. GPU'lar (örneğin Intel Arc Xe2 mimarisi), devasa paralel çekirdek yapılarıyla modelin eğitim (training) evresinde veya veri aktarım darboğazının yaşanmadığı büyük ölçekli batch çıkarımlarında mutlak işlem kapasitesi olarak NPU'yu ve CPU'yu geride bırakabilirler.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Ancak donanım, hesaplamayı sürekli belleğe yazma ve okuma ihtiyacı duyduğunda GPU'ların güç verimliliği feci şekilde düşer.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Analizler, NPU'ların eşdeğer bir yapay zeka model çıkarımında, devasa vektör işleme mantığını daha yalın bir silikonda çözdükleri için GPU'lara kıyasla %35 ila %70 arasında daha az enerji tükettiğini ortaya koymaktadır.</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GNN optimizasyonlarını merkeze alan GraNNite çalışmasının laboratuvar sonuçları, bu uçurumu nicel olarak belgelemiştir. Intel Core Ultra serisi donanımlarda yürütülen optimize GNN çıkarım testlerinde (GCN, GAT, GraphSAGE gibi modellerle), NPU birimi, klasik çok çekirdekli CPU'lara kıyasla 3.3 kattan 10.8 kata kadar; paralel işlemenin kalesi olan entegre GPU'lara kıyasla ise 2.3 kattan 6.7 kata kadar daha yüksek ham veri işleme performansı sunmuştur.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Daha da çarpıcı olan sonuç, Watt başına işlenen token/düğüm sayısı (enerji verimliliği) ölçüldüğünde ortaya çıkar: NPU, kendisiyle aynı çiplet üzerinde bulunan CPU ve GPU birimlerine kıyasla enerji verimliliğinde 8.6 kata varan bir üstünlük sağlamıştır.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Bu bulgular, GNN'lerin rastgele bellek erişim sorunlarına rağmen (GraphSplit ve StaGr gibi yöntemlerle yazılımsal haritalama doğru uygulandığında), NPU'nun MAC dizilimlerinin çıkarım iş yükleri için paha biçilemez bir platform olduğunu kesin olarak kanıtlar.</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İşlem Birimi Karşılaştırması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Çıkarım (Inference) Hızı Çarpanı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Enerji Verimliliği (TOPS/Watt) Üstünlüğü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İş Yükü Dağılım Karakteristiği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CPU (P-Core / E-Core)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1.0x (Taban Performans)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Kritik derecede düşük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GraphSplit kontrol algoritmaları, ön işleme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GPU (Intel Arc Xe2)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~1.5x - 2.0x (CPU'ya göre)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Düşük-Orta (Aşırı Güç Tüketimi)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Grafikte görsel oluşturma, toplu paralel yük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NPU (Lunar Lake NPU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3.3x - 10.8x (CPU'ya göre)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8.6 Kata Kadar Daha Verimli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Karmaşık matris hesaplamaları, QAT/PTQ kuantizasyon</w:t>
            </w:r>
          </w:p>
        </w:tc>
      </w:tr>
    </w:tbl>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Cihazlarda AI Inference Karşılaştırmaları</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Uç nokta cihazlarının donanım seviyesinde birbirleriyle karşılaştırılması, pazar rekabetinin teknolojik sınırlarını çizer. 2024 ve 2025 yıllarında teknoloji devlerinin piyasaya sürdüğü uç işlemcilerde (Intel Lunar Lake, Qualcomm Snapdragon X Elite, Apple M3/M4 mimarileri) mobil işlemci rekabeti doğrudan "Platform TOPS" kapasitesi ve INT8 verimliliği üzerinden yürütülmüştür.</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Örneğin Qualcomm'un Hexagon NPU'su, Snapdragon platformunda 45 TOPS'a varan performans sunarken; Intel, Lunar Lake işlemcisindeki revize NPU 4 mimarisi ile 48 TOPS sınırına ulaşarak bu alandaki pazar liderliği yarışına güçlü bir şekilde dahil olmuş ve Copilot+ ekosistemindeki standartları yeniden belirlemiştir.</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Donanım limitlerinin ne kadar keskin olduğunu gösteren en çarpıcı testlerden biri, 2026 yılında Tummalapalli ve Arayakandy tarafından yayınlanan ve aşırı kaynak kısıtlı platformların termal reaksiyonlarını ölçen ampirik çalışmadır.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Bu analizde, 4-bit kuantize edilmiş 1.5 milyar parametreli bir modelin çıkarım işlemi üç farklı mimari üzerinde teste tabi tutulmuştur. Dizüstü bilgisayardaki harici bir NVIDIA RTX 4050 GPU, işlem sırasında tam 34.1 Watt güç çekerek 131.7 token/saniye üretim hızına ulaşmıştır. Buna karşılık, aynı iş yükü küçük form faktörlü, tamamen sınır cihazlarına yönelik bir donanım olan Hailo-10H NPU'da çalıştırıldığında, NPU yalnızca 2 Watt gibi çok küçük bir güç tüketimi altında stabil şekilde 6.9 token/saniye hıza ulaşmıştır.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Aynı testte iPhone 16 Pro ve Samsung Galaxy S24 Ultra gibi premium mobil işlemciler, GPU ve işlemcilerinin ilk birkaç saniyedeki devasa ısınması nedeniyle işletim sistemi bazlı (OS-enforced) termal kısıtlamaya (thermal throttling) maruz kalmış, verimlilikleri saniyeler içinde yarı yarıya düşmüş veya güvenlik nedeniyle işlem tamamen durdurulmuştur.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Bu durum, RTX 4050 gibi GPU'ların "batarya güç tavanı" ile sınırlandığını, NPU'ların ise "modül içi bellek bant genişliği" ile sınırlandığını ancak NPU mimarilerinin ısı yönetiminde (thermal envelope) ve oransal enerji verimliliğinde (energy proportionality) rakipsiz olduklarını mutlak olarak ispatlamaktadır. Arka planda kesintisiz çalışan (always-on) kişisel ajanlar ve uç GNN çıkarımları için, donanım fanlarına ihtiyaç duymayan NPU'lar yegane çözümdür.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Alanın Kurucu ve Güncel Çalışmaları ile Araştırma Boşlukları</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 karşılaştırmaları literatürünün kurucu yapıtları, mobil SOC mimarilerini, geleneksel CPU'ları ve güçlü masaüstü GPU'larını Roofline analizleri ekseninde birbirleriyle kıyaslayan ve veri yollarının heterojen iletişim maliyetlerini ilk defa ölçen eski klasik donanım değerlendirme makaleleridir. GNN bağlamında uç noktalarda darboğaz analizleri sunan öncü değerlendirmeler bu dönemin temelini oluşturur.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2022-2025 (ve kısmen 2026) arasındaki güncel çalışmalar, GNN çıkarımlarını doğrudan NPU'ların üzerine taşıyan ampirik testlerdir. NPU optimizasyonlu GraNNite framework'ünün 2025 yılı performans karşılaştırmaları alanı derinden sarsarken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Tummalapalli ve Arayakandy'nin (2026) akıllı telefon, dizüstü GPU'su ve edge NPU'lar arasındaki termal darboğazları irdelediği mobil AI edge araştırması donanımların sınırlarını çizen anahtar belgeler arasına girmiştir.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geniş literatür ve başarılı test sonuçlarına rağmen, platform karşılaştırma metodolojilerinde yanıtlanmamış ciddi araştırma boşlukları dikkat çekmektedir. Mevcut donanım karşılaştırmaları, farklı GNN mimarilerinin (örneğin yalnızca özellikleri dönüştüren SGC ile karmaşık çoklu kafa dikkat hesaplaması yapan GAT modellerinin) Intel Lunar Lake NPU 4 içerisindeki spesifik "Aktivasyon/MAC" dağılım oranlarını (örneğin SHAVE DSP'lerin yüzde kaç, MAC matrislerinin yüzde kaç kullanıldığını) silikon düzeyinde izole ederek bağımsız olarak raporlamamıştır. Üreticiler tarafından Lunar Lake NPU'nun 48 TOPS değere sahip olduğu teorik olarak iddia edilse de; GNN SpMM matrislerinin yapısal seyrekliği nedeniyle veri yolu tıkandığında, bu donanımın gerçekte yüzde kaçlık bir tavan kapasite kullanım (utilization) oranına erişebileceği; NPU DMA motorlarının bellek beklerken diğer donanımları ne ölçüde kilitlediği tam olarak donanımsal düzeyde modellenememiştir.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Uç cihazlarda CPU, GPU ve NPU arasında dinamik görev planlaması (heterogeneous task scheduling) yapılırken yonga içi bağlantı (interconnect) birimleri arasında akan gigabaytlarca verinin neden olduğu ısınma ve aktarım gecikmeleri, gelecek araştırmaların öncelikli analiz konuları arasında yer almaktadır.</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Guide to GNN, GAT, and GCN: A Beginner's Introduction to Graph Neural Networks After Reading 11 GNN Papers | by Joyce Birkins | Medium, erişim tarihi Nisan 30, 2026, </w:t>
      </w:r>
      <w:hyperlink r:id="rId8">
        <w:r w:rsidDel="00000000" w:rsidR="00000000" w:rsidRPr="00000000">
          <w:rPr>
            <w:rFonts w:ascii="Google Sans" w:cs="Google Sans" w:eastAsia="Google Sans" w:hAnsi="Google Sans"/>
            <w:color w:val="0000ee"/>
            <w:sz w:val="24"/>
            <w:szCs w:val="24"/>
            <w:u w:val="single"/>
            <w:rtl w:val="0"/>
          </w:rPr>
          <w:t xml:space="preserve">https://medium.com/@joycebirkins/comprehensive-guide-to-gnn-gat-and-gcn-a-beginners-introduction-to-graph-neural-networks-after-51d09ac043b5</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Survey on Graph Neural Networks - ResearchGate, erişim tarihi Nisan 30, 2026,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https://www.researchgate.net/publication/383925398_Survey_on_Graph_Neural_Networks</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a Graph Neural Network Benchmark in MLPerf Inference v5.0 - MLCommons, erişim tarihi Nisan 30, 2026, </w:t>
      </w:r>
      <w:hyperlink r:id="rId10">
        <w:r w:rsidDel="00000000" w:rsidR="00000000" w:rsidRPr="00000000">
          <w:rPr>
            <w:rFonts w:ascii="Google Sans" w:cs="Google Sans" w:eastAsia="Google Sans" w:hAnsi="Google Sans"/>
            <w:color w:val="0000ee"/>
            <w:sz w:val="24"/>
            <w:szCs w:val="24"/>
            <w:u w:val="single"/>
            <w:rtl w:val="0"/>
          </w:rPr>
          <w:t xml:space="preserve">https://mlcommons.org/2025/04/rgat-inference-v5/</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graph convolutional neural network architecture for graph classification - PMC - NIH, erişim tarihi Nisan 30,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https://pmc.ncbi.nlm.nih.gov/articles/PMC10004633/</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 What are the current research gaps on GNN? : r/MachineLearning - Reddit, erişim tarihi Nisan 30, 2026, </w:t>
      </w:r>
      <w:hyperlink r:id="rId12">
        <w:r w:rsidDel="00000000" w:rsidR="00000000" w:rsidRPr="00000000">
          <w:rPr>
            <w:rFonts w:ascii="Google Sans" w:cs="Google Sans" w:eastAsia="Google Sans" w:hAnsi="Google Sans"/>
            <w:color w:val="0000ee"/>
            <w:sz w:val="24"/>
            <w:szCs w:val="24"/>
            <w:u w:val="single"/>
            <w:rtl w:val="0"/>
          </w:rPr>
          <w:t xml:space="preserve">https://www.reddit.com/r/MachineLearning/comments/1k4oxgo/d_what_are_the_current_research_gaps_on_gnn/</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Causal Classification: A Comprehensive Study on Graph Neural Networks - arXiv, erişim tarihi Nisan 30, 2026, </w:t>
      </w:r>
      <w:hyperlink r:id="rId13">
        <w:r w:rsidDel="00000000" w:rsidR="00000000" w:rsidRPr="00000000">
          <w:rPr>
            <w:rFonts w:ascii="Google Sans" w:cs="Google Sans" w:eastAsia="Google Sans" w:hAnsi="Google Sans"/>
            <w:color w:val="0000ee"/>
            <w:sz w:val="24"/>
            <w:szCs w:val="24"/>
            <w:u w:val="single"/>
            <w:rtl w:val="0"/>
          </w:rPr>
          <w:t xml:space="preserve">https://arxiv.org/html/2401.15444v1</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Computationally Efficient Graph Neural Networks for Reconfigurable Systems, erişim tarihi Nisan 30, 2026, </w:t>
      </w:r>
      <w:hyperlink r:id="rId14">
        <w:r w:rsidDel="00000000" w:rsidR="00000000" w:rsidRPr="00000000">
          <w:rPr>
            <w:rFonts w:ascii="Google Sans" w:cs="Google Sans" w:eastAsia="Google Sans" w:hAnsi="Google Sans"/>
            <w:color w:val="0000ee"/>
            <w:sz w:val="24"/>
            <w:szCs w:val="24"/>
            <w:u w:val="single"/>
            <w:rtl w:val="0"/>
          </w:rPr>
          <w:t xml:space="preserve">https://www.mdpi.com/2078-2489/15/7/377</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GraNNite: Enabling High-Performance Execution of Graph Neural Networks on Resource-Constrained Neural Processing Units - arXiv, erişim tarihi Nisan 30, 2026, </w:t>
      </w:r>
      <w:hyperlink r:id="rId15">
        <w:r w:rsidDel="00000000" w:rsidR="00000000" w:rsidRPr="00000000">
          <w:rPr>
            <w:rFonts w:ascii="Google Sans" w:cs="Google Sans" w:eastAsia="Google Sans" w:hAnsi="Google Sans"/>
            <w:color w:val="0000ee"/>
            <w:sz w:val="24"/>
            <w:szCs w:val="24"/>
            <w:u w:val="single"/>
            <w:rtl w:val="0"/>
          </w:rPr>
          <w:t xml:space="preserve">https://arxiv.org/html/2502.06921v1</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Lightweight Deep Neural Network Models for Edge Intelligence:A Survey - ResearchGate, erişim tarihi Nisan 30, 2026,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https://www.researchgate.net/publication/402278076_Lightweight_Deep_Neural_Network_Models_for_Edge_IntelligenceA_Survey</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AI in Practice: A Survey and Deployment Framework for Neural Networks on Embedded Systems - MDPI, erişim tarihi Nisan 30, 2026, </w:t>
      </w:r>
      <w:hyperlink r:id="rId17">
        <w:r w:rsidDel="00000000" w:rsidR="00000000" w:rsidRPr="00000000">
          <w:rPr>
            <w:rFonts w:ascii="Google Sans" w:cs="Google Sans" w:eastAsia="Google Sans" w:hAnsi="Google Sans"/>
            <w:color w:val="0000ee"/>
            <w:sz w:val="24"/>
            <w:szCs w:val="24"/>
            <w:u w:val="single"/>
            <w:rtl w:val="0"/>
          </w:rPr>
          <w:t xml:space="preserve">https://www.mdpi.com/2079-9292/14/24/4877</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Explanation and Practice of Lightweight Graph Convolutional Network (LightGCN) - Medium, erişim tarihi Nisan 30, 2026, </w:t>
      </w:r>
      <w:hyperlink r:id="rId18">
        <w:r w:rsidDel="00000000" w:rsidR="00000000" w:rsidRPr="00000000">
          <w:rPr>
            <w:rFonts w:ascii="Google Sans" w:cs="Google Sans" w:eastAsia="Google Sans" w:hAnsi="Google Sans"/>
            <w:color w:val="0000ee"/>
            <w:sz w:val="24"/>
            <w:szCs w:val="24"/>
            <w:u w:val="single"/>
            <w:rtl w:val="0"/>
          </w:rPr>
          <w:t xml:space="preserve">https://medium.com/@xiaolancara/explanation-and-practice-of-lightweight-graph-convolutional-network-lightgcn-ac30ac38469c</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LightGCN: Simplifying and Powering Graph Convolution Network for Recommendation, erişim tarihi Nisan 30, 2026, </w:t>
      </w:r>
      <w:hyperlink r:id="rId19">
        <w:r w:rsidDel="00000000" w:rsidR="00000000" w:rsidRPr="00000000">
          <w:rPr>
            <w:rFonts w:ascii="Google Sans" w:cs="Google Sans" w:eastAsia="Google Sans" w:hAnsi="Google Sans"/>
            <w:color w:val="0000ee"/>
            <w:sz w:val="24"/>
            <w:szCs w:val="24"/>
            <w:u w:val="single"/>
            <w:rtl w:val="0"/>
          </w:rPr>
          <w:t xml:space="preserve">https://www.atailab.cn/seminar2020spring/pdf/LightGCN.pdf</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LightGNN: Simple Graph Neural Network for Recommendation - arXiv, erişim tarihi Nisan 30, 2026, </w:t>
      </w:r>
      <w:hyperlink r:id="rId20">
        <w:r w:rsidDel="00000000" w:rsidR="00000000" w:rsidRPr="00000000">
          <w:rPr>
            <w:rFonts w:ascii="Google Sans" w:cs="Google Sans" w:eastAsia="Google Sans" w:hAnsi="Google Sans"/>
            <w:color w:val="0000ee"/>
            <w:sz w:val="24"/>
            <w:szCs w:val="24"/>
            <w:u w:val="single"/>
            <w:rtl w:val="0"/>
          </w:rPr>
          <w:t xml:space="preserve">https://arxiv.org/html/2501.03228v1</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[2408.12840] HGNAS: Hardware-Aware Graph Neural Architecture Search for Edge Devices, erişim tarihi Nisan 30, 2026, </w:t>
      </w:r>
      <w:hyperlink r:id="rId21">
        <w:r w:rsidDel="00000000" w:rsidR="00000000" w:rsidRPr="00000000">
          <w:rPr>
            <w:rFonts w:ascii="Google Sans" w:cs="Google Sans" w:eastAsia="Google Sans" w:hAnsi="Google Sans"/>
            <w:color w:val="0000ee"/>
            <w:sz w:val="24"/>
            <w:szCs w:val="24"/>
            <w:u w:val="single"/>
            <w:rtl w:val="0"/>
          </w:rPr>
          <w:t xml:space="preserve">https://arxiv.org/abs/2408.12840</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Hardware-aware Neural Architecture Search for Image Super-resolution on Mobile Devices - CVF Open Access, erişim tarihi Nisan 30, 2026, </w:t>
      </w:r>
      <w:hyperlink r:id="rId22">
        <w:r w:rsidDel="00000000" w:rsidR="00000000" w:rsidRPr="00000000">
          <w:rPr>
            <w:rFonts w:ascii="Google Sans" w:cs="Google Sans" w:eastAsia="Google Sans" w:hAnsi="Google Sans"/>
            <w:color w:val="0000ee"/>
            <w:sz w:val="24"/>
            <w:szCs w:val="24"/>
            <w:u w:val="single"/>
            <w:rtl w:val="0"/>
          </w:rPr>
          <w:t xml:space="preserve">https://openaccess.thecvf.com/content/ACCV2022/papers/Zhang_Efficient_Hardware-aware_Neural_Architecture_Search_for_Image_Super-resolution_on_Mobile_ACCV_2022_paper.pdf</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Inference at the Edge: Mobile, NPU, and GPU Performance Efficiency Trade-offs Under Sustained Load - arXiv, erişim tarihi Nisan 30, 2026, </w:t>
      </w:r>
      <w:hyperlink r:id="rId23">
        <w:r w:rsidDel="00000000" w:rsidR="00000000" w:rsidRPr="00000000">
          <w:rPr>
            <w:rFonts w:ascii="Google Sans" w:cs="Google Sans" w:eastAsia="Google Sans" w:hAnsi="Google Sans"/>
            <w:color w:val="0000ee"/>
            <w:sz w:val="24"/>
            <w:szCs w:val="24"/>
            <w:u w:val="single"/>
            <w:rtl w:val="0"/>
          </w:rPr>
          <w:t xml:space="preserve">https://arxiv.org/html/2603.23640v1</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[2306.15155] Input-sensitive dense-sparse primitive compositions for GNN acceleration - arXiv, erişim tarihi Nisan 30, 2026, </w:t>
      </w:r>
      <w:hyperlink r:id="rId24">
        <w:r w:rsidDel="00000000" w:rsidR="00000000" w:rsidRPr="00000000">
          <w:rPr>
            <w:rFonts w:ascii="Google Sans" w:cs="Google Sans" w:eastAsia="Google Sans" w:hAnsi="Google Sans"/>
            <w:color w:val="0000ee"/>
            <w:sz w:val="24"/>
            <w:szCs w:val="24"/>
            <w:u w:val="single"/>
            <w:rtl w:val="0"/>
          </w:rPr>
          <w:t xml:space="preserve">https://arxiv.org/abs/2306.15155</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TC-GNN: Bridging Sparse GNN Computation and Dense Tensor Cores on GPUs - USENIX, erişim tarihi Nisan 30, 2026, </w:t>
      </w:r>
      <w:hyperlink r:id="rId25">
        <w:r w:rsidDel="00000000" w:rsidR="00000000" w:rsidRPr="00000000">
          <w:rPr>
            <w:rFonts w:ascii="Google Sans" w:cs="Google Sans" w:eastAsia="Google Sans" w:hAnsi="Google Sans"/>
            <w:color w:val="0000ee"/>
            <w:sz w:val="24"/>
            <w:szCs w:val="24"/>
            <w:u w:val="single"/>
            <w:rtl w:val="0"/>
          </w:rPr>
          <w:t xml:space="preserve">https://www.usenix.org/conference/atc23/presentation/wang-yuke</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Dense TOPS vs. sparse TOPS: What's the difference? | Qualcomm, erişim tarihi Nisan 30, 2026, </w:t>
      </w:r>
      <w:hyperlink r:id="rId26">
        <w:r w:rsidDel="00000000" w:rsidR="00000000" w:rsidRPr="00000000">
          <w:rPr>
            <w:rFonts w:ascii="Google Sans" w:cs="Google Sans" w:eastAsia="Google Sans" w:hAnsi="Google Sans"/>
            <w:color w:val="0000ee"/>
            <w:sz w:val="24"/>
            <w:szCs w:val="24"/>
            <w:u w:val="single"/>
            <w:rtl w:val="0"/>
          </w:rPr>
          <w:t xml:space="preserve">https://www.qualcomm.com/news/onq/2025/07/dense-tops-vs-sparse-tops-whats-the-difference</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Classic GNNs are Strong Baselines: Reassessing GNNs for Node Classification, erişim tarihi Nisan 30, 2026, </w:t>
      </w:r>
      <w:hyperlink r:id="rId27">
        <w:r w:rsidDel="00000000" w:rsidR="00000000" w:rsidRPr="00000000">
          <w:rPr>
            <w:rFonts w:ascii="Google Sans" w:cs="Google Sans" w:eastAsia="Google Sans" w:hAnsi="Google Sans"/>
            <w:color w:val="0000ee"/>
            <w:sz w:val="24"/>
            <w:szCs w:val="24"/>
            <w:u w:val="single"/>
            <w:rtl w:val="0"/>
          </w:rPr>
          <w:t xml:space="preserve">https://proceedings.neurips.cc/paper_files/paper/2024/file/b10ed15ff1aa864f1be3a75f1ffc021b-Paper-Datasets_and_Benchmarks_Track.pdf</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NPU vs GPU: What's the Difference? - IBM, erişim tarihi Nisan 30, 2026, </w:t>
      </w:r>
      <w:hyperlink r:id="rId28">
        <w:r w:rsidDel="00000000" w:rsidR="00000000" w:rsidRPr="00000000">
          <w:rPr>
            <w:rFonts w:ascii="Google Sans" w:cs="Google Sans" w:eastAsia="Google Sans" w:hAnsi="Google Sans"/>
            <w:color w:val="0000ee"/>
            <w:sz w:val="24"/>
            <w:szCs w:val="24"/>
            <w:u w:val="single"/>
            <w:rtl w:val="0"/>
          </w:rPr>
          <w:t xml:space="preserve">https://www.ibm.com/think/topics/npu-vs-gpu</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EDGE AI TECHNOLOGY REPORT | Ceva, erişim tarihi Nisan 30, 2026, </w:t>
      </w:r>
      <w:hyperlink r:id="rId29">
        <w:r w:rsidDel="00000000" w:rsidR="00000000" w:rsidRPr="00000000">
          <w:rPr>
            <w:rFonts w:ascii="Google Sans" w:cs="Google Sans" w:eastAsia="Google Sans" w:hAnsi="Google Sans"/>
            <w:color w:val="0000ee"/>
            <w:sz w:val="24"/>
            <w:szCs w:val="24"/>
            <w:u w:val="single"/>
            <w:rtl w:val="0"/>
          </w:rPr>
          <w:t xml:space="preserve">https://www.ceva-ip.com/wp-content/uploads/2025-Edge-AI-Technology-Report.pdf</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overview of Intel's Neural Processing Unit (NPU), erişim tarihi Nisan 30, 2026, </w:t>
      </w:r>
      <w:hyperlink r:id="rId30">
        <w:r w:rsidDel="00000000" w:rsidR="00000000" w:rsidRPr="00000000">
          <w:rPr>
            <w:rFonts w:ascii="Google Sans" w:cs="Google Sans" w:eastAsia="Google Sans" w:hAnsi="Google Sans"/>
            <w:color w:val="0000ee"/>
            <w:sz w:val="24"/>
            <w:szCs w:val="24"/>
            <w:u w:val="single"/>
            <w:rtl w:val="0"/>
          </w:rPr>
          <w:t xml:space="preserve">https://intel.github.io/intel-npu-acceleration-library/npu.html</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NPUs vs. GPUs for Edge AI: Choosing the Right AI Accelerator - OnLogic, erişim tarihi Nisan 30, 2026, </w:t>
      </w:r>
      <w:hyperlink r:id="rId31">
        <w:r w:rsidDel="00000000" w:rsidR="00000000" w:rsidRPr="00000000">
          <w:rPr>
            <w:rFonts w:ascii="Google Sans" w:cs="Google Sans" w:eastAsia="Google Sans" w:hAnsi="Google Sans"/>
            <w:color w:val="0000ee"/>
            <w:sz w:val="24"/>
            <w:szCs w:val="24"/>
            <w:u w:val="single"/>
            <w:rtl w:val="0"/>
          </w:rPr>
          <w:t xml:space="preserve">https://www.onlogic.com/blog/npus-vs-gpus-for-edge-ai/</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Lunar Lake AI Hardware Accelerators - Intel, erişim tarihi Nisan 30, 2026, </w:t>
      </w:r>
      <w:hyperlink r:id="rId32">
        <w:r w:rsidDel="00000000" w:rsidR="00000000" w:rsidRPr="00000000">
          <w:rPr>
            <w:rFonts w:ascii="Google Sans" w:cs="Google Sans" w:eastAsia="Google Sans" w:hAnsi="Google Sans"/>
            <w:color w:val="0000ee"/>
            <w:sz w:val="24"/>
            <w:szCs w:val="24"/>
            <w:u w:val="single"/>
            <w:rtl w:val="0"/>
          </w:rPr>
          <w:t xml:space="preserve">https://cdrdv2-public.intel.com/824436/2024_Intel_Tech%20Tour%20TW_Lunar%20Lake%20AI%20Hardware%20Accelerators.pdf</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Lunar Lake (Intel® Core™ Ultra Processors Series 2), erişim tarihi Nisan 30, 2026, </w:t>
      </w:r>
      <w:hyperlink r:id="rId33">
        <w:r w:rsidDel="00000000" w:rsidR="00000000" w:rsidRPr="00000000">
          <w:rPr>
            <w:rFonts w:ascii="Google Sans" w:cs="Google Sans" w:eastAsia="Google Sans" w:hAnsi="Google Sans"/>
            <w:color w:val="0000ee"/>
            <w:sz w:val="24"/>
            <w:szCs w:val="24"/>
            <w:u w:val="single"/>
            <w:rtl w:val="0"/>
          </w:rPr>
          <w:t xml:space="preserve">https://www.intel.com/content/www/us/en/support/articles/000099574/processors/intel-core-ultra-processors.html</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Lunar Lake - Wikipedia, erişim tarihi Nisan 30, 2026, </w:t>
      </w:r>
      <w:hyperlink r:id="rId34">
        <w:r w:rsidDel="00000000" w:rsidR="00000000" w:rsidRPr="00000000">
          <w:rPr>
            <w:rFonts w:ascii="Google Sans" w:cs="Google Sans" w:eastAsia="Google Sans" w:hAnsi="Google Sans"/>
            <w:color w:val="0000ee"/>
            <w:sz w:val="24"/>
            <w:szCs w:val="24"/>
            <w:u w:val="single"/>
            <w:rtl w:val="0"/>
          </w:rPr>
          <w:t xml:space="preserve">https://en.wikipedia.org/wiki/Lunar_Lake</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 Lunar Lake Technical Deep Dive - So many Revolutions in One Chip - TechPowerUp, erişim tarihi Nisan 30, 2026, </w:t>
      </w:r>
      <w:hyperlink r:id="rId35">
        <w:r w:rsidDel="00000000" w:rsidR="00000000" w:rsidRPr="00000000">
          <w:rPr>
            <w:rFonts w:ascii="Google Sans" w:cs="Google Sans" w:eastAsia="Google Sans" w:hAnsi="Google Sans"/>
            <w:color w:val="0000ee"/>
            <w:sz w:val="24"/>
            <w:szCs w:val="24"/>
            <w:u w:val="single"/>
            <w:rtl w:val="0"/>
          </w:rPr>
          <w:t xml:space="preserve">https://www.techpowerup.com/review/intel-lunar-lake-technical-deep-dive/</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All-New Intel Core Ultra Processors, erişim tarihi Nisan 30, 2026, </w:t>
      </w:r>
      <w:hyperlink r:id="rId36">
        <w:r w:rsidDel="00000000" w:rsidR="00000000" w:rsidRPr="00000000">
          <w:rPr>
            <w:rFonts w:ascii="Google Sans" w:cs="Google Sans" w:eastAsia="Google Sans" w:hAnsi="Google Sans"/>
            <w:color w:val="0000ee"/>
            <w:sz w:val="24"/>
            <w:szCs w:val="24"/>
            <w:u w:val="single"/>
            <w:rtl w:val="0"/>
          </w:rPr>
          <w:t xml:space="preserve">https://download.intel.com/newsroom/2024/client-computing/Intel-Core-Ultra-Series-2-Media-Deck.pdf</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NITRO: LLM Inference on Intel® Laptop NPUs - arXiv, erişim tarihi Nisan 30, 2026, </w:t>
      </w:r>
      <w:hyperlink r:id="rId37">
        <w:r w:rsidDel="00000000" w:rsidR="00000000" w:rsidRPr="00000000">
          <w:rPr>
            <w:rFonts w:ascii="Google Sans" w:cs="Google Sans" w:eastAsia="Google Sans" w:hAnsi="Google Sans"/>
            <w:color w:val="0000ee"/>
            <w:sz w:val="24"/>
            <w:szCs w:val="24"/>
            <w:u w:val="single"/>
            <w:rtl w:val="0"/>
          </w:rPr>
          <w:t xml:space="preserve">https://arxiv.org/html/2412.11053v1</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 unwraps Lunar Lake architecture: Up to 68% IPC gain for E-cores, 14% IPC gain for P-Cores - Page 5 | Tom's Hardware, erişim tarihi Nisan 30, 2026, </w:t>
      </w:r>
      <w:hyperlink r:id="rId38">
        <w:r w:rsidDel="00000000" w:rsidR="00000000" w:rsidRPr="00000000">
          <w:rPr>
            <w:rFonts w:ascii="Google Sans" w:cs="Google Sans" w:eastAsia="Google Sans" w:hAnsi="Google Sans"/>
            <w:color w:val="0000ee"/>
            <w:sz w:val="24"/>
            <w:szCs w:val="24"/>
            <w:u w:val="single"/>
            <w:rtl w:val="0"/>
          </w:rPr>
          <w:t xml:space="preserve">https://www.tomshardware.com/pc-components/cpus/intel-unwraps-lunar-lake-architecture-up-to-68-ipc-gain-for-e-cores-16-ipc-gain-for-p-cores/5</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GRIP: A Graph Neural Network Accelerator Architecture - IEEE Computer Society, erişim tarihi Nisan 30, 2026, </w:t>
      </w:r>
      <w:hyperlink r:id="rId39">
        <w:r w:rsidDel="00000000" w:rsidR="00000000" w:rsidRPr="00000000">
          <w:rPr>
            <w:rFonts w:ascii="Google Sans" w:cs="Google Sans" w:eastAsia="Google Sans" w:hAnsi="Google Sans"/>
            <w:color w:val="0000ee"/>
            <w:sz w:val="24"/>
            <w:szCs w:val="24"/>
            <w:u w:val="single"/>
            <w:rtl w:val="0"/>
          </w:rPr>
          <w:t xml:space="preserve">https://www.computer.org/csdl/journal/tc/2023/04/09858684/1FUYCxUwwvu</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Contents - arXiv, erişim tarihi Nisan 30, 2026, </w:t>
      </w:r>
      <w:hyperlink r:id="rId40">
        <w:r w:rsidDel="00000000" w:rsidR="00000000" w:rsidRPr="00000000">
          <w:rPr>
            <w:rFonts w:ascii="Google Sans" w:cs="Google Sans" w:eastAsia="Google Sans" w:hAnsi="Google Sans"/>
            <w:color w:val="0000ee"/>
            <w:sz w:val="24"/>
            <w:szCs w:val="24"/>
            <w:u w:val="single"/>
            <w:rtl w:val="0"/>
          </w:rPr>
          <w:t xml:space="preserve">https://arxiv.org/html/2312.10561v2</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Neural Networks Automated Design and Deployment on Device-Edge Co-Inference Systems - ResearchGate, erişim tarihi Nisan 30,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https://www.researchgate.net/publication/385637921_Graph_Neural_Networks_Automated_Design_and_Deployment_on_Device-Edge_Co-Inference_Systems</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Computing Graph Neural Networks: A Survey from Algorithms to Accelerators - arXiv, erişim tarihi Nisan 30, 2026, </w:t>
      </w:r>
      <w:hyperlink r:id="rId42">
        <w:r w:rsidDel="00000000" w:rsidR="00000000" w:rsidRPr="00000000">
          <w:rPr>
            <w:rFonts w:ascii="Google Sans" w:cs="Google Sans" w:eastAsia="Google Sans" w:hAnsi="Google Sans"/>
            <w:color w:val="0000ee"/>
            <w:sz w:val="24"/>
            <w:szCs w:val="24"/>
            <w:u w:val="single"/>
            <w:rtl w:val="0"/>
          </w:rPr>
          <w:t xml:space="preserve">https://arxiv.org/pdf/2010.00130</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Edge AI Platforms for High-Performance ML Inference - arXiv, erişim tarihi Nisan 30, 2026, </w:t>
      </w:r>
      <w:hyperlink r:id="rId43">
        <w:r w:rsidDel="00000000" w:rsidR="00000000" w:rsidRPr="00000000">
          <w:rPr>
            <w:rFonts w:ascii="Google Sans" w:cs="Google Sans" w:eastAsia="Google Sans" w:hAnsi="Google Sans"/>
            <w:color w:val="0000ee"/>
            <w:sz w:val="24"/>
            <w:szCs w:val="24"/>
            <w:u w:val="single"/>
            <w:rtl w:val="0"/>
          </w:rPr>
          <w:t xml:space="preserve">https://arxiv.org/html/2409.14803v1</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Hardware Acceleration for Neural Networks: A Comprehensive Survey - arXiv, erişim tarihi Nisan 30, 2026, </w:t>
      </w:r>
      <w:hyperlink r:id="rId44">
        <w:r w:rsidDel="00000000" w:rsidR="00000000" w:rsidRPr="00000000">
          <w:rPr>
            <w:rFonts w:ascii="Google Sans" w:cs="Google Sans" w:eastAsia="Google Sans" w:hAnsi="Google Sans"/>
            <w:color w:val="0000ee"/>
            <w:sz w:val="24"/>
            <w:szCs w:val="24"/>
            <w:u w:val="single"/>
            <w:rtl w:val="0"/>
          </w:rPr>
          <w:t xml:space="preserve">https://arxiv.org/html/2512.23914v1</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Graph Neural Network Acceleration: A Hardware Perspective | Request PDF, erişim tarihi Nisan 30,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https://www.researchgate.net/publication/381089632_A_Survey_on_Graph_Neural_Network_Acceleration_A_Hardware_Perspective</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[2306.14052] A Survey on Graph Neural Network Acceleration: Algorithms, Systems, and Customized Hardware - arXiv, erişim tarihi Nisan 30, 2026, </w:t>
      </w:r>
      <w:hyperlink r:id="rId46">
        <w:r w:rsidDel="00000000" w:rsidR="00000000" w:rsidRPr="00000000">
          <w:rPr>
            <w:rFonts w:ascii="Google Sans" w:cs="Google Sans" w:eastAsia="Google Sans" w:hAnsi="Google Sans"/>
            <w:color w:val="0000ee"/>
            <w:sz w:val="24"/>
            <w:szCs w:val="24"/>
            <w:u w:val="single"/>
            <w:rtl w:val="0"/>
          </w:rPr>
          <w:t xml:space="preserve">https://arxiv.org/abs/2306.14052</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gnnbuilder: an automated framework for generic graph neural network accelerator generation, simulation - Georgia Tech, erişim tarihi Nisan 30, 2026, </w:t>
      </w:r>
      <w:hyperlink r:id="rId47">
        <w:r w:rsidDel="00000000" w:rsidR="00000000" w:rsidRPr="00000000">
          <w:rPr>
            <w:rFonts w:ascii="Google Sans" w:cs="Google Sans" w:eastAsia="Google Sans" w:hAnsi="Google Sans"/>
            <w:color w:val="0000ee"/>
            <w:sz w:val="24"/>
            <w:szCs w:val="24"/>
            <w:u w:val="single"/>
            <w:rtl w:val="0"/>
          </w:rPr>
          <w:t xml:space="preserve">https://repository.gatech.edu/bitstreams/88569459-9200-4580-abf2-1591f25f10ef/download</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Acceleration for General-Purpose Approximate Programs - University of Washington, erişim tarihi Nisan 30, 2026, </w:t>
      </w:r>
      <w:hyperlink r:id="rId48">
        <w:r w:rsidDel="00000000" w:rsidR="00000000" w:rsidRPr="00000000">
          <w:rPr>
            <w:rFonts w:ascii="Google Sans" w:cs="Google Sans" w:eastAsia="Google Sans" w:hAnsi="Google Sans"/>
            <w:color w:val="0000ee"/>
            <w:sz w:val="24"/>
            <w:szCs w:val="24"/>
            <w:u w:val="single"/>
            <w:rtl w:val="0"/>
          </w:rPr>
          <w:t xml:space="preserve">https://homes.cs.washington.edu/~luisceze/publications/micro12-web.pdf</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Hardware Acceleration of Graph Neural Networks - Rakesh Kumar, erişim tarihi Nisan 30, 2026, </w:t>
      </w:r>
      <w:hyperlink r:id="rId49">
        <w:r w:rsidDel="00000000" w:rsidR="00000000" w:rsidRPr="00000000">
          <w:rPr>
            <w:rFonts w:ascii="Google Sans" w:cs="Google Sans" w:eastAsia="Google Sans" w:hAnsi="Google Sans"/>
            <w:color w:val="0000ee"/>
            <w:sz w:val="24"/>
            <w:szCs w:val="24"/>
            <w:u w:val="single"/>
            <w:rtl w:val="0"/>
          </w:rPr>
          <w:t xml:space="preserve">https://passat.crhc.illinois.edu/dac20.pdf</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Core of the AI PC: NPUs Enabling a Richer, More Convenient Society Without Cloud Dependence - Rapidus, erişim tarihi Nisan 30, 2026, </w:t>
      </w:r>
      <w:hyperlink r:id="rId50">
        <w:r w:rsidDel="00000000" w:rsidR="00000000" w:rsidRPr="00000000">
          <w:rPr>
            <w:rFonts w:ascii="Google Sans" w:cs="Google Sans" w:eastAsia="Google Sans" w:hAnsi="Google Sans"/>
            <w:color w:val="0000ee"/>
            <w:sz w:val="24"/>
            <w:szCs w:val="24"/>
            <w:u w:val="single"/>
            <w:rtl w:val="0"/>
          </w:rPr>
          <w:t xml:space="preserve">https://www.rapidus.inc/en/tech/te0017/</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[論文評述] GraNNite: Enabling High-Performance Execution of Graph Neural Networks on Resource-Constrained Neural Processing Units, erişim tarihi Nisan 30, 2026, </w:t>
      </w:r>
      <w:hyperlink r:id="rId51">
        <w:r w:rsidDel="00000000" w:rsidR="00000000" w:rsidRPr="00000000">
          <w:rPr>
            <w:rFonts w:ascii="Google Sans" w:cs="Google Sans" w:eastAsia="Google Sans" w:hAnsi="Google Sans"/>
            <w:color w:val="0000ee"/>
            <w:sz w:val="24"/>
            <w:szCs w:val="24"/>
            <w:u w:val="single"/>
            <w:rtl w:val="0"/>
          </w:rPr>
          <w:t xml:space="preserve">https://www.themoonlight.io/tw/review/grannite-enabling-high-performance-execution-of-graph-neural-networks-on-resource-constrained-neural-processing-units</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GraNNite: Enabling High-Performance Execution of Graph Neural Networks on Resource-Constrained Neural Processing Units - arXiv, erişim tarihi Nisan 30, 2026, </w:t>
      </w:r>
      <w:hyperlink r:id="rId52">
        <w:r w:rsidDel="00000000" w:rsidR="00000000" w:rsidRPr="00000000">
          <w:rPr>
            <w:rFonts w:ascii="Google Sans" w:cs="Google Sans" w:eastAsia="Google Sans" w:hAnsi="Google Sans"/>
            <w:color w:val="0000ee"/>
            <w:sz w:val="24"/>
            <w:szCs w:val="24"/>
            <w:u w:val="single"/>
            <w:rtl w:val="0"/>
          </w:rPr>
          <w:t xml:space="preserve">https://arxiv.org/html/2502.06921v2</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GraNNite: Enabling High-Performance Execution of Graph Neural Networks on Resource-Constrained Neural Processing Units - IEEE Xplore, erişim tarihi Nisan 30, 2026, </w:t>
      </w:r>
      <w:hyperlink r:id="rId53">
        <w:r w:rsidDel="00000000" w:rsidR="00000000" w:rsidRPr="00000000">
          <w:rPr>
            <w:rFonts w:ascii="Google Sans" w:cs="Google Sans" w:eastAsia="Google Sans" w:hAnsi="Google Sans"/>
            <w:color w:val="0000ee"/>
            <w:sz w:val="24"/>
            <w:szCs w:val="24"/>
            <w:u w:val="single"/>
            <w:rtl w:val="0"/>
          </w:rPr>
          <w:t xml:space="preserve">https://ieeexplore.ieee.org/document/11227197/</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BUAA-CI-LAB/Literatures-on-GNN-Acceleration: A reading list for deep graph learning ... - GitHub, erişim tarihi Nisan 30, 2026, </w:t>
      </w:r>
      <w:hyperlink r:id="rId54">
        <w:r w:rsidDel="00000000" w:rsidR="00000000" w:rsidRPr="00000000">
          <w:rPr>
            <w:rFonts w:ascii="Google Sans" w:cs="Google Sans" w:eastAsia="Google Sans" w:hAnsi="Google Sans"/>
            <w:color w:val="0000ee"/>
            <w:sz w:val="24"/>
            <w:szCs w:val="24"/>
            <w:u w:val="single"/>
            <w:rtl w:val="0"/>
          </w:rPr>
          <w:t xml:space="preserve">https://github.com/BUAA-CI-LAB/Literatures-on-GNN-Acceleration</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HGL: Accelerating Heterogeneous GNN Training with Holistic Representation and Optimization | Request PDF - ResearchGate, erişim tarihi Nisan 30,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https://www.researchgate.net/publication/368763855_HGL_Accelerating_Heterogeneous_GNN_Training_with_Holistic_Representation_and_Optimization</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Accelerate BiT Model Even More with Quantization Using OpenVINO and NNCF, erişim tarihi Nisan 30, 2026, </w:t>
      </w:r>
      <w:hyperlink r:id="rId56">
        <w:r w:rsidDel="00000000" w:rsidR="00000000" w:rsidRPr="00000000">
          <w:rPr>
            <w:rFonts w:ascii="Google Sans" w:cs="Google Sans" w:eastAsia="Google Sans" w:hAnsi="Google Sans"/>
            <w:color w:val="0000ee"/>
            <w:sz w:val="24"/>
            <w:szCs w:val="24"/>
            <w:u w:val="single"/>
            <w:rtl w:val="0"/>
          </w:rPr>
          <w:t xml:space="preserve">https://www.hackster.io/news/accelerate-bit-model-even-more-with-quantization-using-openvino-and-nncf-f252c4b0dc7e</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FP8, BF16, and INT8: How Low-Precision Formats Are Revolutionizing Deep Learning Throughput | by StackGpu | Medium, erişim tarihi Nisan 30, 2026, </w:t>
      </w:r>
      <w:hyperlink r:id="rId57">
        <w:r w:rsidDel="00000000" w:rsidR="00000000" w:rsidRPr="00000000">
          <w:rPr>
            <w:rFonts w:ascii="Google Sans" w:cs="Google Sans" w:eastAsia="Google Sans" w:hAnsi="Google Sans"/>
            <w:color w:val="0000ee"/>
            <w:sz w:val="24"/>
            <w:szCs w:val="24"/>
            <w:u w:val="single"/>
            <w:rtl w:val="0"/>
          </w:rPr>
          <w:t xml:space="preserve">https://medium.com/@StackGpu/fp8-bf16-and-int8-how-low-precision-formats-are-revolutionizing-deep-learning-throughput-e6c1f3adabc2</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Degree-Aware Graph Neural Network Quantization - MDPI, erişim tarihi Nisan 30, 2026, </w:t>
      </w:r>
      <w:hyperlink r:id="rId58">
        <w:r w:rsidDel="00000000" w:rsidR="00000000" w:rsidRPr="00000000">
          <w:rPr>
            <w:rFonts w:ascii="Google Sans" w:cs="Google Sans" w:eastAsia="Google Sans" w:hAnsi="Google Sans"/>
            <w:color w:val="0000ee"/>
            <w:sz w:val="24"/>
            <w:szCs w:val="24"/>
            <w:u w:val="single"/>
            <w:rtl w:val="0"/>
          </w:rPr>
          <w:t xml:space="preserve">https://www.mdpi.com/1099-4300/25/11/1510</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INT8 quantization gives me better accuracy than FP16 ! [D] : r/MachineLearning - Reddit, erişim tarihi Nisan 30, 2026, </w:t>
      </w:r>
      <w:hyperlink r:id="rId59">
        <w:r w:rsidDel="00000000" w:rsidR="00000000" w:rsidRPr="00000000">
          <w:rPr>
            <w:rFonts w:ascii="Google Sans" w:cs="Google Sans" w:eastAsia="Google Sans" w:hAnsi="Google Sans"/>
            <w:color w:val="0000ee"/>
            <w:sz w:val="24"/>
            <w:szCs w:val="24"/>
            <w:u w:val="single"/>
            <w:rtl w:val="0"/>
          </w:rPr>
          <w:t xml:space="preserve">https://www.reddit.com/r/MachineLearning/comments/1sx35es/int8_quantization_gives_me_better_accuracy_than/</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generative AI models with quantization - Red Hat Developer, erişim tarihi Nisan 30, 2026, </w:t>
      </w:r>
      <w:hyperlink r:id="rId60">
        <w:r w:rsidDel="00000000" w:rsidR="00000000" w:rsidRPr="00000000">
          <w:rPr>
            <w:rFonts w:ascii="Google Sans" w:cs="Google Sans" w:eastAsia="Google Sans" w:hAnsi="Google Sans"/>
            <w:color w:val="0000ee"/>
            <w:sz w:val="24"/>
            <w:szCs w:val="24"/>
            <w:u w:val="single"/>
            <w:rtl w:val="0"/>
          </w:rPr>
          <w:t xml:space="preserve">https://developers.redhat.com/articles/2025/08/18/optimizing-generative-ai-models-quantization</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GNNs on GPU Sparse Tensor Cores through N:M Sparsity-Oriented Graph Reordering - Research, erişim tarihi Nisan 30, 2026, </w:t>
      </w:r>
      <w:hyperlink r:id="rId61">
        <w:r w:rsidDel="00000000" w:rsidR="00000000" w:rsidRPr="00000000">
          <w:rPr>
            <w:rFonts w:ascii="Google Sans" w:cs="Google Sans" w:eastAsia="Google Sans" w:hAnsi="Google Sans"/>
            <w:color w:val="0000ee"/>
            <w:sz w:val="24"/>
            <w:szCs w:val="24"/>
            <w:u w:val="single"/>
            <w:rtl w:val="0"/>
          </w:rPr>
          <w:t xml:space="preserve">https://research.csc.ncsu.edu/picture/publications/papers/ppopp25.pdf</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OpenVINO 2026.1 — OpenVINO™ documentation — Version(2026), erişim tarihi Nisan 30, 2026, </w:t>
      </w:r>
      <w:hyperlink r:id="rId62">
        <w:r w:rsidDel="00000000" w:rsidR="00000000" w:rsidRPr="00000000">
          <w:rPr>
            <w:rFonts w:ascii="Google Sans" w:cs="Google Sans" w:eastAsia="Google Sans" w:hAnsi="Google Sans"/>
            <w:color w:val="0000ee"/>
            <w:sz w:val="24"/>
            <w:szCs w:val="24"/>
            <w:u w:val="single"/>
            <w:rtl w:val="0"/>
          </w:rPr>
          <w:t xml:space="preserve">https://docs.openvino.ai/</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Supported Devices — OpenVINO™ documentation — Version(2024), erişim tarihi Nisan 30, 2026, </w:t>
      </w:r>
      <w:hyperlink r:id="rId63">
        <w:r w:rsidDel="00000000" w:rsidR="00000000" w:rsidRPr="00000000">
          <w:rPr>
            <w:rFonts w:ascii="Google Sans" w:cs="Google Sans" w:eastAsia="Google Sans" w:hAnsi="Google Sans"/>
            <w:color w:val="0000ee"/>
            <w:sz w:val="24"/>
            <w:szCs w:val="24"/>
            <w:u w:val="single"/>
            <w:rtl w:val="0"/>
          </w:rPr>
          <w:t xml:space="preserve">https://docs.openvino.ai/2024/about-openvino/compatibility-and-support/supported-devices.html</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Precision IR (INT8 Inference) - OpenVINO™ documentation, erişim tarihi Nisan 30, 2026, </w:t>
      </w:r>
      <w:hyperlink r:id="rId64">
        <w:r w:rsidDel="00000000" w:rsidR="00000000" w:rsidRPr="00000000">
          <w:rPr>
            <w:rFonts w:ascii="Google Sans" w:cs="Google Sans" w:eastAsia="Google Sans" w:hAnsi="Google Sans"/>
            <w:color w:val="0000ee"/>
            <w:sz w:val="24"/>
            <w:szCs w:val="24"/>
            <w:u w:val="single"/>
            <w:rtl w:val="0"/>
          </w:rPr>
          <w:t xml:space="preserve">https://docs.openvino.ai/2024/documentation/openvino-ir-format/intermediate-representation-int8-inference.html</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Notes for Intel Distribution of OpenVINO Toolkit 2025.2, erişim tarihi Nisan 30, 2026, </w:t>
      </w:r>
      <w:hyperlink r:id="rId65">
        <w:r w:rsidDel="00000000" w:rsidR="00000000" w:rsidRPr="00000000">
          <w:rPr>
            <w:rFonts w:ascii="Google Sans" w:cs="Google Sans" w:eastAsia="Google Sans" w:hAnsi="Google Sans"/>
            <w:color w:val="0000ee"/>
            <w:sz w:val="24"/>
            <w:szCs w:val="24"/>
            <w:u w:val="single"/>
            <w:rtl w:val="0"/>
          </w:rPr>
          <w:t xml:space="preserve">https://www.intel.com/content/www/us/en/developer/articles/release-notes/openvino/2025-2.html</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Accelerate LLMs on Intel® GPUs: A Practical Guide to Dynamic Quantization - Medium, erişim tarihi Nisan 30, 2026, </w:t>
      </w:r>
      <w:hyperlink r:id="rId66">
        <w:r w:rsidDel="00000000" w:rsidR="00000000" w:rsidRPr="00000000">
          <w:rPr>
            <w:rFonts w:ascii="Google Sans" w:cs="Google Sans" w:eastAsia="Google Sans" w:hAnsi="Google Sans"/>
            <w:color w:val="0000ee"/>
            <w:sz w:val="24"/>
            <w:szCs w:val="24"/>
            <w:u w:val="single"/>
            <w:rtl w:val="0"/>
          </w:rPr>
          <w:t xml:space="preserve">https://medium.com/openvino-toolkit/accelerate-llms-on-intel-gpus-a-practical-guide-to-dynamic-quantization-c644969782e1</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Degree-Quant: Quantization-Aware Training for Graph Neural Networks - arXiv, erişim tarihi Nisan 30, 2026, </w:t>
      </w:r>
      <w:hyperlink r:id="rId67">
        <w:r w:rsidDel="00000000" w:rsidR="00000000" w:rsidRPr="00000000">
          <w:rPr>
            <w:rFonts w:ascii="Google Sans" w:cs="Google Sans" w:eastAsia="Google Sans" w:hAnsi="Google Sans"/>
            <w:color w:val="0000ee"/>
            <w:sz w:val="24"/>
            <w:szCs w:val="24"/>
            <w:u w:val="single"/>
            <w:rtl w:val="0"/>
          </w:rPr>
          <w:t xml:space="preserve">https://arxiv.org/abs/2008.05000</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molecular property prediction with quantized GNN models - PMC - NIH, erişim tarihi Nisan 30, 2026,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https://pmc.ncbi.nlm.nih.gov/articles/PMC12108020/</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Supported Devices — OpenVINO™ documentation — Version(2025), erişim tarihi Nisan 30, 2026, </w:t>
      </w:r>
      <w:hyperlink r:id="rId69">
        <w:r w:rsidDel="00000000" w:rsidR="00000000" w:rsidRPr="00000000">
          <w:rPr>
            <w:rFonts w:ascii="Google Sans" w:cs="Google Sans" w:eastAsia="Google Sans" w:hAnsi="Google Sans"/>
            <w:color w:val="0000ee"/>
            <w:sz w:val="24"/>
            <w:szCs w:val="24"/>
            <w:u w:val="single"/>
            <w:rtl w:val="0"/>
          </w:rPr>
          <w:t xml:space="preserve">https://docs.openvino.ai/2025/documentation/compatibility-and-support/supported-devices.html</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Matrix Multiplication Performance with Intel® Xe Matrix Extensions, erişim tarihi Nisan 30, 2026, </w:t>
      </w:r>
      <w:hyperlink r:id="rId70">
        <w:r w:rsidDel="00000000" w:rsidR="00000000" w:rsidRPr="00000000">
          <w:rPr>
            <w:rFonts w:ascii="Google Sans" w:cs="Google Sans" w:eastAsia="Google Sans" w:hAnsi="Google Sans"/>
            <w:color w:val="0000ee"/>
            <w:sz w:val="24"/>
            <w:szCs w:val="24"/>
            <w:u w:val="single"/>
            <w:rtl w:val="0"/>
          </w:rPr>
          <w:t xml:space="preserve">https://www.intel.com/content/www/us/en/docs/oneapi/optimization-guide-gpu/2025-0/boost-matrix-multiplication-performance-with-intel.html</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GNNMark: A Benchmark Suite to Characterize Graph Neural Network Training on GPUs - BU Personal Websites, erişim tarihi Nisan 30, 2026, </w:t>
      </w:r>
      <w:hyperlink r:id="rId71">
        <w:r w:rsidDel="00000000" w:rsidR="00000000" w:rsidRPr="00000000">
          <w:rPr>
            <w:rFonts w:ascii="Google Sans" w:cs="Google Sans" w:eastAsia="Google Sans" w:hAnsi="Google Sans"/>
            <w:color w:val="0000ee"/>
            <w:sz w:val="24"/>
            <w:szCs w:val="24"/>
            <w:u w:val="single"/>
            <w:rtl w:val="0"/>
          </w:rPr>
          <w:t xml:space="preserve">https://people.bu.edu/joshi/files/gnnmark-ispass-2021.pdf</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 Platform Power Analysis - Intel, erişim tarihi Nisan 30, 2026, </w:t>
      </w:r>
      <w:hyperlink r:id="rId72">
        <w:r w:rsidDel="00000000" w:rsidR="00000000" w:rsidRPr="00000000">
          <w:rPr>
            <w:rFonts w:ascii="Google Sans" w:cs="Google Sans" w:eastAsia="Google Sans" w:hAnsi="Google Sans"/>
            <w:color w:val="0000ee"/>
            <w:sz w:val="24"/>
            <w:szCs w:val="24"/>
            <w:u w:val="single"/>
            <w:rtl w:val="0"/>
          </w:rPr>
          <w:t xml:space="preserve">https://www.intel.com/content/www/us/en/docs/vtune-profiler/user-guide/2024-2/window-platform-power-analysis.html</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Power Using Intel SoC Watch Software - Chromium Docs, erişim tarihi Nisan 30, 2026, </w:t>
      </w:r>
      <w:hyperlink r:id="rId73">
        <w:r w:rsidDel="00000000" w:rsidR="00000000" w:rsidRPr="00000000">
          <w:rPr>
            <w:rFonts w:ascii="Google Sans" w:cs="Google Sans" w:eastAsia="Google Sans" w:hAnsi="Google Sans"/>
            <w:color w:val="0000ee"/>
            <w:sz w:val="24"/>
            <w:szCs w:val="24"/>
            <w:u w:val="single"/>
            <w:rtl w:val="0"/>
          </w:rPr>
          <w:t xml:space="preserve">https://chromium.googlesource.com/chromium/src/+/refs/tags/128.0.6613.5/docs/gpu/power-measurement-with-intel-socwatch.md</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Energy Analysis - Intel® VTune™ Profiler User Guide, erişim tarihi Nisan 30, 2026, </w:t>
      </w:r>
      <w:hyperlink r:id="rId74">
        <w:r w:rsidDel="00000000" w:rsidR="00000000" w:rsidRPr="00000000">
          <w:rPr>
            <w:rFonts w:ascii="Google Sans" w:cs="Google Sans" w:eastAsia="Google Sans" w:hAnsi="Google Sans"/>
            <w:color w:val="0000ee"/>
            <w:sz w:val="24"/>
            <w:szCs w:val="24"/>
            <w:u w:val="single"/>
            <w:rtl w:val="0"/>
          </w:rPr>
          <w:t xml:space="preserve">https://www.intel.com/content/www/us/en/docs/vtune-profiler/user-guide/2024-0/run-energy-analysis.html</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 SoC Watch User Guide for Windows* OS, erişim tarihi Nisan 30, 2026, </w:t>
      </w:r>
      <w:hyperlink r:id="rId75">
        <w:r w:rsidDel="00000000" w:rsidR="00000000" w:rsidRPr="00000000">
          <w:rPr>
            <w:rFonts w:ascii="Google Sans" w:cs="Google Sans" w:eastAsia="Google Sans" w:hAnsi="Google Sans"/>
            <w:color w:val="0000ee"/>
            <w:sz w:val="24"/>
            <w:szCs w:val="24"/>
            <w:u w:val="single"/>
            <w:rtl w:val="0"/>
          </w:rPr>
          <w:t xml:space="preserve">https://www.intel.com/content/dam/develop/public/us/en/documents/intel-soc-watch-user-guide-external-windows.pdf</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MLPerf Client Benchmark - MLCommons, erişim tarihi Nisan 30, 2026, </w:t>
      </w:r>
      <w:hyperlink r:id="rId76">
        <w:r w:rsidDel="00000000" w:rsidR="00000000" w:rsidRPr="00000000">
          <w:rPr>
            <w:rFonts w:ascii="Google Sans" w:cs="Google Sans" w:eastAsia="Google Sans" w:hAnsi="Google Sans"/>
            <w:color w:val="0000ee"/>
            <w:sz w:val="24"/>
            <w:szCs w:val="24"/>
            <w:u w:val="single"/>
            <w:rtl w:val="0"/>
          </w:rPr>
          <w:t xml:space="preserve">https://mlcommons.org/benchmarks/client/</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MLPerf Inference Benchmark Results Highlight The Rapid Growth of Generative AI Models - MLCommons, erişim tarihi Nisan 30, 2026, </w:t>
      </w:r>
      <w:hyperlink r:id="rId77">
        <w:r w:rsidDel="00000000" w:rsidR="00000000" w:rsidRPr="00000000">
          <w:rPr>
            <w:rFonts w:ascii="Google Sans" w:cs="Google Sans" w:eastAsia="Google Sans" w:hAnsi="Google Sans"/>
            <w:color w:val="0000ee"/>
            <w:sz w:val="24"/>
            <w:szCs w:val="24"/>
            <w:u w:val="single"/>
            <w:rtl w:val="0"/>
          </w:rPr>
          <w:t xml:space="preserve">https://mlcommons.org/2024/03/mlperf-inference-v4/</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MLPerf Inference v4.1 Benchmark Results Highlight Rapid Hardware and Software Innovations in Generative AI Systems - MLCommons, erişim tarihi Nisan 30, 2026, </w:t>
      </w:r>
      <w:hyperlink r:id="rId78">
        <w:r w:rsidDel="00000000" w:rsidR="00000000" w:rsidRPr="00000000">
          <w:rPr>
            <w:rFonts w:ascii="Google Sans" w:cs="Google Sans" w:eastAsia="Google Sans" w:hAnsi="Google Sans"/>
            <w:color w:val="0000ee"/>
            <w:sz w:val="24"/>
            <w:szCs w:val="24"/>
            <w:u w:val="single"/>
            <w:rtl w:val="0"/>
          </w:rPr>
          <w:t xml:space="preserve">https://mlcommons.org/2024/08/mlperf-inference-v4-1-results/</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mlcommons/inference_results_v4.1: This repository contains the results and code for the MLPerf™ Inference v4.1 benchmark. - GitHub, erişim tarihi Nisan 30, 2026, </w:t>
      </w:r>
      <w:hyperlink r:id="rId79">
        <w:r w:rsidDel="00000000" w:rsidR="00000000" w:rsidRPr="00000000">
          <w:rPr>
            <w:rFonts w:ascii="Google Sans" w:cs="Google Sans" w:eastAsia="Google Sans" w:hAnsi="Google Sans"/>
            <w:color w:val="0000ee"/>
            <w:sz w:val="24"/>
            <w:szCs w:val="24"/>
            <w:u w:val="single"/>
            <w:rtl w:val="0"/>
          </w:rPr>
          <w:t xml:space="preserve">https://github.com/mlcommons/inference_results_v4.1</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NPU Comparison 2026: Intel vs Qualcomm vs AMD vs Apple - Local AI Master, erişim tarihi Nisan 30, 2026, </w:t>
      </w:r>
      <w:hyperlink r:id="rId80">
        <w:r w:rsidDel="00000000" w:rsidR="00000000" w:rsidRPr="00000000">
          <w:rPr>
            <w:rFonts w:ascii="Google Sans" w:cs="Google Sans" w:eastAsia="Google Sans" w:hAnsi="Google Sans"/>
            <w:color w:val="0000ee"/>
            <w:sz w:val="24"/>
            <w:szCs w:val="24"/>
            <w:u w:val="single"/>
            <w:rtl w:val="0"/>
          </w:rPr>
          <w:t xml:space="preserve">https://localaimaster.com/blog/npu-comparison-2026</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and Efficiency Gains of NPU-Based Servers over GPUs for AI Model Inference, erişim tarihi Nisan 30, 2026, </w:t>
      </w:r>
      <w:hyperlink r:id="rId81">
        <w:r w:rsidDel="00000000" w:rsidR="00000000" w:rsidRPr="00000000">
          <w:rPr>
            <w:rFonts w:ascii="Google Sans" w:cs="Google Sans" w:eastAsia="Google Sans" w:hAnsi="Google Sans"/>
            <w:color w:val="0000ee"/>
            <w:sz w:val="24"/>
            <w:szCs w:val="24"/>
            <w:u w:val="single"/>
            <w:rtl w:val="0"/>
          </w:rPr>
          <w:t xml:space="preserve">https://www.mdpi.com/2079-8954/13/9/797</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NPU AI Engine - Qualcomm, erişim tarihi Nisan 30, 2026, </w:t>
      </w:r>
      <w:hyperlink r:id="rId82">
        <w:r w:rsidDel="00000000" w:rsidR="00000000" w:rsidRPr="00000000">
          <w:rPr>
            <w:rFonts w:ascii="Google Sans" w:cs="Google Sans" w:eastAsia="Google Sans" w:hAnsi="Google Sans"/>
            <w:color w:val="0000ee"/>
            <w:sz w:val="24"/>
            <w:szCs w:val="24"/>
            <w:u w:val="single"/>
            <w:rtl w:val="0"/>
          </w:rPr>
          <w:t xml:space="preserve">https://www.qualcomm.com/processors/ai-engine</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TOPS MEANS | Qualcomm, erişim tarihi Nisan 30, 2026, </w:t>
      </w:r>
      <w:hyperlink r:id="rId83">
        <w:r w:rsidDel="00000000" w:rsidR="00000000" w:rsidRPr="00000000">
          <w:rPr>
            <w:rFonts w:ascii="Google Sans" w:cs="Google Sans" w:eastAsia="Google Sans" w:hAnsi="Google Sans"/>
            <w:color w:val="0000ee"/>
            <w:sz w:val="24"/>
            <w:szCs w:val="24"/>
            <w:u w:val="single"/>
            <w:rtl w:val="0"/>
          </w:rPr>
          <w:t xml:space="preserve">https://www.qualcomm.com/content/dam/qcomm-martech/dm-assets/documents/What-TOPS-Means-Snapdragon-X-Series.pdf</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Qualcomm Hexagon NPU | Snapdragon NPU Details, erişim tarihi Nisan 30, 2026, </w:t>
      </w:r>
      <w:hyperlink r:id="rId84">
        <w:r w:rsidDel="00000000" w:rsidR="00000000" w:rsidRPr="00000000">
          <w:rPr>
            <w:rFonts w:ascii="Google Sans" w:cs="Google Sans" w:eastAsia="Google Sans" w:hAnsi="Google Sans"/>
            <w:color w:val="0000ee"/>
            <w:sz w:val="24"/>
            <w:szCs w:val="24"/>
            <w:u w:val="single"/>
            <w:rtl w:val="0"/>
          </w:rPr>
          <w:t xml:space="preserve">https://www.qualcomm.com/processors/hexagon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312.10561v2" TargetMode="External"/><Relationship Id="rId84" Type="http://schemas.openxmlformats.org/officeDocument/2006/relationships/hyperlink" Target="https://www.qualcomm.com/processors/hexagon" TargetMode="External"/><Relationship Id="rId83" Type="http://schemas.openxmlformats.org/officeDocument/2006/relationships/hyperlink" Target="https://www.qualcomm.com/content/dam/qcomm-martech/dm-assets/documents/What-TOPS-Means-Snapdragon-X-Series.pdf" TargetMode="External"/><Relationship Id="rId42" Type="http://schemas.openxmlformats.org/officeDocument/2006/relationships/hyperlink" Target="https://arxiv.org/pdf/2010.00130" TargetMode="External"/><Relationship Id="rId41" Type="http://schemas.openxmlformats.org/officeDocument/2006/relationships/hyperlink" Target="https://www.researchgate.net/publication/385637921_Graph_Neural_Networks_Automated_Design_and_Deployment_on_Device-Edge_Co-Inference_Systems" TargetMode="External"/><Relationship Id="rId44" Type="http://schemas.openxmlformats.org/officeDocument/2006/relationships/hyperlink" Target="https://arxiv.org/html/2512.23914v1" TargetMode="External"/><Relationship Id="rId43" Type="http://schemas.openxmlformats.org/officeDocument/2006/relationships/hyperlink" Target="https://arxiv.org/html/2409.14803v1" TargetMode="External"/><Relationship Id="rId46" Type="http://schemas.openxmlformats.org/officeDocument/2006/relationships/hyperlink" Target="https://arxiv.org/abs/2306.14052" TargetMode="External"/><Relationship Id="rId45" Type="http://schemas.openxmlformats.org/officeDocument/2006/relationships/hyperlink" Target="https://www.researchgate.net/publication/381089632_A_Survey_on_Graph_Neural_Network_Acceleration_A_Hardware_Perspective" TargetMode="External"/><Relationship Id="rId80" Type="http://schemas.openxmlformats.org/officeDocument/2006/relationships/hyperlink" Target="https://localaimaster.com/blog/npu-comparison-2026" TargetMode="External"/><Relationship Id="rId82" Type="http://schemas.openxmlformats.org/officeDocument/2006/relationships/hyperlink" Target="https://www.qualcomm.com/processors/ai-engine" TargetMode="External"/><Relationship Id="rId81" Type="http://schemas.openxmlformats.org/officeDocument/2006/relationships/hyperlink" Target="https://www.mdpi.com/2079-8954/13/9/79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83925398_Survey_on_Graph_Neural_Networks" TargetMode="External"/><Relationship Id="rId48" Type="http://schemas.openxmlformats.org/officeDocument/2006/relationships/hyperlink" Target="https://homes.cs.washington.edu/~luisceze/publications/micro12-web.pdf" TargetMode="External"/><Relationship Id="rId47" Type="http://schemas.openxmlformats.org/officeDocument/2006/relationships/hyperlink" Target="https://repository.gatech.edu/bitstreams/88569459-9200-4580-abf2-1591f25f10ef/download" TargetMode="External"/><Relationship Id="rId49" Type="http://schemas.openxmlformats.org/officeDocument/2006/relationships/hyperlink" Target="https://passat.crhc.illinois.edu/dac20.pdf"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medium.com/@joycebirkins/comprehensive-guide-to-gnn-gat-and-gcn-a-beginners-introduction-to-graph-neural-networks-after-51d09ac043b5" TargetMode="External"/><Relationship Id="rId73" Type="http://schemas.openxmlformats.org/officeDocument/2006/relationships/hyperlink" Target="https://chromium.googlesource.com/chromium/src/+/refs/tags/128.0.6613.5/docs/gpu/power-measurement-with-intel-socwatch.md" TargetMode="External"/><Relationship Id="rId72" Type="http://schemas.openxmlformats.org/officeDocument/2006/relationships/hyperlink" Target="https://www.intel.com/content/www/us/en/docs/vtune-profiler/user-guide/2024-2/window-platform-power-analysis.html" TargetMode="External"/><Relationship Id="rId31" Type="http://schemas.openxmlformats.org/officeDocument/2006/relationships/hyperlink" Target="https://www.onlogic.com/blog/npus-vs-gpus-for-edge-ai/" TargetMode="External"/><Relationship Id="rId75" Type="http://schemas.openxmlformats.org/officeDocument/2006/relationships/hyperlink" Target="https://www.intel.com/content/dam/develop/public/us/en/documents/intel-soc-watch-user-guide-external-windows.pdf" TargetMode="External"/><Relationship Id="rId30" Type="http://schemas.openxmlformats.org/officeDocument/2006/relationships/hyperlink" Target="https://intel.github.io/intel-npu-acceleration-library/npu.html" TargetMode="External"/><Relationship Id="rId74" Type="http://schemas.openxmlformats.org/officeDocument/2006/relationships/hyperlink" Target="https://www.intel.com/content/www/us/en/docs/vtune-profiler/user-guide/2024-0/run-energy-analysis.html" TargetMode="External"/><Relationship Id="rId33" Type="http://schemas.openxmlformats.org/officeDocument/2006/relationships/hyperlink" Target="https://www.intel.com/content/www/us/en/support/articles/000099574/processors/intel-core-ultra-processors.html" TargetMode="External"/><Relationship Id="rId77" Type="http://schemas.openxmlformats.org/officeDocument/2006/relationships/hyperlink" Target="https://mlcommons.org/2024/03/mlperf-inference-v4/" TargetMode="External"/><Relationship Id="rId32" Type="http://schemas.openxmlformats.org/officeDocument/2006/relationships/hyperlink" Target="https://cdrdv2-public.intel.com/824436/2024_Intel_Tech%20Tour%20TW_Lunar%20Lake%20AI%20Hardware%20Accelerators.pdf" TargetMode="External"/><Relationship Id="rId76" Type="http://schemas.openxmlformats.org/officeDocument/2006/relationships/hyperlink" Target="https://mlcommons.org/benchmarks/client/" TargetMode="External"/><Relationship Id="rId35" Type="http://schemas.openxmlformats.org/officeDocument/2006/relationships/hyperlink" Target="https://www.techpowerup.com/review/intel-lunar-lake-technical-deep-dive/" TargetMode="External"/><Relationship Id="rId79" Type="http://schemas.openxmlformats.org/officeDocument/2006/relationships/hyperlink" Target="https://github.com/mlcommons/inference_results_v4.1" TargetMode="External"/><Relationship Id="rId34" Type="http://schemas.openxmlformats.org/officeDocument/2006/relationships/hyperlink" Target="https://en.wikipedia.org/wiki/Lunar_Lake" TargetMode="External"/><Relationship Id="rId78" Type="http://schemas.openxmlformats.org/officeDocument/2006/relationships/hyperlink" Target="https://mlcommons.org/2024/08/mlperf-inference-v4-1-results/" TargetMode="External"/><Relationship Id="rId71" Type="http://schemas.openxmlformats.org/officeDocument/2006/relationships/hyperlink" Target="https://people.bu.edu/joshi/files/gnnmark-ispass-2021.pdf" TargetMode="External"/><Relationship Id="rId70" Type="http://schemas.openxmlformats.org/officeDocument/2006/relationships/hyperlink" Target="https://www.intel.com/content/www/us/en/docs/oneapi/optimization-guide-gpu/2025-0/boost-matrix-multiplication-performance-with-intel.html" TargetMode="External"/><Relationship Id="rId37" Type="http://schemas.openxmlformats.org/officeDocument/2006/relationships/hyperlink" Target="https://arxiv.org/html/2412.11053v1" TargetMode="External"/><Relationship Id="rId36" Type="http://schemas.openxmlformats.org/officeDocument/2006/relationships/hyperlink" Target="https://download.intel.com/newsroom/2024/client-computing/Intel-Core-Ultra-Series-2-Media-Deck.pdf" TargetMode="External"/><Relationship Id="rId39" Type="http://schemas.openxmlformats.org/officeDocument/2006/relationships/hyperlink" Target="https://www.computer.org/csdl/journal/tc/2023/04/09858684/1FUYCxUwwvu" TargetMode="External"/><Relationship Id="rId38" Type="http://schemas.openxmlformats.org/officeDocument/2006/relationships/hyperlink" Target="https://www.tomshardware.com/pc-components/cpus/intel-unwraps-lunar-lake-architecture-up-to-68-ipc-gain-for-e-cores-16-ipc-gain-for-p-cores/5" TargetMode="External"/><Relationship Id="rId62" Type="http://schemas.openxmlformats.org/officeDocument/2006/relationships/hyperlink" Target="https://docs.openvino.ai/" TargetMode="External"/><Relationship Id="rId61" Type="http://schemas.openxmlformats.org/officeDocument/2006/relationships/hyperlink" Target="https://research.csc.ncsu.edu/picture/publications/papers/ppopp25.pdf" TargetMode="External"/><Relationship Id="rId20" Type="http://schemas.openxmlformats.org/officeDocument/2006/relationships/hyperlink" Target="https://arxiv.org/html/2501.03228v1" TargetMode="External"/><Relationship Id="rId64" Type="http://schemas.openxmlformats.org/officeDocument/2006/relationships/hyperlink" Target="https://docs.openvino.ai/2024/documentation/openvino-ir-format/intermediate-representation-int8-inference.html" TargetMode="External"/><Relationship Id="rId63" Type="http://schemas.openxmlformats.org/officeDocument/2006/relationships/hyperlink" Target="https://docs.openvino.ai/2024/about-openvino/compatibility-and-support/supported-devices.html" TargetMode="External"/><Relationship Id="rId22" Type="http://schemas.openxmlformats.org/officeDocument/2006/relationships/hyperlink" Target="https://openaccess.thecvf.com/content/ACCV2022/papers/Zhang_Efficient_Hardware-aware_Neural_Architecture_Search_for_Image_Super-resolution_on_Mobile_ACCV_2022_paper.pdf" TargetMode="External"/><Relationship Id="rId66" Type="http://schemas.openxmlformats.org/officeDocument/2006/relationships/hyperlink" Target="https://medium.com/openvino-toolkit/accelerate-llms-on-intel-gpus-a-practical-guide-to-dynamic-quantization-c644969782e1" TargetMode="External"/><Relationship Id="rId21" Type="http://schemas.openxmlformats.org/officeDocument/2006/relationships/hyperlink" Target="https://arxiv.org/abs/2408.12840" TargetMode="External"/><Relationship Id="rId65" Type="http://schemas.openxmlformats.org/officeDocument/2006/relationships/hyperlink" Target="https://www.intel.com/content/www/us/en/developer/articles/release-notes/openvino/2025-2.html" TargetMode="External"/><Relationship Id="rId24" Type="http://schemas.openxmlformats.org/officeDocument/2006/relationships/hyperlink" Target="https://arxiv.org/abs/2306.15155" TargetMode="External"/><Relationship Id="rId68" Type="http://schemas.openxmlformats.org/officeDocument/2006/relationships/hyperlink" Target="https://pmc.ncbi.nlm.nih.gov/articles/PMC12108020/" TargetMode="External"/><Relationship Id="rId23" Type="http://schemas.openxmlformats.org/officeDocument/2006/relationships/hyperlink" Target="https://arxiv.org/html/2603.23640v1" TargetMode="External"/><Relationship Id="rId67" Type="http://schemas.openxmlformats.org/officeDocument/2006/relationships/hyperlink" Target="https://arxiv.org/abs/2008.05000" TargetMode="External"/><Relationship Id="rId60" Type="http://schemas.openxmlformats.org/officeDocument/2006/relationships/hyperlink" Target="https://developers.redhat.com/articles/2025/08/18/optimizing-generative-ai-models-quantization" TargetMode="External"/><Relationship Id="rId26" Type="http://schemas.openxmlformats.org/officeDocument/2006/relationships/hyperlink" Target="https://www.qualcomm.com/news/onq/2025/07/dense-tops-vs-sparse-tops-whats-the-difference" TargetMode="External"/><Relationship Id="rId25" Type="http://schemas.openxmlformats.org/officeDocument/2006/relationships/hyperlink" Target="https://www.usenix.org/conference/atc23/presentation/wang-yuke" TargetMode="External"/><Relationship Id="rId69" Type="http://schemas.openxmlformats.org/officeDocument/2006/relationships/hyperlink" Target="https://docs.openvino.ai/2025/documentation/compatibility-and-support/supported-devices.html" TargetMode="External"/><Relationship Id="rId28" Type="http://schemas.openxmlformats.org/officeDocument/2006/relationships/hyperlink" Target="https://www.ibm.com/think/topics/npu-vs-gpu" TargetMode="External"/><Relationship Id="rId27" Type="http://schemas.openxmlformats.org/officeDocument/2006/relationships/hyperlink" Target="https://proceedings.neurips.cc/paper_files/paper/2024/file/b10ed15ff1aa864f1be3a75f1ffc021b-Paper-Datasets_and_Benchmarks_Track.pdf" TargetMode="External"/><Relationship Id="rId29" Type="http://schemas.openxmlformats.org/officeDocument/2006/relationships/hyperlink" Target="https://www.ceva-ip.com/wp-content/uploads/2025-Edge-AI-Technology-Report.pdf" TargetMode="External"/><Relationship Id="rId51" Type="http://schemas.openxmlformats.org/officeDocument/2006/relationships/hyperlink" Target="https://www.themoonlight.io/tw/review/grannite-enabling-high-performance-execution-of-graph-neural-networks-on-resource-constrained-neural-processing-units" TargetMode="External"/><Relationship Id="rId50" Type="http://schemas.openxmlformats.org/officeDocument/2006/relationships/hyperlink" Target="https://www.rapidus.inc/en/tech/te0017/" TargetMode="External"/><Relationship Id="rId53" Type="http://schemas.openxmlformats.org/officeDocument/2006/relationships/hyperlink" Target="https://ieeexplore.ieee.org/document/11227197/" TargetMode="External"/><Relationship Id="rId52" Type="http://schemas.openxmlformats.org/officeDocument/2006/relationships/hyperlink" Target="https://arxiv.org/html/2502.06921v2" TargetMode="External"/><Relationship Id="rId11" Type="http://schemas.openxmlformats.org/officeDocument/2006/relationships/hyperlink" Target="https://pmc.ncbi.nlm.nih.gov/articles/PMC10004633/" TargetMode="External"/><Relationship Id="rId55" Type="http://schemas.openxmlformats.org/officeDocument/2006/relationships/hyperlink" Target="https://www.researchgate.net/publication/368763855_HGL_Accelerating_Heterogeneous_GNN_Training_with_Holistic_Representation_and_Optimization" TargetMode="External"/><Relationship Id="rId10" Type="http://schemas.openxmlformats.org/officeDocument/2006/relationships/hyperlink" Target="https://mlcommons.org/2025/04/rgat-inference-v5/" TargetMode="External"/><Relationship Id="rId54" Type="http://schemas.openxmlformats.org/officeDocument/2006/relationships/hyperlink" Target="https://github.com/BUAA-CI-LAB/Literatures-on-GNN-Acceleration" TargetMode="External"/><Relationship Id="rId13" Type="http://schemas.openxmlformats.org/officeDocument/2006/relationships/hyperlink" Target="https://arxiv.org/html/2401.15444v1" TargetMode="External"/><Relationship Id="rId57" Type="http://schemas.openxmlformats.org/officeDocument/2006/relationships/hyperlink" Target="https://medium.com/@StackGpu/fp8-bf16-and-int8-how-low-precision-formats-are-revolutionizing-deep-learning-throughput-e6c1f3adabc2" TargetMode="External"/><Relationship Id="rId12" Type="http://schemas.openxmlformats.org/officeDocument/2006/relationships/hyperlink" Target="https://www.reddit.com/r/MachineLearning/comments/1k4oxgo/d_what_are_the_current_research_gaps_on_gnn/" TargetMode="External"/><Relationship Id="rId56" Type="http://schemas.openxmlformats.org/officeDocument/2006/relationships/hyperlink" Target="https://www.hackster.io/news/accelerate-bit-model-even-more-with-quantization-using-openvino-and-nncf-f252c4b0dc7e" TargetMode="External"/><Relationship Id="rId15" Type="http://schemas.openxmlformats.org/officeDocument/2006/relationships/hyperlink" Target="https://arxiv.org/html/2502.06921v1" TargetMode="External"/><Relationship Id="rId59" Type="http://schemas.openxmlformats.org/officeDocument/2006/relationships/hyperlink" Target="https://www.reddit.com/r/MachineLearning/comments/1sx35es/int8_quantization_gives_me_better_accuracy_than/" TargetMode="External"/><Relationship Id="rId14" Type="http://schemas.openxmlformats.org/officeDocument/2006/relationships/hyperlink" Target="https://www.mdpi.com/2078-2489/15/7/377" TargetMode="External"/><Relationship Id="rId58" Type="http://schemas.openxmlformats.org/officeDocument/2006/relationships/hyperlink" Target="https://www.mdpi.com/1099-4300/25/11/1510" TargetMode="External"/><Relationship Id="rId17" Type="http://schemas.openxmlformats.org/officeDocument/2006/relationships/hyperlink" Target="https://www.mdpi.com/2079-9292/14/24/4877" TargetMode="External"/><Relationship Id="rId16" Type="http://schemas.openxmlformats.org/officeDocument/2006/relationships/hyperlink" Target="https://www.researchgate.net/publication/402278076_Lightweight_Deep_Neural_Network_Models_for_Edge_IntelligenceA_Survey" TargetMode="External"/><Relationship Id="rId19" Type="http://schemas.openxmlformats.org/officeDocument/2006/relationships/hyperlink" Target="https://www.atailab.cn/seminar2020spring/pdf/LightGCN.pdf" TargetMode="External"/><Relationship Id="rId18" Type="http://schemas.openxmlformats.org/officeDocument/2006/relationships/hyperlink" Target="https://medium.com/@xiaolancara/explanation-and-practice-of-lightweight-graph-convolutional-network-lightgcn-ac30ac38469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