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B2A4A"/>
          <w:sz w:val="56"/>
          <w:szCs w:val="56"/>
        </w:rPr>
        <w:t xml:space="preserve">FIRST MARKET</w:t>
      </w:r>
    </w:p>
    <w:p>
      <w:pPr>
        <w:spacing w:after="100" w:before="100"/>
        <w:jc w:val="center"/>
      </w:pPr>
      <w:r>
        <w:rPr>
          <w:color w:val="C9962C"/>
          <w:sz w:val="30"/>
          <w:szCs w:val="30"/>
        </w:rPr>
        <w:t xml:space="preserve">Software Requirements Specification</w:t>
      </w:r>
    </w:p>
    <w:p>
      <w:pPr>
        <w:spacing w:after="600"/>
        <w:jc w:val="center"/>
      </w:pPr>
      <w:r>
        <w:rPr>
          <w:i/>
          <w:iCs/>
          <w:color w:val="4A4A4A"/>
          <w:sz w:val="22"/>
          <w:szCs w:val="22"/>
        </w:rPr>
        <w:t xml:space="preserve">“Pay Small Small, Collect With Peace of Mind.”</w:t>
      </w:r>
    </w:p>
    <w:p>
      <w:pPr>
        <w:jc w:val="center"/>
      </w:pPr>
      <w:r>
        <w:rPr>
          <w:color w:val="4A4A4A"/>
          <w:sz w:val="20"/>
          <w:szCs w:val="20"/>
        </w:rPr>
        <w:t xml:space="preserve">Internal Development Planning Document — Version 2.0</w:t>
      </w:r>
    </w:p>
    <w:p>
      <w:pPr>
        <w:spacing w:after="1200"/>
        <w:jc w:val="center"/>
      </w:pPr>
      <w:r>
        <w:rPr>
          <w:color w:val="4A4A4A"/>
          <w:sz w:val="20"/>
          <w:szCs w:val="20"/>
        </w:rPr>
        <w:t xml:space="preserve">July 2026</w:t>
      </w:r>
    </w:p>
    <w:p>
      <w:r>
        <w:br w:type="page"/>
      </w:r>
    </w:p>
    <w:p>
      <w:pPr>
        <w:pStyle w:val="Heading1"/>
      </w:pPr>
      <w:r>
        <w:t xml:space="preserve">1. Introduction</w:t>
      </w:r>
    </w:p>
    <w:p>
      <w:pPr>
        <w:pStyle w:val="Heading2"/>
      </w:pPr>
      <w:r>
        <w:t xml:space="preserve">1.1 Purpose</w:t>
      </w:r>
    </w:p>
    <w:p>
      <w:pPr>
        <w:spacing w:after="150"/>
      </w:pPr>
      <w:r>
        <w:t xml:space="preserve">This document is the complete engineering specification for First Market, covering the public website, the customer web application, the vendor web portal, the administrator web dashboard, the underlying algorithms, the database structure, the technology choices, every external service the platform depends on, and the pages each role can access. It is written for direct use in database design and backend development, and to give the client a clear structured view of the finished product.</w:t>
      </w:r>
    </w:p>
    <w:p>
      <w:pPr>
        <w:pStyle w:val="Heading2"/>
      </w:pPr>
      <w:r>
        <w:t xml:space="preserve">1.2 Core Business Principle</w:t>
      </w:r>
    </w:p>
    <w:p>
      <w:pPr>
        <w:spacing w:after="150"/>
      </w:pPr>
      <w:r>
        <w:t xml:space="preserve">First Market is a goal-based commerce platform — not a loan application, not a bank, and not a Buy-Now-Pay-Later service. Customers save toward a purchase, either freely without committing to a product yet, or toward a specific product on a schedule or in one lump sum, and the product is released only once payment is complete. Money placed into the platform cannot be withdrawn as cash; a customer may redirect their savings toward a different product, but cannot request a cash refund.</w:t>
      </w:r>
    </w:p>
    <w:p>
      <w:pPr>
        <w:pStyle w:val="Heading2"/>
      </w:pPr>
      <w:r>
        <w:t xml:space="preserve">1.3 Definitions</w:t>
      </w:r>
    </w:p>
    <w:p>
      <w:pPr>
        <w:pStyle w:val="ListParagraph"/>
        <w:numPr>
          <w:ilvl w:val="0"/>
          <w:numId w:val="2"/>
        </w:numPr>
        <w:spacing w:after="60"/>
      </w:pPr>
      <w:r>
        <w:t xml:space="preserve">Open Savings: money a customer saves without committing it to any specific product yet.</w:t>
      </w:r>
    </w:p>
    <w:p>
      <w:pPr>
        <w:pStyle w:val="ListParagraph"/>
        <w:numPr>
          <w:ilvl w:val="0"/>
          <w:numId w:val="2"/>
        </w:numPr>
        <w:spacing w:after="60"/>
      </w:pPr>
      <w:r>
        <w:t xml:space="preserve">Product Target Plan: a customer's commitment to save toward one named product, paid either on a Schedule (daily, weekly, or monthly contributions) or as a single Pay At Once payment.</w:t>
      </w:r>
    </w:p>
    <w:p>
      <w:pPr>
        <w:pStyle w:val="ListParagraph"/>
        <w:numPr>
          <w:ilvl w:val="0"/>
          <w:numId w:val="2"/>
        </w:numPr>
        <w:spacing w:after="60"/>
      </w:pPr>
      <w:r>
        <w:t xml:space="preserve">Wallet: a deposit-only ledger, funded exclusively through the Paystack payment gateway, holding money a customer has paid in.</w:t>
      </w:r>
    </w:p>
    <w:p>
      <w:pPr>
        <w:pStyle w:val="ListParagraph"/>
        <w:numPr>
          <w:ilvl w:val="0"/>
          <w:numId w:val="2"/>
        </w:numPr>
        <w:spacing w:after="60"/>
      </w:pPr>
      <w:r>
        <w:t xml:space="preserve">Vendor: a supplier who lists products, sets their own selling price, and never sees customer identity.</w:t>
      </w:r>
    </w:p>
    <w:p>
      <w:pPr>
        <w:pStyle w:val="ListParagraph"/>
        <w:numPr>
          <w:ilvl w:val="0"/>
          <w:numId w:val="2"/>
        </w:numPr>
        <w:spacing w:after="60"/>
      </w:pPr>
      <w:r>
        <w:t xml:space="preserve">Administrator: First Market staff who approve vendors and product listings, confirm payments, and manage delivery. Administrator responsibilities are split across several sub-roles — see Section 3.</w:t>
      </w:r>
    </w:p>
    <w:p>
      <w:pPr>
        <w:pStyle w:val="ListParagraph"/>
        <w:numPr>
          <w:ilvl w:val="0"/>
          <w:numId w:val="2"/>
        </w:numPr>
        <w:spacing w:after="60"/>
      </w:pPr>
      <w:r>
        <w:t xml:space="preserve">Product Tracker: the customer-facing progress view for an active Product Target Plan — amount saved, balance remaining, percentage complete, and expected completion date.</w:t>
      </w:r>
    </w:p>
    <w:p>
      <w:pPr>
        <w:pStyle w:val="Heading1"/>
      </w:pPr>
      <w:r>
        <w:t xml:space="preserve">2. Scope</w:t>
      </w:r>
    </w:p>
    <w:p>
      <w:pPr>
        <w:pStyle w:val="Heading2"/>
      </w:pPr>
      <w:r>
        <w:t xml:space="preserve">2.1 Delivery Sequence</w:t>
      </w:r>
    </w:p>
    <w:p>
      <w:pPr>
        <w:spacing w:after="150"/>
      </w:pPr>
      <w:r>
        <w:t xml:space="preserve">Per direction from the client, the public website is built first, ahead of the transactional software. Native mobile applications for Android and Apple devices are explicitly a future feature (Phase 3, Module 20) — this build is web-based only: a public website, a customer web application, a vendor web portal, and an administrator web dashboard, all served from one backend.</w:t>
      </w:r>
    </w:p>
    <w:p>
      <w:pPr>
        <w:pStyle w:val="Heading2"/>
      </w:pPr>
      <w:r>
        <w:t xml:space="preserve">2.2 In Scope — Phase 0 and Phase 1</w:t>
      </w:r>
    </w:p>
    <w:p>
      <w:pPr>
        <w:pStyle w:val="ListParagraph"/>
        <w:numPr>
          <w:ilvl w:val="0"/>
          <w:numId w:val="2"/>
        </w:numPr>
        <w:spacing w:after="60"/>
      </w:pPr>
      <w:r>
        <w:t xml:space="preserve">Phase 0: the public marketing website (see Module 0).</w:t>
      </w:r>
    </w:p>
    <w:p>
      <w:pPr>
        <w:pStyle w:val="ListParagraph"/>
        <w:numPr>
          <w:ilvl w:val="0"/>
          <w:numId w:val="2"/>
        </w:numPr>
        <w:spacing w:after="60"/>
      </w:pPr>
      <w:r>
        <w:t xml:space="preserve">Phase 1: customer registration and identity verification, Open Savings, Product Target Plans, wallet funded through Paystack, product catalog, vendor registration and product listing with vendor-controlled pricing, artificial-intelligence-assisted listing review, order and delivery management, administrator dashboard with role-based sub-accounts, and baseline customer support including a hotline.</w:t>
      </w:r>
    </w:p>
    <w:p>
      <w:pPr>
        <w:pStyle w:val="Heading2"/>
      </w:pPr>
      <w:r>
        <w:t xml:space="preserve">2.3 Deferred to Phase 2 and Phase 3</w:t>
      </w:r>
    </w:p>
    <w:p>
      <w:pPr>
        <w:pStyle w:val="ListParagraph"/>
        <w:numPr>
          <w:ilvl w:val="0"/>
          <w:numId w:val="2"/>
        </w:numPr>
        <w:spacing w:after="60"/>
      </w:pPr>
      <w:r>
        <w:t xml:space="preserve">Phase 2: wishlist, reward badges, referral program, multi-language interface, dark mode, scheduled automatic debit, savings pause and resume, live chat, full artificial-intelligence savings assistant.</w:t>
      </w:r>
    </w:p>
    <w:p>
      <w:pPr>
        <w:pStyle w:val="ListParagraph"/>
        <w:numPr>
          <w:ilvl w:val="0"/>
          <w:numId w:val="2"/>
        </w:numPr>
        <w:spacing w:after="60"/>
      </w:pPr>
      <w:r>
        <w:t xml:space="preserve">Phase 3 (Module 20, detailed in full later in this document): agent network, affiliate program, group and family and cooperative savings, a complete artificial-intelligence financial assistant, and native mobile applications.</w:t>
      </w:r>
    </w:p>
    <w:p>
      <w:pPr>
        <w:pStyle w:val="ListParagraph"/>
        <w:numPr>
          <w:ilvl w:val="0"/>
          <w:numId w:val="2"/>
        </w:numPr>
        <w:spacing w:after="60"/>
      </w:pPr>
      <w:r>
        <w:t xml:space="preserve">Cash withdrawal, loan disbursement, or credit extension — permanently out of scope; a structural policy, not a phasing decision.</w:t>
      </w:r>
    </w:p>
    <w:p>
      <w:r>
        <w:br w:type="page"/>
      </w:r>
    </w:p>
    <w:p>
      <w:pPr>
        <w:pStyle w:val="Heading1"/>
      </w:pPr>
      <w:r>
        <w:t xml:space="preserve">3. Roles and Access Overview</w:t>
      </w:r>
    </w:p>
    <w:p>
      <w:pPr>
        <w:spacing w:after="150"/>
      </w:pPr>
      <w:r>
        <w:t xml:space="preserve">Beyond Customer, Vendor, and Administrator, the platform requires several supporting roles so that one Administrator account is not doing every job. Every role below is enforced through role-based access control at the database query layer, not only hidden in the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shd w:fill="1B2A4A" w:val="clear"/>
            <w:tcMar>
              <w:top w:type="dxa" w:w="80"/>
              <w:left w:type="dxa" w:w="100"/>
              <w:bottom w:type="dxa" w:w="80"/>
              <w:right w:type="dxa" w:w="100"/>
            </w:tcMar>
          </w:tcPr>
          <w:p>
            <w:r>
              <w:rPr>
                <w:b/>
                <w:bCs/>
                <w:color w:val="FFFFFF"/>
              </w:rPr>
              <w:t xml:space="preserve">Role</w:t>
            </w:r>
          </w:p>
        </w:tc>
        <w:tc>
          <w:tcPr>
            <w:tcW w:type="dxa" w:w="4000"/>
            <w:shd w:fill="1B2A4A" w:val="clear"/>
            <w:tcMar>
              <w:top w:type="dxa" w:w="80"/>
              <w:left w:type="dxa" w:w="100"/>
              <w:bottom w:type="dxa" w:w="80"/>
              <w:right w:type="dxa" w:w="100"/>
            </w:tcMar>
          </w:tcPr>
          <w:p>
            <w:r>
              <w:rPr>
                <w:b/>
                <w:bCs/>
                <w:color w:val="FFFFFF"/>
              </w:rPr>
              <w:t xml:space="preserve">Purpose</w:t>
            </w:r>
          </w:p>
        </w:tc>
        <w:tc>
          <w:tcPr>
            <w:tcW w:type="dxa" w:w="3360"/>
            <w:shd w:fill="1B2A4A" w:val="clear"/>
            <w:tcMar>
              <w:top w:type="dxa" w:w="80"/>
              <w:left w:type="dxa" w:w="100"/>
              <w:bottom w:type="dxa" w:w="80"/>
              <w:right w:type="dxa" w:w="100"/>
            </w:tcMar>
          </w:tcPr>
          <w:p>
            <w:r>
              <w:rPr>
                <w:b/>
                <w:bCs/>
                <w:color w:val="FFFFFF"/>
              </w:rPr>
              <w:t xml:space="preserve">Notes</w:t>
            </w:r>
          </w:p>
        </w:tc>
      </w:tr>
      <w:tr>
        <w:tc>
          <w:tcPr>
            <w:tcW w:type="dxa" w:w="2000"/>
            <w:tcMar>
              <w:top w:type="dxa" w:w="80"/>
              <w:left w:type="dxa" w:w="100"/>
              <w:bottom w:type="dxa" w:w="80"/>
              <w:right w:type="dxa" w:w="100"/>
            </w:tcMar>
          </w:tcPr>
          <w:p>
            <w:r>
              <w:rPr>
                <w:b w:val="false"/>
                <w:bCs w:val="false"/>
              </w:rPr>
              <w:t xml:space="preserve">Customer</w:t>
            </w:r>
          </w:p>
        </w:tc>
        <w:tc>
          <w:tcPr>
            <w:tcW w:type="dxa" w:w="4000"/>
            <w:tcMar>
              <w:top w:type="dxa" w:w="80"/>
              <w:left w:type="dxa" w:w="100"/>
              <w:bottom w:type="dxa" w:w="80"/>
              <w:right w:type="dxa" w:w="100"/>
            </w:tcMar>
          </w:tcPr>
          <w:p>
            <w:r>
              <w:rPr>
                <w:b w:val="false"/>
                <w:bCs w:val="false"/>
              </w:rPr>
              <w:t xml:space="preserve">Saves toward products and places orders</w:t>
            </w:r>
          </w:p>
        </w:tc>
        <w:tc>
          <w:tcPr>
            <w:tcW w:type="dxa" w:w="3360"/>
            <w:tcMar>
              <w:top w:type="dxa" w:w="80"/>
              <w:left w:type="dxa" w:w="100"/>
              <w:bottom w:type="dxa" w:w="80"/>
              <w:right w:type="dxa" w:w="100"/>
            </w:tcMar>
          </w:tcPr>
          <w:p>
            <w:r>
              <w:rPr>
                <w:b w:val="false"/>
                <w:bCs w:val="false"/>
              </w:rPr>
              <w:t xml:space="preserve">Public self-registration</w:t>
            </w:r>
          </w:p>
        </w:tc>
      </w:tr>
      <w:tr>
        <w:tc>
          <w:tcPr>
            <w:tcW w:type="dxa" w:w="2000"/>
            <w:shd w:fill="F2F2F2" w:val="clear"/>
            <w:tcMar>
              <w:top w:type="dxa" w:w="80"/>
              <w:left w:type="dxa" w:w="100"/>
              <w:bottom w:type="dxa" w:w="80"/>
              <w:right w:type="dxa" w:w="100"/>
            </w:tcMar>
          </w:tcPr>
          <w:p>
            <w:r>
              <w:rPr>
                <w:b w:val="false"/>
                <w:bCs w:val="false"/>
              </w:rPr>
              <w:t xml:space="preserve">Vendor</w:t>
            </w:r>
          </w:p>
        </w:tc>
        <w:tc>
          <w:tcPr>
            <w:tcW w:type="dxa" w:w="4000"/>
            <w:shd w:fill="F2F2F2" w:val="clear"/>
            <w:tcMar>
              <w:top w:type="dxa" w:w="80"/>
              <w:left w:type="dxa" w:w="100"/>
              <w:bottom w:type="dxa" w:w="80"/>
              <w:right w:type="dxa" w:w="100"/>
            </w:tcMar>
          </w:tcPr>
          <w:p>
            <w:r>
              <w:rPr>
                <w:b w:val="false"/>
                <w:bCs w:val="false"/>
              </w:rPr>
              <w:t xml:space="preserve">Lists products and sets their own selling price</w:t>
            </w:r>
          </w:p>
        </w:tc>
        <w:tc>
          <w:tcPr>
            <w:tcW w:type="dxa" w:w="3360"/>
            <w:shd w:fill="F2F2F2" w:val="clear"/>
            <w:tcMar>
              <w:top w:type="dxa" w:w="80"/>
              <w:left w:type="dxa" w:w="100"/>
              <w:bottom w:type="dxa" w:w="80"/>
              <w:right w:type="dxa" w:w="100"/>
            </w:tcMar>
          </w:tcPr>
          <w:p>
            <w:r>
              <w:rPr>
                <w:b w:val="false"/>
                <w:bCs w:val="false"/>
              </w:rPr>
              <w:t xml:space="preserve">Requires Administrator approval to activate</w:t>
            </w:r>
          </w:p>
        </w:tc>
      </w:tr>
      <w:tr>
        <w:tc>
          <w:tcPr>
            <w:tcW w:type="dxa" w:w="2000"/>
            <w:tcMar>
              <w:top w:type="dxa" w:w="80"/>
              <w:left w:type="dxa" w:w="100"/>
              <w:bottom w:type="dxa" w:w="80"/>
              <w:right w:type="dxa" w:w="100"/>
            </w:tcMar>
          </w:tcPr>
          <w:p>
            <w:r>
              <w:rPr>
                <w:b w:val="false"/>
                <w:bCs w:val="false"/>
              </w:rPr>
              <w:t xml:space="preserve">Super Administrator</w:t>
            </w:r>
          </w:p>
        </w:tc>
        <w:tc>
          <w:tcPr>
            <w:tcW w:type="dxa" w:w="4000"/>
            <w:tcMar>
              <w:top w:type="dxa" w:w="80"/>
              <w:left w:type="dxa" w:w="100"/>
              <w:bottom w:type="dxa" w:w="80"/>
              <w:right w:type="dxa" w:w="100"/>
            </w:tcMar>
          </w:tcPr>
          <w:p>
            <w:r>
              <w:rPr>
                <w:b w:val="false"/>
                <w:bCs w:val="false"/>
              </w:rPr>
              <w:t xml:space="preserve">Full platform control, manages other Administrator accounts and platform-wide settings</w:t>
            </w:r>
          </w:p>
        </w:tc>
        <w:tc>
          <w:tcPr>
            <w:tcW w:type="dxa" w:w="3360"/>
            <w:tcMar>
              <w:top w:type="dxa" w:w="80"/>
              <w:left w:type="dxa" w:w="100"/>
              <w:bottom w:type="dxa" w:w="80"/>
              <w:right w:type="dxa" w:w="100"/>
            </w:tcMar>
          </w:tcPr>
          <w:p>
            <w:r>
              <w:rPr>
                <w:b w:val="false"/>
                <w:bCs w:val="false"/>
              </w:rPr>
              <w:t xml:space="preserve">Highest privilege level</w:t>
            </w:r>
          </w:p>
        </w:tc>
      </w:tr>
      <w:tr>
        <w:tc>
          <w:tcPr>
            <w:tcW w:type="dxa" w:w="2000"/>
            <w:shd w:fill="F2F2F2" w:val="clear"/>
            <w:tcMar>
              <w:top w:type="dxa" w:w="80"/>
              <w:left w:type="dxa" w:w="100"/>
              <w:bottom w:type="dxa" w:w="80"/>
              <w:right w:type="dxa" w:w="100"/>
            </w:tcMar>
          </w:tcPr>
          <w:p>
            <w:r>
              <w:rPr>
                <w:b w:val="false"/>
                <w:bCs w:val="false"/>
              </w:rPr>
              <w:t xml:space="preserve">Administrator</w:t>
            </w:r>
          </w:p>
        </w:tc>
        <w:tc>
          <w:tcPr>
            <w:tcW w:type="dxa" w:w="4000"/>
            <w:shd w:fill="F2F2F2" w:val="clear"/>
            <w:tcMar>
              <w:top w:type="dxa" w:w="80"/>
              <w:left w:type="dxa" w:w="100"/>
              <w:bottom w:type="dxa" w:w="80"/>
              <w:right w:type="dxa" w:w="100"/>
            </w:tcMar>
          </w:tcPr>
          <w:p>
            <w:r>
              <w:rPr>
                <w:b w:val="false"/>
                <w:bCs w:val="false"/>
              </w:rPr>
              <w:t xml:space="preserve">Approves vendors and listings, confirms payments, manages orders</w:t>
            </w:r>
          </w:p>
        </w:tc>
        <w:tc>
          <w:tcPr>
            <w:tcW w:type="dxa" w:w="3360"/>
            <w:shd w:fill="F2F2F2" w:val="clear"/>
            <w:tcMar>
              <w:top w:type="dxa" w:w="80"/>
              <w:left w:type="dxa" w:w="100"/>
              <w:bottom w:type="dxa" w:w="80"/>
              <w:right w:type="dxa" w:w="100"/>
            </w:tcMar>
          </w:tcPr>
          <w:p>
            <w:r>
              <w:rPr>
                <w:b w:val="false"/>
                <w:bCs w:val="false"/>
              </w:rPr>
              <w:t xml:space="preserve">Day-to-day operations</w:t>
            </w:r>
          </w:p>
        </w:tc>
      </w:tr>
      <w:tr>
        <w:tc>
          <w:tcPr>
            <w:tcW w:type="dxa" w:w="2000"/>
            <w:tcMar>
              <w:top w:type="dxa" w:w="80"/>
              <w:left w:type="dxa" w:w="100"/>
              <w:bottom w:type="dxa" w:w="80"/>
              <w:right w:type="dxa" w:w="100"/>
            </w:tcMar>
          </w:tcPr>
          <w:p>
            <w:r>
              <w:rPr>
                <w:b w:val="false"/>
                <w:bCs w:val="false"/>
              </w:rPr>
              <w:t xml:space="preserve">Support Agent</w:t>
            </w:r>
          </w:p>
        </w:tc>
        <w:tc>
          <w:tcPr>
            <w:tcW w:type="dxa" w:w="4000"/>
            <w:tcMar>
              <w:top w:type="dxa" w:w="80"/>
              <w:left w:type="dxa" w:w="100"/>
              <w:bottom w:type="dxa" w:w="80"/>
              <w:right w:type="dxa" w:w="100"/>
            </w:tcMar>
          </w:tcPr>
          <w:p>
            <w:r>
              <w:rPr>
                <w:b w:val="false"/>
                <w:bCs w:val="false"/>
              </w:rPr>
              <w:t xml:space="preserve">Handles live chat, hotline calls, and complaint tickets</w:t>
            </w:r>
          </w:p>
        </w:tc>
        <w:tc>
          <w:tcPr>
            <w:tcW w:type="dxa" w:w="3360"/>
            <w:tcMar>
              <w:top w:type="dxa" w:w="80"/>
              <w:left w:type="dxa" w:w="100"/>
              <w:bottom w:type="dxa" w:w="80"/>
              <w:right w:type="dxa" w:w="100"/>
            </w:tcMar>
          </w:tcPr>
          <w:p>
            <w:r>
              <w:rPr>
                <w:b w:val="false"/>
                <w:bCs w:val="false"/>
              </w:rPr>
              <w:t xml:space="preserve">Sees order and plan data only, not payment credentials</w:t>
            </w:r>
          </w:p>
        </w:tc>
      </w:tr>
      <w:tr>
        <w:tc>
          <w:tcPr>
            <w:tcW w:type="dxa" w:w="2000"/>
            <w:shd w:fill="F2F2F2" w:val="clear"/>
            <w:tcMar>
              <w:top w:type="dxa" w:w="80"/>
              <w:left w:type="dxa" w:w="100"/>
              <w:bottom w:type="dxa" w:w="80"/>
              <w:right w:type="dxa" w:w="100"/>
            </w:tcMar>
          </w:tcPr>
          <w:p>
            <w:r>
              <w:rPr>
                <w:b w:val="false"/>
                <w:bCs w:val="false"/>
              </w:rPr>
              <w:t xml:space="preserve">Logistics Personnel</w:t>
            </w:r>
          </w:p>
        </w:tc>
        <w:tc>
          <w:tcPr>
            <w:tcW w:type="dxa" w:w="4000"/>
            <w:shd w:fill="F2F2F2" w:val="clear"/>
            <w:tcMar>
              <w:top w:type="dxa" w:w="80"/>
              <w:left w:type="dxa" w:w="100"/>
              <w:bottom w:type="dxa" w:w="80"/>
              <w:right w:type="dxa" w:w="100"/>
            </w:tcMar>
          </w:tcPr>
          <w:p>
            <w:r>
              <w:rPr>
                <w:b w:val="false"/>
                <w:bCs w:val="false"/>
              </w:rPr>
              <w:t xml:space="preserve">Updates delivery status</w:t>
            </w:r>
          </w:p>
        </w:tc>
        <w:tc>
          <w:tcPr>
            <w:tcW w:type="dxa" w:w="3360"/>
            <w:shd w:fill="F2F2F2" w:val="clear"/>
            <w:tcMar>
              <w:top w:type="dxa" w:w="80"/>
              <w:left w:type="dxa" w:w="100"/>
              <w:bottom w:type="dxa" w:w="80"/>
              <w:right w:type="dxa" w:w="100"/>
            </w:tcMar>
          </w:tcPr>
          <w:p>
            <w:r>
              <w:rPr>
                <w:b w:val="false"/>
                <w:bCs w:val="false"/>
              </w:rPr>
              <w:t xml:space="preserve">No catalog or pricing access</w:t>
            </w:r>
          </w:p>
        </w:tc>
      </w:tr>
      <w:tr>
        <w:tc>
          <w:tcPr>
            <w:tcW w:type="dxa" w:w="2000"/>
            <w:tcMar>
              <w:top w:type="dxa" w:w="80"/>
              <w:left w:type="dxa" w:w="100"/>
              <w:bottom w:type="dxa" w:w="80"/>
              <w:right w:type="dxa" w:w="100"/>
            </w:tcMar>
          </w:tcPr>
          <w:p>
            <w:r>
              <w:rPr>
                <w:b w:val="false"/>
                <w:bCs w:val="false"/>
              </w:rPr>
              <w:t xml:space="preserve">Finance Officer</w:t>
            </w:r>
          </w:p>
        </w:tc>
        <w:tc>
          <w:tcPr>
            <w:tcW w:type="dxa" w:w="4000"/>
            <w:tcMar>
              <w:top w:type="dxa" w:w="80"/>
              <w:left w:type="dxa" w:w="100"/>
              <w:bottom w:type="dxa" w:w="80"/>
              <w:right w:type="dxa" w:w="100"/>
            </w:tcMar>
          </w:tcPr>
          <w:p>
            <w:r>
              <w:rPr>
                <w:b w:val="false"/>
                <w:bCs w:val="false"/>
              </w:rPr>
              <w:t xml:space="preserve">Reconciles Paystack settlements against the internal wallet ledger</w:t>
            </w:r>
          </w:p>
        </w:tc>
        <w:tc>
          <w:tcPr>
            <w:tcW w:type="dxa" w:w="3360"/>
            <w:tcMar>
              <w:top w:type="dxa" w:w="80"/>
              <w:left w:type="dxa" w:w="100"/>
              <w:bottom w:type="dxa" w:w="80"/>
              <w:right w:type="dxa" w:w="100"/>
            </w:tcMar>
          </w:tcPr>
          <w:p>
            <w:r>
              <w:rPr>
                <w:b w:val="false"/>
                <w:bCs w:val="false"/>
              </w:rPr>
              <w:t xml:space="preserve">No user suspension or ban authority</w:t>
            </w:r>
          </w:p>
        </w:tc>
      </w:tr>
    </w:tbl>
    <w:p>
      <w:pPr>
        <w:spacing w:before="200"/>
      </w:pPr>
    </w:p>
    <w:p>
      <w:pPr>
        <w:pStyle w:val="Heading1"/>
      </w:pPr>
      <w:r>
        <w:t xml:space="preserve">4. System Architecture Overview</w:t>
      </w:r>
    </w:p>
    <w:p>
      <w:pPr>
        <w:spacing w:after="150"/>
      </w:pPr>
      <w:r>
        <w:t xml:space="preserve">Four web-facing surfaces share one Laravel backend and one database:</w:t>
      </w:r>
    </w:p>
    <w:p>
      <w:pPr>
        <w:pStyle w:val="ListParagraph"/>
        <w:numPr>
          <w:ilvl w:val="0"/>
          <w:numId w:val="2"/>
        </w:numPr>
        <w:spacing w:after="60"/>
      </w:pPr>
      <w:r>
        <w:t xml:space="preserve">Public Website — marketing and information pages, no login required.</w:t>
      </w:r>
    </w:p>
    <w:p>
      <w:pPr>
        <w:pStyle w:val="ListParagraph"/>
        <w:numPr>
          <w:ilvl w:val="0"/>
          <w:numId w:val="2"/>
        </w:numPr>
        <w:spacing w:after="60"/>
      </w:pPr>
      <w:r>
        <w:t xml:space="preserve">Customer Web Application — registration, savings, wallet, tracking, support.</w:t>
      </w:r>
    </w:p>
    <w:p>
      <w:pPr>
        <w:pStyle w:val="ListParagraph"/>
        <w:numPr>
          <w:ilvl w:val="0"/>
          <w:numId w:val="2"/>
        </w:numPr>
        <w:spacing w:after="60"/>
      </w:pPr>
      <w:r>
        <w:t xml:space="preserve">Vendor Web Portal — product listing and sales visibility, with zero access to customer data.</w:t>
      </w:r>
    </w:p>
    <w:p>
      <w:pPr>
        <w:pStyle w:val="ListParagraph"/>
        <w:numPr>
          <w:ilvl w:val="0"/>
          <w:numId w:val="2"/>
        </w:numPr>
        <w:spacing w:after="60"/>
      </w:pPr>
      <w:r>
        <w:t xml:space="preserve">Administrator Web Dashboard — approvals, users, vendors, orders, reports, split by sub-role.</w:t>
      </w:r>
    </w:p>
    <w:p>
      <w:pPr>
        <w:spacing w:after="150"/>
      </w:pPr>
      <w:r>
        <w:t xml:space="preserve">Order flow: customer completes payment through Paystack, Administrator confirms the order, the order is assigned to the vendor who supplied the product, the vendor prepares the item, and First Market's logistics team handles delivery directly. The vendor never sees the customer's identity or the delivery process, which is what keeps the customer relationship and data entirely with First Market.</w:t>
      </w:r>
    </w:p>
    <w:p>
      <w:r>
        <w:br w:type="page"/>
      </w:r>
    </w:p>
    <w:p>
      <w:pPr>
        <w:pStyle w:val="Heading1"/>
      </w:pPr>
      <w:r>
        <w:t xml:space="preserve">5. Module Breakdown</w:t>
      </w:r>
    </w:p>
    <w:p>
      <w:pPr>
        <w:pStyle w:val="Heading2"/>
      </w:pPr>
      <w:r>
        <w:t xml:space="preserve">0. Public Website</w:t>
      </w:r>
    </w:p>
    <w:p>
      <w:pPr>
        <w:spacing w:after="100"/>
      </w:pPr>
      <w:r>
        <w:rPr>
          <w:b/>
          <w:bCs/>
        </w:rPr>
        <w:t xml:space="preserve">Phase: </w:t>
      </w:r>
      <w:r>
        <w:rPr>
          <w:b/>
          <w:bCs/>
          <w:color w:val="C9962C"/>
        </w:rPr>
        <w:t xml:space="preserve">Phase 0</w:t>
      </w:r>
    </w:p>
    <w:p>
      <w:pPr>
        <w:spacing w:after="150"/>
      </w:pPr>
      <w:r>
        <w:t xml:space="preserve">Built and published before any transactional software, so the client has something live to show and share while the rest of the platform is developed.</w:t>
      </w:r>
    </w:p>
    <w:p>
      <w:pPr>
        <w:spacing w:after="60" w:before="150"/>
      </w:pPr>
      <w:r>
        <w:rPr>
          <w:b/>
          <w:bCs/>
          <w:color w:val="1B2A4A"/>
        </w:rPr>
        <w:t xml:space="preserve">Pages</w:t>
      </w:r>
    </w:p>
    <w:p>
      <w:pPr>
        <w:pStyle w:val="ListParagraph"/>
        <w:numPr>
          <w:ilvl w:val="0"/>
          <w:numId w:val="2"/>
        </w:numPr>
        <w:spacing w:after="60"/>
      </w:pPr>
      <w:r>
        <w:t xml:space="preserve">Home — introduces the brand, slogan, and how saving toward a product works.</w:t>
      </w:r>
    </w:p>
    <w:p>
      <w:pPr>
        <w:pStyle w:val="ListParagraph"/>
        <w:numPr>
          <w:ilvl w:val="0"/>
          <w:numId w:val="2"/>
        </w:numPr>
        <w:spacing w:after="60"/>
      </w:pPr>
      <w:r>
        <w:t xml:space="preserve">About Us — company story and mission.</w:t>
      </w:r>
    </w:p>
    <w:p>
      <w:pPr>
        <w:pStyle w:val="ListParagraph"/>
        <w:numPr>
          <w:ilvl w:val="0"/>
          <w:numId w:val="2"/>
        </w:numPr>
        <w:spacing w:after="60"/>
      </w:pPr>
      <w:r>
        <w:t xml:space="preserve">How It Works — step-by-step explanation of Open Savings and Product Target Plans.</w:t>
      </w:r>
    </w:p>
    <w:p>
      <w:pPr>
        <w:pStyle w:val="ListParagraph"/>
        <w:numPr>
          <w:ilvl w:val="0"/>
          <w:numId w:val="2"/>
        </w:numPr>
        <w:spacing w:after="60"/>
      </w:pPr>
      <w:r>
        <w:t xml:space="preserve">Marketplace Preview — a read-only browse of product categories, no purchase possible yet.</w:t>
      </w:r>
    </w:p>
    <w:p>
      <w:pPr>
        <w:pStyle w:val="ListParagraph"/>
        <w:numPr>
          <w:ilvl w:val="0"/>
          <w:numId w:val="2"/>
        </w:numPr>
        <w:spacing w:after="60"/>
      </w:pPr>
      <w:r>
        <w:t xml:space="preserve">Become a Vendor — explains vendor registration and links to the application form.</w:t>
      </w:r>
    </w:p>
    <w:p>
      <w:pPr>
        <w:pStyle w:val="ListParagraph"/>
        <w:numPr>
          <w:ilvl w:val="0"/>
          <w:numId w:val="2"/>
        </w:numPr>
        <w:spacing w:after="60"/>
      </w:pPr>
      <w:r>
        <w:t xml:space="preserve">Contact Us — hotline number, email, and a contact form.</w:t>
      </w:r>
    </w:p>
    <w:p>
      <w:pPr>
        <w:pStyle w:val="ListParagraph"/>
        <w:numPr>
          <w:ilvl w:val="0"/>
          <w:numId w:val="2"/>
        </w:numPr>
        <w:spacing w:after="60"/>
      </w:pPr>
      <w:r>
        <w:t xml:space="preserve">Frequently Asked Questions.</w:t>
      </w:r>
    </w:p>
    <w:p>
      <w:pPr>
        <w:pStyle w:val="ListParagraph"/>
        <w:numPr>
          <w:ilvl w:val="0"/>
          <w:numId w:val="2"/>
        </w:numPr>
        <w:spacing w:after="60"/>
      </w:pPr>
      <w:r>
        <w:t xml:space="preserve">Terms of Service and Privacy Policy.</w:t>
      </w:r>
    </w:p>
    <w:p>
      <w:pPr>
        <w:spacing w:after="60" w:before="150"/>
      </w:pPr>
      <w:r>
        <w:rPr>
          <w:b/>
          <w:bCs/>
          <w:color w:val="1B2A4A"/>
        </w:rPr>
        <w:t xml:space="preserve">Functional Requirements</w:t>
      </w:r>
    </w:p>
    <w:p>
      <w:pPr>
        <w:spacing w:after="150"/>
      </w:pPr>
      <w:r>
        <w:t xml:space="preserve">FR-0.1: The public website shall require no authentication and shall be indexable by search engines.</w:t>
      </w:r>
    </w:p>
    <w:p>
      <w:pPr>
        <w:spacing w:after="150"/>
      </w:pPr>
      <w:r>
        <w:t xml:space="preserve">FR-0.2: The Become a Vendor page shall link directly into the vendor registration flow described in Module 12.</w:t>
      </w:r>
    </w:p>
    <w:p>
      <w:pPr>
        <w:spacing w:before="100"/>
      </w:pPr>
    </w:p>
    <w:p>
      <w:pPr>
        <w:pStyle w:val="Heading2"/>
      </w:pPr>
      <w:r>
        <w:t xml:space="preserve">1. Authentication and Identity</w:t>
      </w:r>
    </w:p>
    <w:p>
      <w:pPr>
        <w:spacing w:after="100"/>
      </w:pPr>
      <w:r>
        <w:rPr>
          <w:b/>
          <w:bCs/>
        </w:rPr>
        <w:t xml:space="preserve">Phase: </w:t>
      </w:r>
      <w:r>
        <w:rPr>
          <w:b/>
          <w:bCs/>
          <w:color w:val="C9962C"/>
        </w:rPr>
        <w:t xml:space="preserve">Phase 1</w:t>
      </w:r>
    </w:p>
    <w:p>
      <w:pPr>
        <w:spacing w:after="150"/>
      </w:pPr>
      <w:r>
        <w:t xml:space="preserve">Registration and identity verification for customers, using Paystack for Bank Verification Number checks and a dedicated identity verification provider for National Identification Number checks, so the platform is not building fraud-detection infrastructure from scratch.</w:t>
      </w:r>
    </w:p>
    <w:p>
      <w:pPr>
        <w:spacing w:after="60" w:before="150"/>
      </w:pPr>
      <w:r>
        <w:rPr>
          <w:b/>
          <w:bCs/>
          <w:color w:val="1B2A4A"/>
        </w:rPr>
        <w:t xml:space="preserve">Key Features</w:t>
      </w:r>
    </w:p>
    <w:p>
      <w:pPr>
        <w:pStyle w:val="ListParagraph"/>
        <w:numPr>
          <w:ilvl w:val="0"/>
          <w:numId w:val="2"/>
        </w:numPr>
        <w:spacing w:after="60"/>
      </w:pPr>
      <w:r>
        <w:t xml:space="preserve">Register with Full Name, Phone Number, Email Address, Password</w:t>
      </w:r>
    </w:p>
    <w:p>
      <w:pPr>
        <w:pStyle w:val="ListParagraph"/>
        <w:numPr>
          <w:ilvl w:val="0"/>
          <w:numId w:val="2"/>
        </w:numPr>
        <w:spacing w:after="60"/>
      </w:pPr>
      <w:r>
        <w:t xml:space="preserve">One-Time Password verification by text message</w:t>
      </w:r>
    </w:p>
    <w:p>
      <w:pPr>
        <w:pStyle w:val="ListParagraph"/>
        <w:numPr>
          <w:ilvl w:val="0"/>
          <w:numId w:val="2"/>
        </w:numPr>
        <w:spacing w:after="60"/>
      </w:pPr>
      <w:r>
        <w:t xml:space="preserve">Email verification</w:t>
      </w:r>
    </w:p>
    <w:p>
      <w:pPr>
        <w:pStyle w:val="ListParagraph"/>
        <w:numPr>
          <w:ilvl w:val="0"/>
          <w:numId w:val="2"/>
        </w:numPr>
        <w:spacing w:after="60"/>
      </w:pPr>
      <w:r>
        <w:t xml:space="preserve">Bank Verification Number check through the Paystack identity verification endpoint</w:t>
      </w:r>
    </w:p>
    <w:p>
      <w:pPr>
        <w:pStyle w:val="ListParagraph"/>
        <w:numPr>
          <w:ilvl w:val="0"/>
          <w:numId w:val="2"/>
        </w:numPr>
        <w:spacing w:after="60"/>
      </w:pPr>
      <w:r>
        <w:t xml:space="preserve">National Identification Number check through a dedicated Nigerian identity verification provider (see Section 11)</w:t>
      </w:r>
    </w:p>
    <w:p>
      <w:pPr>
        <w:pStyle w:val="ListParagraph"/>
        <w:numPr>
          <w:ilvl w:val="0"/>
          <w:numId w:val="2"/>
        </w:numPr>
        <w:spacing w:after="60"/>
      </w:pPr>
      <w:r>
        <w:t xml:space="preserve">Login alerts</w:t>
      </w:r>
    </w:p>
    <w:p>
      <w:pPr>
        <w:pStyle w:val="ListParagraph"/>
        <w:numPr>
          <w:ilvl w:val="0"/>
          <w:numId w:val="2"/>
        </w:numPr>
        <w:spacing w:after="60"/>
      </w:pPr>
      <w:r>
        <w:t xml:space="preserve">Password reset</w:t>
      </w:r>
    </w:p>
    <w:p>
      <w:pPr>
        <w:spacing w:after="60" w:before="150"/>
      </w:pPr>
      <w:r>
        <w:rPr>
          <w:b/>
          <w:bCs/>
          <w:color w:val="1B2A4A"/>
        </w:rPr>
        <w:t xml:space="preserve">Functional Requirements</w:t>
      </w:r>
    </w:p>
    <w:p>
      <w:pPr>
        <w:spacing w:after="150"/>
      </w:pPr>
      <w:r>
        <w:t xml:space="preserve">FR-1.1: The system shall send a one-time passcode by text message and require entry within a configurable expiry window, ten minutes by default.</w:t>
      </w:r>
    </w:p>
    <w:p>
      <w:pPr>
        <w:spacing w:after="150"/>
      </w:pPr>
      <w:r>
        <w:t xml:space="preserve">FR-1.2: The system shall block Product Target Plan activation until Bank Verification Number and National Identification Number checks succeed; Open Savings shall not require this, so a new customer can start saving immediately.</w:t>
      </w:r>
    </w:p>
    <w:p>
      <w:pPr>
        <w:spacing w:after="150"/>
      </w:pPr>
      <w:r>
        <w:t xml:space="preserve">FR-1.3: The system shall log device and location information on every login and notify the customer by email when a new device is used.</w:t>
      </w:r>
    </w:p>
    <w:p>
      <w:pPr>
        <w:spacing w:before="100"/>
      </w:pPr>
    </w:p>
    <w:p>
      <w:pPr>
        <w:pStyle w:val="Heading2"/>
      </w:pPr>
      <w:r>
        <w:t xml:space="preserve">2. Customer Dashboard</w:t>
      </w:r>
    </w:p>
    <w:p>
      <w:pPr>
        <w:spacing w:after="100"/>
      </w:pPr>
      <w:r>
        <w:rPr>
          <w:b/>
          <w:bCs/>
        </w:rPr>
        <w:t xml:space="preserve">Phase: </w:t>
      </w:r>
      <w:r>
        <w:rPr>
          <w:b/>
          <w:bCs/>
          <w:color w:val="C9962C"/>
        </w:rPr>
        <w:t xml:space="preserve">Phase 1</w:t>
      </w:r>
    </w:p>
    <w:p>
      <w:pPr>
        <w:spacing w:after="150"/>
      </w:pPr>
      <w:r>
        <w:t xml:space="preserve">Single-screen summary of a customer's standing with First Market.</w:t>
      </w:r>
    </w:p>
    <w:p>
      <w:pPr>
        <w:spacing w:after="60" w:before="150"/>
      </w:pPr>
      <w:r>
        <w:rPr>
          <w:b/>
          <w:bCs/>
          <w:color w:val="1B2A4A"/>
        </w:rPr>
        <w:t xml:space="preserve">Key Features</w:t>
      </w:r>
    </w:p>
    <w:p>
      <w:pPr>
        <w:pStyle w:val="ListParagraph"/>
        <w:numPr>
          <w:ilvl w:val="0"/>
          <w:numId w:val="2"/>
        </w:numPr>
        <w:spacing w:after="60"/>
      </w:pPr>
      <w:r>
        <w:t xml:space="preserve">Open Savings balance</w:t>
      </w:r>
    </w:p>
    <w:p>
      <w:pPr>
        <w:pStyle w:val="ListParagraph"/>
        <w:numPr>
          <w:ilvl w:val="0"/>
          <w:numId w:val="2"/>
        </w:numPr>
        <w:spacing w:after="60"/>
      </w:pPr>
      <w:r>
        <w:t xml:space="preserve">Active Product Target Plans</w:t>
      </w:r>
    </w:p>
    <w:p>
      <w:pPr>
        <w:pStyle w:val="ListParagraph"/>
        <w:numPr>
          <w:ilvl w:val="0"/>
          <w:numId w:val="2"/>
        </w:numPr>
        <w:spacing w:after="60"/>
      </w:pPr>
      <w:r>
        <w:t xml:space="preserve">Total amount saved across all plans</w:t>
      </w:r>
    </w:p>
    <w:p>
      <w:pPr>
        <w:pStyle w:val="ListParagraph"/>
        <w:numPr>
          <w:ilvl w:val="0"/>
          <w:numId w:val="2"/>
        </w:numPr>
        <w:spacing w:after="60"/>
      </w:pPr>
      <w:r>
        <w:t xml:space="preserve">Orders</w:t>
      </w:r>
    </w:p>
    <w:p>
      <w:pPr>
        <w:pStyle w:val="ListParagraph"/>
        <w:numPr>
          <w:ilvl w:val="0"/>
          <w:numId w:val="2"/>
        </w:numPr>
        <w:spacing w:after="60"/>
      </w:pPr>
      <w:r>
        <w:t xml:space="preserve">Product Tracker summary</w:t>
      </w:r>
    </w:p>
    <w:p>
      <w:pPr>
        <w:pStyle w:val="ListParagraph"/>
        <w:numPr>
          <w:ilvl w:val="0"/>
          <w:numId w:val="2"/>
        </w:numPr>
        <w:spacing w:after="60"/>
      </w:pPr>
      <w:r>
        <w:t xml:space="preserve">Notification feed</w:t>
      </w:r>
    </w:p>
    <w:p>
      <w:pPr>
        <w:spacing w:after="60" w:before="150"/>
      </w:pPr>
      <w:r>
        <w:rPr>
          <w:b/>
          <w:bCs/>
          <w:color w:val="1B2A4A"/>
        </w:rPr>
        <w:t xml:space="preserve">Functional Requirements</w:t>
      </w:r>
    </w:p>
    <w:p>
      <w:pPr>
        <w:spacing w:after="150"/>
      </w:pPr>
      <w:r>
        <w:t xml:space="preserve">FR-2.1: The dashboard shall combine figures from the Wallet and Savings modules in real time rather than from a cached daily snapshot.</w:t>
      </w:r>
    </w:p>
    <w:p>
      <w:pPr>
        <w:spacing w:after="150"/>
      </w:pPr>
      <w:r>
        <w:t xml:space="preserve">FR-2.2: The dashboard shall support pull-to-refresh and shall paginate beyond five active plans.</w:t>
      </w:r>
    </w:p>
    <w:p>
      <w:pPr>
        <w:spacing w:before="100"/>
      </w:pPr>
    </w:p>
    <w:p>
      <w:pPr>
        <w:pStyle w:val="Heading2"/>
      </w:pPr>
      <w:r>
        <w:t xml:space="preserve">3. Product Catalog</w:t>
      </w:r>
    </w:p>
    <w:p>
      <w:pPr>
        <w:spacing w:after="100"/>
      </w:pPr>
      <w:r>
        <w:rPr>
          <w:b/>
          <w:bCs/>
        </w:rPr>
        <w:t xml:space="preserve">Phase: </w:t>
      </w:r>
      <w:r>
        <w:rPr>
          <w:b/>
          <w:bCs/>
          <w:color w:val="C9962C"/>
        </w:rPr>
        <w:t xml:space="preserve">Phase 1</w:t>
      </w:r>
    </w:p>
    <w:p>
      <w:pPr>
        <w:spacing w:after="150"/>
      </w:pPr>
      <w:r>
        <w:t xml:space="preserve">Browsable, administrator-approved product listing across defined categories.</w:t>
      </w:r>
    </w:p>
    <w:p>
      <w:pPr>
        <w:spacing w:after="60" w:before="150"/>
      </w:pPr>
      <w:r>
        <w:rPr>
          <w:b/>
          <w:bCs/>
          <w:color w:val="1B2A4A"/>
        </w:rPr>
        <w:t xml:space="preserve">Key Features</w:t>
      </w:r>
    </w:p>
    <w:p>
      <w:pPr>
        <w:pStyle w:val="ListParagraph"/>
        <w:numPr>
          <w:ilvl w:val="0"/>
          <w:numId w:val="2"/>
        </w:numPr>
        <w:spacing w:after="60"/>
      </w:pPr>
      <w:r>
        <w:t xml:space="preserve">Categories: Electronics (Phones, Laptops, Televisions), Home Appliances (Refrigerators, Freezers), Solar Equipment, Furniture, Fashion, Business Equipment</w:t>
      </w:r>
    </w:p>
    <w:p>
      <w:pPr>
        <w:pStyle w:val="ListParagraph"/>
        <w:numPr>
          <w:ilvl w:val="0"/>
          <w:numId w:val="2"/>
        </w:numPr>
        <w:spacing w:after="60"/>
      </w:pPr>
      <w:r>
        <w:t xml:space="preserve">Search and filter by category, price range, and vendor rating</w:t>
      </w:r>
    </w:p>
    <w:p>
      <w:pPr>
        <w:pStyle w:val="ListParagraph"/>
        <w:numPr>
          <w:ilvl w:val="0"/>
          <w:numId w:val="2"/>
        </w:numPr>
        <w:spacing w:after="60"/>
      </w:pPr>
      <w:r>
        <w:t xml:space="preserve">Only administrator-approved products are visible to customers</w:t>
      </w:r>
    </w:p>
    <w:p>
      <w:pPr>
        <w:spacing w:after="60" w:before="150"/>
      </w:pPr>
      <w:r>
        <w:rPr>
          <w:b/>
          <w:bCs/>
          <w:color w:val="1B2A4A"/>
        </w:rPr>
        <w:t xml:space="preserve">Functional Requirements</w:t>
      </w:r>
    </w:p>
    <w:p>
      <w:pPr>
        <w:spacing w:after="150"/>
      </w:pPr>
      <w:r>
        <w:t xml:space="preserve">FR-3.1: The system shall exclude any product whose status is not Approved from every customer-facing catalog query.</w:t>
      </w:r>
    </w:p>
    <w:p>
      <w:pPr>
        <w:spacing w:after="150"/>
      </w:pPr>
      <w:r>
        <w:t xml:space="preserve">FR-3.2: The catalog shall support filtering by category and price range, and sorting by price, popularity, or newest listing.</w:t>
      </w:r>
    </w:p>
    <w:p>
      <w:pPr>
        <w:spacing w:before="100"/>
      </w:pPr>
    </w:p>
    <w:p>
      <w:pPr>
        <w:pStyle w:val="Heading2"/>
      </w:pPr>
      <w:r>
        <w:t xml:space="preserve">4. Savings Engine</w:t>
      </w:r>
    </w:p>
    <w:p>
      <w:pPr>
        <w:spacing w:after="100"/>
      </w:pPr>
      <w:r>
        <w:rPr>
          <w:b/>
          <w:bCs/>
        </w:rPr>
        <w:t xml:space="preserve">Phase: </w:t>
      </w:r>
      <w:r>
        <w:rPr>
          <w:b/>
          <w:bCs/>
          <w:color w:val="C9962C"/>
        </w:rPr>
        <w:t xml:space="preserve">Phase 1</w:t>
      </w:r>
    </w:p>
    <w:p>
      <w:pPr>
        <w:spacing w:after="150"/>
      </w:pPr>
      <w:r>
        <w:t xml:space="preserve">The heart of First Market, restructured into two distinct savings types per the client's direction. See Section 8.1 and 8.2 for the calculation logic behind each.</w:t>
      </w:r>
    </w:p>
    <w:p>
      <w:pPr>
        <w:spacing w:after="60" w:before="150"/>
      </w:pPr>
      <w:r>
        <w:rPr>
          <w:b/>
          <w:bCs/>
          <w:color w:val="1B2A4A"/>
        </w:rPr>
        <w:t xml:space="preserve">Key Features</w:t>
      </w:r>
    </w:p>
    <w:p>
      <w:pPr>
        <w:pStyle w:val="ListParagraph"/>
        <w:numPr>
          <w:ilvl w:val="0"/>
          <w:numId w:val="2"/>
        </w:numPr>
        <w:spacing w:after="60"/>
      </w:pPr>
      <w:r>
        <w:t xml:space="preserve">Open Savings: the customer deposits any amount at any time without naming a product; the balance can later be redirected toward a Product Target Plan.</w:t>
      </w:r>
    </w:p>
    <w:p>
      <w:pPr>
        <w:pStyle w:val="ListParagraph"/>
        <w:numPr>
          <w:ilvl w:val="0"/>
          <w:numId w:val="2"/>
        </w:numPr>
        <w:spacing w:after="60"/>
      </w:pPr>
      <w:r>
        <w:t xml:space="preserve">Product Target Plan: the customer names a product and chooses either the Schedule payment mode (daily, weekly, or monthly contributions) or the Pay At Once mode (a single full payment).</w:t>
      </w:r>
    </w:p>
    <w:p>
      <w:pPr>
        <w:pStyle w:val="ListParagraph"/>
        <w:numPr>
          <w:ilvl w:val="0"/>
          <w:numId w:val="2"/>
        </w:numPr>
        <w:spacing w:after="60"/>
      </w:pPr>
      <w:r>
        <w:t xml:space="preserve">Plan status: Active, Completed, Ready for Delivery.</w:t>
      </w:r>
    </w:p>
    <w:p>
      <w:pPr>
        <w:spacing w:after="60" w:before="150"/>
      </w:pPr>
      <w:r>
        <w:rPr>
          <w:b/>
          <w:bCs/>
          <w:color w:val="1B2A4A"/>
        </w:rPr>
        <w:t xml:space="preserve">Functional Requirements</w:t>
      </w:r>
    </w:p>
    <w:p>
      <w:pPr>
        <w:spacing w:after="150"/>
      </w:pPr>
      <w:r>
        <w:t xml:space="preserve">FR-4.1: The system shall allow a customer to hold exactly one Open Savings balance and multiple Product Target Plans simultaneously.</w:t>
      </w:r>
    </w:p>
    <w:p>
      <w:pPr>
        <w:spacing w:after="150"/>
      </w:pPr>
      <w:r>
        <w:t xml:space="preserve">FR-4.2: The system shall lock the target price at the moment a Product Target Plan is created, sourced from the vendor's current listed price; later price changes by the vendor shall not retroactively alter an already-created plan.</w:t>
      </w:r>
    </w:p>
    <w:p>
      <w:pPr>
        <w:spacing w:after="150"/>
      </w:pPr>
      <w:r>
        <w:t xml:space="preserve">FR-4.3: The system shall automatically move a Product Target Plan to Ready for Delivery once amount saved reaches one hundred percent of the target price.</w:t>
      </w:r>
    </w:p>
    <w:p>
      <w:pPr>
        <w:spacing w:before="100"/>
      </w:pPr>
    </w:p>
    <w:p>
      <w:pPr>
        <w:pStyle w:val="Heading2"/>
      </w:pPr>
      <w:r>
        <w:t xml:space="preserve">5. Wallet and Payments through Paystack</w:t>
      </w:r>
    </w:p>
    <w:p>
      <w:pPr>
        <w:spacing w:after="100"/>
      </w:pPr>
      <w:r>
        <w:rPr>
          <w:b/>
          <w:bCs/>
        </w:rPr>
        <w:t xml:space="preserve">Phase: </w:t>
      </w:r>
      <w:r>
        <w:rPr>
          <w:b/>
          <w:bCs/>
          <w:color w:val="C9962C"/>
        </w:rPr>
        <w:t xml:space="preserve">Phase 1</w:t>
      </w:r>
    </w:p>
    <w:p>
      <w:pPr>
        <w:spacing w:after="150"/>
      </w:pPr>
      <w:r>
        <w:t xml:space="preserve">Deposit-only ledger, funded exclusively through the Paystack payment gateway. No withdrawal capability exists anywhere in this module by design.</w:t>
      </w:r>
    </w:p>
    <w:p>
      <w:pPr>
        <w:spacing w:after="60" w:before="150"/>
      </w:pPr>
      <w:r>
        <w:rPr>
          <w:b/>
          <w:bCs/>
          <w:color w:val="1B2A4A"/>
        </w:rPr>
        <w:t xml:space="preserve">Key Features</w:t>
      </w:r>
    </w:p>
    <w:p>
      <w:pPr>
        <w:pStyle w:val="ListParagraph"/>
        <w:numPr>
          <w:ilvl w:val="0"/>
          <w:numId w:val="2"/>
        </w:numPr>
        <w:spacing w:after="60"/>
      </w:pPr>
      <w:r>
        <w:t xml:space="preserve">Add Money by card, bank transfer, or dialed Unstructured Supplementary Service Data code, all through Paystack</w:t>
      </w:r>
    </w:p>
    <w:p>
      <w:pPr>
        <w:pStyle w:val="ListParagraph"/>
        <w:numPr>
          <w:ilvl w:val="0"/>
          <w:numId w:val="2"/>
        </w:numPr>
        <w:spacing w:after="60"/>
      </w:pPr>
      <w:r>
        <w:t xml:space="preserve">View Transactions</w:t>
      </w:r>
    </w:p>
    <w:p>
      <w:pPr>
        <w:pStyle w:val="ListParagraph"/>
        <w:numPr>
          <w:ilvl w:val="0"/>
          <w:numId w:val="2"/>
        </w:numPr>
        <w:spacing w:after="60"/>
      </w:pPr>
      <w:r>
        <w:t xml:space="preserve">Download Receipts</w:t>
      </w:r>
    </w:p>
    <w:p>
      <w:pPr>
        <w:pStyle w:val="ListParagraph"/>
        <w:numPr>
          <w:ilvl w:val="0"/>
          <w:numId w:val="2"/>
        </w:numPr>
        <w:spacing w:after="60"/>
      </w:pPr>
      <w:r>
        <w:t xml:space="preserve">Allocate a deposit to Open Savings or to a specific Product Target Plan</w:t>
      </w:r>
    </w:p>
    <w:p>
      <w:pPr>
        <w:pStyle w:val="ListParagraph"/>
        <w:numPr>
          <w:ilvl w:val="0"/>
          <w:numId w:val="2"/>
        </w:numPr>
        <w:spacing w:after="60"/>
      </w:pPr>
      <w:r>
        <w:t xml:space="preserve">Reusable Paystack payment authorization stored for the scheduled automatic debit feature in Phase 2</w:t>
      </w:r>
    </w:p>
    <w:p>
      <w:pPr>
        <w:spacing w:after="60" w:before="150"/>
      </w:pPr>
      <w:r>
        <w:rPr>
          <w:b/>
          <w:bCs/>
          <w:color w:val="1B2A4A"/>
        </w:rPr>
        <w:t xml:space="preserve">Functional Requirements</w:t>
      </w:r>
    </w:p>
    <w:p>
      <w:pPr>
        <w:spacing w:after="150"/>
      </w:pPr>
      <w:r>
        <w:t xml:space="preserve">FR-5.1: The system shall reject any withdrawal request at the backend level — there is no withdrawal endpoint, not merely a hidden interface control.</w:t>
      </w:r>
    </w:p>
    <w:p>
      <w:pPr>
        <w:spacing w:after="150"/>
      </w:pPr>
      <w:r>
        <w:t xml:space="preserve">FR-5.2: Every successful deposit shall be confirmed through a Paystack webhook before the wallet balance is credited, never on the basis of the client-side response alone.</w:t>
      </w:r>
    </w:p>
    <w:p>
      <w:pPr>
        <w:spacing w:after="150"/>
      </w:pPr>
      <w:r>
        <w:t xml:space="preserve">FR-5.3: Every successful deposit shall generate an immutable ledger entry carrying a receipt number, the Paystack transaction reference, timestamp, and payment channel used.</w:t>
      </w:r>
    </w:p>
    <w:p>
      <w:pPr>
        <w:spacing w:before="100"/>
      </w:pPr>
    </w:p>
    <w:p>
      <w:pPr>
        <w:pStyle w:val="Heading2"/>
      </w:pPr>
      <w:r>
        <w:t xml:space="preserve">6. Product Tracker and Plan Redirection</w:t>
      </w:r>
    </w:p>
    <w:p>
      <w:pPr>
        <w:spacing w:after="100"/>
      </w:pPr>
      <w:r>
        <w:rPr>
          <w:b/>
          <w:bCs/>
        </w:rPr>
        <w:t xml:space="preserve">Phase: </w:t>
      </w:r>
      <w:r>
        <w:rPr>
          <w:b/>
          <w:bCs/>
          <w:color w:val="C9962C"/>
        </w:rPr>
        <w:t xml:space="preserve">Phase 1</w:t>
      </w:r>
    </w:p>
    <w:p>
      <w:pPr>
        <w:spacing w:after="150"/>
      </w:pPr>
      <w:r>
        <w:t xml:space="preserve">Progress visualization for a Product Target Plan, plus the logic for moving a balance to a different product or in from Open Savings. See Section 8.3 for the algorithm.</w:t>
      </w:r>
    </w:p>
    <w:p>
      <w:pPr>
        <w:spacing w:after="60" w:before="150"/>
      </w:pPr>
      <w:r>
        <w:rPr>
          <w:b/>
          <w:bCs/>
          <w:color w:val="1B2A4A"/>
        </w:rPr>
        <w:t xml:space="preserve">Key Features</w:t>
      </w:r>
    </w:p>
    <w:p>
      <w:pPr>
        <w:pStyle w:val="ListParagraph"/>
        <w:numPr>
          <w:ilvl w:val="0"/>
          <w:numId w:val="2"/>
        </w:numPr>
        <w:spacing w:after="60"/>
      </w:pPr>
      <w:r>
        <w:t xml:space="preserve">Current Product, Amount Saved, Remaining Balance, Progress Percentage, Expected Completion Date</w:t>
      </w:r>
    </w:p>
    <w:p>
      <w:pPr>
        <w:pStyle w:val="ListParagraph"/>
        <w:numPr>
          <w:ilvl w:val="0"/>
          <w:numId w:val="2"/>
        </w:numPr>
        <w:spacing w:after="60"/>
      </w:pPr>
      <w:r>
        <w:t xml:space="preserve">Redirect Open Savings into a new Product Target Plan at any time</w:t>
      </w:r>
    </w:p>
    <w:p>
      <w:pPr>
        <w:pStyle w:val="ListParagraph"/>
        <w:numPr>
          <w:ilvl w:val="0"/>
          <w:numId w:val="2"/>
        </w:numPr>
        <w:spacing w:after="60"/>
      </w:pPr>
      <w:r>
        <w:t xml:space="preserve">Switch an active Product Target Plan to a different product</w:t>
      </w:r>
    </w:p>
    <w:p>
      <w:pPr>
        <w:pStyle w:val="ListParagraph"/>
        <w:numPr>
          <w:ilvl w:val="0"/>
          <w:numId w:val="2"/>
        </w:numPr>
        <w:spacing w:after="60"/>
      </w:pPr>
      <w:r>
        <w:t xml:space="preserve">Status: Active, Completed, Ready for Delivery</w:t>
      </w:r>
    </w:p>
    <w:p>
      <w:pPr>
        <w:spacing w:after="60" w:before="150"/>
      </w:pPr>
      <w:r>
        <w:rPr>
          <w:b/>
          <w:bCs/>
          <w:color w:val="1B2A4A"/>
        </w:rPr>
        <w:t xml:space="preserve">Functional Requirements</w:t>
      </w:r>
    </w:p>
    <w:p>
      <w:pPr>
        <w:spacing w:after="150"/>
      </w:pPr>
      <w:r>
        <w:t xml:space="preserve">FR-6.1: The system shall allow redirection only while the plan status is Active, not after it reaches Ready for Delivery.</w:t>
      </w:r>
    </w:p>
    <w:p>
      <w:pPr>
        <w:spacing w:after="150"/>
      </w:pPr>
      <w:r>
        <w:t xml:space="preserve">FR-6.2: On redirection, the system shall carry the full existing balance to the new target and recompute remaining balance, percentage, and expected completion date against the new product's vendor-set price.</w:t>
      </w:r>
    </w:p>
    <w:p>
      <w:pPr>
        <w:spacing w:after="150"/>
      </w:pPr>
      <w:r>
        <w:t xml:space="preserve">FR-6.3: The system shall keep an audit record of every redirection: source (Open Savings or another plan), destination product, balance at time of redirection, and timestamp.</w:t>
      </w:r>
    </w:p>
    <w:p>
      <w:pPr>
        <w:spacing w:before="100"/>
      </w:pPr>
    </w:p>
    <w:p>
      <w:pPr>
        <w:pStyle w:val="Heading2"/>
      </w:pPr>
      <w:r>
        <w:t xml:space="preserve">7. Order and Delivery Management</w:t>
      </w:r>
    </w:p>
    <w:p>
      <w:pPr>
        <w:spacing w:after="100"/>
      </w:pPr>
      <w:r>
        <w:rPr>
          <w:b/>
          <w:bCs/>
        </w:rPr>
        <w:t xml:space="preserve">Phase: </w:t>
      </w:r>
      <w:r>
        <w:rPr>
          <w:b/>
          <w:bCs/>
          <w:color w:val="C9962C"/>
        </w:rPr>
        <w:t xml:space="preserve">Phase 1</w:t>
      </w:r>
    </w:p>
    <w:p>
      <w:pPr>
        <w:spacing w:after="150"/>
      </w:pPr>
      <w:r>
        <w:t xml:space="preserve">Handles the transition from a fully paid plan to a delivered product. See Section 8.6 for the order status progression.</w:t>
      </w:r>
    </w:p>
    <w:p>
      <w:pPr>
        <w:spacing w:after="60" w:before="150"/>
      </w:pPr>
      <w:r>
        <w:rPr>
          <w:b/>
          <w:bCs/>
          <w:color w:val="1B2A4A"/>
        </w:rPr>
        <w:t xml:space="preserve">Key Features</w:t>
      </w:r>
    </w:p>
    <w:p>
      <w:pPr>
        <w:pStyle w:val="ListParagraph"/>
        <w:numPr>
          <w:ilvl w:val="0"/>
          <w:numId w:val="2"/>
        </w:numPr>
        <w:spacing w:after="60"/>
      </w:pPr>
      <w:r>
        <w:t xml:space="preserve">Delivery Address, State, and Local Government Area captured once a plan reaches one hundred percent payment</w:t>
      </w:r>
    </w:p>
    <w:p>
      <w:pPr>
        <w:pStyle w:val="ListParagraph"/>
        <w:numPr>
          <w:ilvl w:val="0"/>
          <w:numId w:val="2"/>
        </w:numPr>
        <w:spacing w:after="60"/>
      </w:pPr>
      <w:r>
        <w:t xml:space="preserve">Administrator confirmation required before delivery begins</w:t>
      </w:r>
    </w:p>
    <w:p>
      <w:pPr>
        <w:pStyle w:val="ListParagraph"/>
        <w:numPr>
          <w:ilvl w:val="0"/>
          <w:numId w:val="2"/>
        </w:numPr>
        <w:spacing w:after="60"/>
      </w:pPr>
      <w:r>
        <w:t xml:space="preserve">Delivery status: Processing, Packed, Shipped, Out for Delivery, Delivered</w:t>
      </w:r>
    </w:p>
    <w:p>
      <w:pPr>
        <w:spacing w:after="60" w:before="150"/>
      </w:pPr>
      <w:r>
        <w:rPr>
          <w:b/>
          <w:bCs/>
          <w:color w:val="1B2A4A"/>
        </w:rPr>
        <w:t xml:space="preserve">Functional Requirements</w:t>
      </w:r>
    </w:p>
    <w:p>
      <w:pPr>
        <w:spacing w:after="150"/>
      </w:pPr>
      <w:r>
        <w:t xml:space="preserve">FR-7.1: The system shall request a delivery address only after a plan reaches Ready for Delivery status.</w:t>
      </w:r>
    </w:p>
    <w:p>
      <w:pPr>
        <w:spacing w:after="150"/>
      </w:pPr>
      <w:r>
        <w:t xml:space="preserve">FR-7.2: The system shall require explicit Administrator confirmation before an order can move from Pending to Processing.</w:t>
      </w:r>
    </w:p>
    <w:p>
      <w:pPr>
        <w:spacing w:after="150"/>
      </w:pPr>
      <w:r>
        <w:t xml:space="preserve">FR-7.3: The system shall notify the customer at every delivery status change.</w:t>
      </w:r>
    </w:p>
    <w:p>
      <w:pPr>
        <w:spacing w:before="100"/>
      </w:pPr>
    </w:p>
    <w:p>
      <w:pPr>
        <w:pStyle w:val="Heading2"/>
      </w:pPr>
      <w:r>
        <w:t xml:space="preserve">8. Notifications</w:t>
      </w:r>
    </w:p>
    <w:p>
      <w:pPr>
        <w:spacing w:after="100"/>
      </w:pPr>
      <w:r>
        <w:rPr>
          <w:b/>
          <w:bCs/>
        </w:rPr>
        <w:t xml:space="preserve">Phase: </w:t>
      </w:r>
      <w:r>
        <w:rPr>
          <w:b/>
          <w:bCs/>
          <w:color w:val="C9962C"/>
        </w:rPr>
        <w:t xml:space="preserve">Phase 1</w:t>
      </w:r>
    </w:p>
    <w:p>
      <w:pPr>
        <w:spacing w:after="150"/>
      </w:pPr>
      <w:r>
        <w:t xml:space="preserve">Messaging layer used by nearly every other module. Since this build is web-based, notifications go through browser push, email, and text message rather than a mobile application push service.</w:t>
      </w:r>
    </w:p>
    <w:p>
      <w:pPr>
        <w:spacing w:after="60" w:before="150"/>
      </w:pPr>
      <w:r>
        <w:rPr>
          <w:b/>
          <w:bCs/>
          <w:color w:val="1B2A4A"/>
        </w:rPr>
        <w:t xml:space="preserve">Key Features</w:t>
      </w:r>
    </w:p>
    <w:p>
      <w:pPr>
        <w:pStyle w:val="ListParagraph"/>
        <w:numPr>
          <w:ilvl w:val="0"/>
          <w:numId w:val="2"/>
        </w:numPr>
        <w:spacing w:after="60"/>
      </w:pPr>
      <w:r>
        <w:t xml:space="preserve">Payment reminders timed to each plan's schedule</w:t>
      </w:r>
    </w:p>
    <w:p>
      <w:pPr>
        <w:pStyle w:val="ListParagraph"/>
        <w:numPr>
          <w:ilvl w:val="0"/>
          <w:numId w:val="2"/>
        </w:numPr>
        <w:spacing w:after="60"/>
      </w:pPr>
      <w:r>
        <w:t xml:space="preserve">Plan completion alerts</w:t>
      </w:r>
    </w:p>
    <w:p>
      <w:pPr>
        <w:pStyle w:val="ListParagraph"/>
        <w:numPr>
          <w:ilvl w:val="0"/>
          <w:numId w:val="2"/>
        </w:numPr>
        <w:spacing w:after="60"/>
      </w:pPr>
      <w:r>
        <w:t xml:space="preserve">New product alerts</w:t>
      </w:r>
    </w:p>
    <w:p>
      <w:pPr>
        <w:pStyle w:val="ListParagraph"/>
        <w:numPr>
          <w:ilvl w:val="0"/>
          <w:numId w:val="2"/>
        </w:numPr>
        <w:spacing w:after="60"/>
      </w:pPr>
      <w:r>
        <w:t xml:space="preserve">Delivery status updates</w:t>
      </w:r>
    </w:p>
    <w:p>
      <w:pPr>
        <w:spacing w:after="60" w:before="150"/>
      </w:pPr>
      <w:r>
        <w:rPr>
          <w:b/>
          <w:bCs/>
          <w:color w:val="1B2A4A"/>
        </w:rPr>
        <w:t xml:space="preserve">Functional Requirements</w:t>
      </w:r>
    </w:p>
    <w:p>
      <w:pPr>
        <w:spacing w:after="150"/>
      </w:pPr>
      <w:r>
        <w:t xml:space="preserve">FR-8.1: The system shall send a payment reminder ahead of each scheduled contribution date for a Schedule-mode Product Target Plan.</w:t>
      </w:r>
    </w:p>
    <w:p>
      <w:pPr>
        <w:spacing w:after="150"/>
      </w:pPr>
      <w:r>
        <w:t xml:space="preserve">FR-8.2: Notification preferences shall be configurable per category — payments, delivery, marketing — independently of one another.</w:t>
      </w:r>
    </w:p>
    <w:p>
      <w:pPr>
        <w:spacing w:before="100"/>
      </w:pPr>
    </w:p>
    <w:p>
      <w:pPr>
        <w:pStyle w:val="Heading2"/>
      </w:pPr>
      <w:r>
        <w:t xml:space="preserve">9. Transaction History and Digital Receipts</w:t>
      </w:r>
    </w:p>
    <w:p>
      <w:pPr>
        <w:spacing w:after="100"/>
      </w:pPr>
      <w:r>
        <w:rPr>
          <w:b/>
          <w:bCs/>
        </w:rPr>
        <w:t xml:space="preserve">Phase: </w:t>
      </w:r>
      <w:r>
        <w:rPr>
          <w:b/>
          <w:bCs/>
          <w:color w:val="C9962C"/>
        </w:rPr>
        <w:t xml:space="preserve">Phase 1</w:t>
      </w:r>
    </w:p>
    <w:p>
      <w:pPr>
        <w:spacing w:after="150"/>
      </w:pPr>
      <w:r>
        <w:t xml:space="preserve">Auditable record of every money movement and order event.</w:t>
      </w:r>
    </w:p>
    <w:p>
      <w:pPr>
        <w:spacing w:after="60" w:before="150"/>
      </w:pPr>
      <w:r>
        <w:rPr>
          <w:b/>
          <w:bCs/>
          <w:color w:val="1B2A4A"/>
        </w:rPr>
        <w:t xml:space="preserve">Key Features</w:t>
      </w:r>
    </w:p>
    <w:p>
      <w:pPr>
        <w:pStyle w:val="ListParagraph"/>
        <w:numPr>
          <w:ilvl w:val="0"/>
          <w:numId w:val="2"/>
        </w:numPr>
        <w:spacing w:after="60"/>
      </w:pPr>
      <w:r>
        <w:t xml:space="preserve">Deposits, contributions, orders, and receipts in one searchable list</w:t>
      </w:r>
    </w:p>
    <w:p>
      <w:pPr>
        <w:pStyle w:val="ListParagraph"/>
        <w:numPr>
          <w:ilvl w:val="0"/>
          <w:numId w:val="2"/>
        </w:numPr>
        <w:spacing w:after="60"/>
      </w:pPr>
      <w:r>
        <w:t xml:space="preserve">Receipt number, Paystack reference, and an emailed copy for every transaction</w:t>
      </w:r>
    </w:p>
    <w:p>
      <w:pPr>
        <w:spacing w:after="60" w:before="150"/>
      </w:pPr>
      <w:r>
        <w:rPr>
          <w:b/>
          <w:bCs/>
          <w:color w:val="1B2A4A"/>
        </w:rPr>
        <w:t xml:space="preserve">Functional Requirements</w:t>
      </w:r>
    </w:p>
    <w:p>
      <w:pPr>
        <w:spacing w:after="150"/>
      </w:pPr>
      <w:r>
        <w:t xml:space="preserve">FR-9.1: Every deposit and contribution shall generate a receipt within the same transaction, not asynchronously.</w:t>
      </w:r>
    </w:p>
    <w:p>
      <w:pPr>
        <w:spacing w:after="150"/>
      </w:pPr>
      <w:r>
        <w:t xml:space="preserve">FR-9.2: Transaction history shall be filterable by date range and type, and exportable as a Portable Document Format file.</w:t>
      </w:r>
    </w:p>
    <w:p>
      <w:pPr>
        <w:spacing w:before="100"/>
      </w:pPr>
    </w:p>
    <w:p>
      <w:pPr>
        <w:pStyle w:val="Heading2"/>
      </w:pPr>
      <w:r>
        <w:t xml:space="preserve">10. Customer Support, including Call Center and Hotline</w:t>
      </w:r>
    </w:p>
    <w:p>
      <w:pPr>
        <w:spacing w:after="100"/>
      </w:pPr>
      <w:r>
        <w:rPr>
          <w:b/>
          <w:bCs/>
        </w:rPr>
        <w:t xml:space="preserve">Phase: </w:t>
      </w:r>
      <w:r>
        <w:rPr>
          <w:b/>
          <w:bCs/>
          <w:color w:val="C9962C"/>
        </w:rPr>
        <w:t xml:space="preserve">Phase 1 baseline, Phase 2 full</w:t>
      </w:r>
    </w:p>
    <w:p>
      <w:pPr>
        <w:spacing w:after="150"/>
      </w:pPr>
      <w:r>
        <w:t xml:space="preserve">Free-of-charge support across multiple channels, escalating from self-service to a human voice.</w:t>
      </w:r>
    </w:p>
    <w:p>
      <w:pPr>
        <w:spacing w:after="60" w:before="150"/>
      </w:pPr>
      <w:r>
        <w:rPr>
          <w:b/>
          <w:bCs/>
          <w:color w:val="1B2A4A"/>
        </w:rPr>
        <w:t xml:space="preserve">Key Features</w:t>
      </w:r>
    </w:p>
    <w:p>
      <w:pPr>
        <w:pStyle w:val="ListParagraph"/>
        <w:numPr>
          <w:ilvl w:val="0"/>
          <w:numId w:val="2"/>
        </w:numPr>
        <w:spacing w:after="60"/>
      </w:pPr>
      <w:r>
        <w:t xml:space="preserve">Frequently Asked Questions section and a WhatsApp link — Phase 1</w:t>
      </w:r>
    </w:p>
    <w:p>
      <w:pPr>
        <w:pStyle w:val="ListParagraph"/>
        <w:numPr>
          <w:ilvl w:val="0"/>
          <w:numId w:val="2"/>
        </w:numPr>
        <w:spacing w:after="60"/>
      </w:pPr>
      <w:r>
        <w:t xml:space="preserve">A dedicated hotline number with Interactive Voice Response call routing to the correct support queue — Phase 1</w:t>
      </w:r>
    </w:p>
    <w:p>
      <w:pPr>
        <w:pStyle w:val="ListParagraph"/>
        <w:numPr>
          <w:ilvl w:val="0"/>
          <w:numId w:val="2"/>
        </w:numPr>
        <w:spacing w:after="60"/>
      </w:pPr>
      <w:r>
        <w:t xml:space="preserve">Live chat and an in-app Complaint Center — Phase 2</w:t>
      </w:r>
    </w:p>
    <w:p>
      <w:pPr>
        <w:pStyle w:val="ListParagraph"/>
        <w:numPr>
          <w:ilvl w:val="0"/>
          <w:numId w:val="2"/>
        </w:numPr>
        <w:spacing w:after="60"/>
      </w:pPr>
      <w:r>
        <w:t xml:space="preserve">Escalation path: chatbot, then live chat, then hotline call center, then complaint ticket</w:t>
      </w:r>
    </w:p>
    <w:p>
      <w:pPr>
        <w:spacing w:after="60" w:before="150"/>
      </w:pPr>
      <w:r>
        <w:rPr>
          <w:b/>
          <w:bCs/>
          <w:color w:val="1B2A4A"/>
        </w:rPr>
        <w:t xml:space="preserve">Functional Requirements</w:t>
      </w:r>
    </w:p>
    <w:p>
      <w:pPr>
        <w:spacing w:after="150"/>
      </w:pPr>
      <w:r>
        <w:t xml:space="preserve">FR-10.1: Every hotline call and support ticket shall be logged against the customer's account automatically.</w:t>
      </w:r>
    </w:p>
    <w:p>
      <w:pPr>
        <w:spacing w:after="150"/>
      </w:pPr>
      <w:r>
        <w:t xml:space="preserve">FR-10.2: The Interactive Voice Response system shall route calls based on the reason selected (payment issue, delivery issue, general inquiry) to the correct Support Agent queue.</w:t>
      </w:r>
    </w:p>
    <w:p>
      <w:pPr>
        <w:spacing w:after="150"/>
      </w:pPr>
      <w:r>
        <w:t xml:space="preserve">FR-10.3: A Support Agent shall be able to see a customer's order and plan history without seeing payment card details.</w:t>
      </w:r>
    </w:p>
    <w:p>
      <w:pPr>
        <w:spacing w:before="100"/>
      </w:pPr>
    </w:p>
    <w:p>
      <w:pPr>
        <w:pStyle w:val="Heading2"/>
      </w:pPr>
      <w:r>
        <w:t xml:space="preserve">11. Administrator Dashboard and Role-Based Access</w:t>
      </w:r>
    </w:p>
    <w:p>
      <w:pPr>
        <w:spacing w:after="100"/>
      </w:pPr>
      <w:r>
        <w:rPr>
          <w:b/>
          <w:bCs/>
        </w:rPr>
        <w:t xml:space="preserve">Phase: </w:t>
      </w:r>
      <w:r>
        <w:rPr>
          <w:b/>
          <w:bCs/>
          <w:color w:val="C9962C"/>
        </w:rPr>
        <w:t xml:space="preserve">Phase 1</w:t>
      </w:r>
    </w:p>
    <w:p>
      <w:pPr>
        <w:spacing w:after="150"/>
      </w:pPr>
      <w:r>
        <w:t xml:space="preserve">Central control plane, split across the sub-roles defined in Section 3 so no single account carries every responsibility.</w:t>
      </w:r>
    </w:p>
    <w:p>
      <w:pPr>
        <w:spacing w:after="60" w:before="150"/>
      </w:pPr>
      <w:r>
        <w:rPr>
          <w:b/>
          <w:bCs/>
          <w:color w:val="1B2A4A"/>
        </w:rPr>
        <w:t xml:space="preserve">Key Features</w:t>
      </w:r>
    </w:p>
    <w:p>
      <w:pPr>
        <w:pStyle w:val="ListParagraph"/>
        <w:numPr>
          <w:ilvl w:val="0"/>
          <w:numId w:val="2"/>
        </w:numPr>
        <w:spacing w:after="60"/>
      </w:pPr>
      <w:r>
        <w:t xml:space="preserve">Product listing approval queue, prioritized by artificial-intelligence flags (see Module 19)</w:t>
      </w:r>
    </w:p>
    <w:p>
      <w:pPr>
        <w:pStyle w:val="ListParagraph"/>
        <w:numPr>
          <w:ilvl w:val="0"/>
          <w:numId w:val="2"/>
        </w:numPr>
        <w:spacing w:after="60"/>
      </w:pPr>
      <w:r>
        <w:t xml:space="preserve">User management: view, suspend, ban</w:t>
      </w:r>
    </w:p>
    <w:p>
      <w:pPr>
        <w:pStyle w:val="ListParagraph"/>
        <w:numPr>
          <w:ilvl w:val="0"/>
          <w:numId w:val="2"/>
        </w:numPr>
        <w:spacing w:after="60"/>
      </w:pPr>
      <w:r>
        <w:t xml:space="preserve">Payment confirmation</w:t>
      </w:r>
    </w:p>
    <w:p>
      <w:pPr>
        <w:pStyle w:val="ListParagraph"/>
        <w:numPr>
          <w:ilvl w:val="0"/>
          <w:numId w:val="2"/>
        </w:numPr>
        <w:spacing w:after="60"/>
      </w:pPr>
      <w:r>
        <w:t xml:space="preserve">Order management: pending, completed, delivered</w:t>
      </w:r>
    </w:p>
    <w:p>
      <w:pPr>
        <w:pStyle w:val="ListParagraph"/>
        <w:numPr>
          <w:ilvl w:val="0"/>
          <w:numId w:val="2"/>
        </w:numPr>
        <w:spacing w:after="60"/>
      </w:pPr>
      <w:r>
        <w:t xml:space="preserve">Reporting: daily, weekly, monthly</w:t>
      </w:r>
    </w:p>
    <w:p>
      <w:pPr>
        <w:pStyle w:val="ListParagraph"/>
        <w:numPr>
          <w:ilvl w:val="0"/>
          <w:numId w:val="2"/>
        </w:numPr>
        <w:spacing w:after="60"/>
      </w:pPr>
      <w:r>
        <w:t xml:space="preserve">Role and permission management, restricted to Super Administrator</w:t>
      </w:r>
    </w:p>
    <w:p>
      <w:pPr>
        <w:spacing w:after="60" w:before="150"/>
      </w:pPr>
      <w:r>
        <w:rPr>
          <w:b/>
          <w:bCs/>
          <w:color w:val="1B2A4A"/>
        </w:rPr>
        <w:t xml:space="preserve">Functional Requirements</w:t>
      </w:r>
    </w:p>
    <w:p>
      <w:pPr>
        <w:spacing w:after="150"/>
      </w:pPr>
      <w:r>
        <w:t xml:space="preserve">FR-11.1: Only a Super Administrator shall be able to create new Administrator, Support Agent, Logistics Personnel, or Finance Officer accounts.</w:t>
      </w:r>
    </w:p>
    <w:p>
      <w:pPr>
        <w:spacing w:after="150"/>
      </w:pPr>
      <w:r>
        <w:t xml:space="preserve">FR-11.2: Suspending or banning a user shall immediately revoke that user's active session.</w:t>
      </w:r>
    </w:p>
    <w:p>
      <w:pPr>
        <w:spacing w:after="150"/>
      </w:pPr>
      <w:r>
        <w:t xml:space="preserve">FR-11.3: Reports shall be generated on a schedule and available on demand, covering signups, deposits, plan completions, and order volume.</w:t>
      </w:r>
    </w:p>
    <w:p>
      <w:pPr>
        <w:spacing w:before="100"/>
      </w:pPr>
    </w:p>
    <w:p>
      <w:pPr>
        <w:pStyle w:val="Heading2"/>
      </w:pPr>
      <w:r>
        <w:t xml:space="preserve">12. Vendor Registration and Onboarding</w:t>
      </w:r>
    </w:p>
    <w:p>
      <w:pPr>
        <w:spacing w:after="100"/>
      </w:pPr>
      <w:r>
        <w:rPr>
          <w:b/>
          <w:bCs/>
        </w:rPr>
        <w:t xml:space="preserve">Phase: </w:t>
      </w:r>
      <w:r>
        <w:rPr>
          <w:b/>
          <w:bCs/>
          <w:color w:val="C9962C"/>
        </w:rPr>
        <w:t xml:space="preserve">Phase 1</w:t>
      </w:r>
    </w:p>
    <w:p>
      <w:pPr>
        <w:spacing w:after="150"/>
      </w:pPr>
      <w:r>
        <w:t xml:space="preserve">Vendor identity capture and administrator gatekeeping before any product can be listed.</w:t>
      </w:r>
    </w:p>
    <w:p>
      <w:pPr>
        <w:spacing w:after="60" w:before="150"/>
      </w:pPr>
      <w:r>
        <w:rPr>
          <w:b/>
          <w:bCs/>
          <w:color w:val="1B2A4A"/>
        </w:rPr>
        <w:t xml:space="preserve">Key Features</w:t>
      </w:r>
    </w:p>
    <w:p>
      <w:pPr>
        <w:pStyle w:val="ListParagraph"/>
        <w:numPr>
          <w:ilvl w:val="0"/>
          <w:numId w:val="2"/>
        </w:numPr>
        <w:spacing w:after="60"/>
      </w:pPr>
      <w:r>
        <w:t xml:space="preserve">Registered Business Name, Full Name, Phone Number, Email Address, Bank Verification Number, National Identification Number, Corporate Affairs Commission document upload, Address</w:t>
      </w:r>
    </w:p>
    <w:p>
      <w:pPr>
        <w:pStyle w:val="ListParagraph"/>
        <w:numPr>
          <w:ilvl w:val="0"/>
          <w:numId w:val="2"/>
        </w:numPr>
        <w:spacing w:after="60"/>
      </w:pPr>
      <w:r>
        <w:t xml:space="preserve">Administrator approval required before the vendor account is active</w:t>
      </w:r>
    </w:p>
    <w:p>
      <w:pPr>
        <w:spacing w:after="60" w:before="150"/>
      </w:pPr>
      <w:r>
        <w:rPr>
          <w:b/>
          <w:bCs/>
          <w:color w:val="1B2A4A"/>
        </w:rPr>
        <w:t xml:space="preserve">Functional Requirements</w:t>
      </w:r>
    </w:p>
    <w:p>
      <w:pPr>
        <w:spacing w:after="150"/>
      </w:pPr>
      <w:r>
        <w:t xml:space="preserve">FR-12.1: The system shall block product posting entirely until vendor status is Approved by an Administrator.</w:t>
      </w:r>
    </w:p>
    <w:p>
      <w:pPr>
        <w:spacing w:after="150"/>
      </w:pPr>
      <w:r>
        <w:t xml:space="preserve">FR-12.2: The Corporate Affairs Commission document shall be stored securely and be viewable only by Administrator roles.</w:t>
      </w:r>
    </w:p>
    <w:p>
      <w:pPr>
        <w:spacing w:before="100"/>
      </w:pPr>
    </w:p>
    <w:p>
      <w:pPr>
        <w:pStyle w:val="Heading2"/>
      </w:pPr>
      <w:r>
        <w:t xml:space="preserve">13. Vendor Product Posting with Artificial-Intelligence-Assisted Approval</w:t>
      </w:r>
    </w:p>
    <w:p>
      <w:pPr>
        <w:spacing w:after="100"/>
      </w:pPr>
      <w:r>
        <w:rPr>
          <w:b/>
          <w:bCs/>
        </w:rPr>
        <w:t xml:space="preserve">Phase: </w:t>
      </w:r>
      <w:r>
        <w:rPr>
          <w:b/>
          <w:bCs/>
          <w:color w:val="C9962C"/>
        </w:rPr>
        <w:t xml:space="preserve">Phase 1</w:t>
      </w:r>
    </w:p>
    <w:p>
      <w:pPr>
        <w:spacing w:after="150"/>
      </w:pPr>
      <w:r>
        <w:t xml:space="preserve">Vendors supply the catalog and set their own selling price. Administrators keep control over what appears in the catalog through approval, not through pricing, and an artificial-intelligence layer pre-screens every listing so an Administrator is not manually reviewing every field of every submission. See Section 9 for the full design of this artificial-intelligence check.</w:t>
      </w:r>
    </w:p>
    <w:p>
      <w:pPr>
        <w:spacing w:after="60" w:before="150"/>
      </w:pPr>
      <w:r>
        <w:rPr>
          <w:b/>
          <w:bCs/>
          <w:color w:val="1B2A4A"/>
        </w:rPr>
        <w:t xml:space="preserve">Key Features</w:t>
      </w:r>
    </w:p>
    <w:p>
      <w:pPr>
        <w:pStyle w:val="ListParagraph"/>
        <w:numPr>
          <w:ilvl w:val="0"/>
          <w:numId w:val="2"/>
        </w:numPr>
        <w:spacing w:after="60"/>
      </w:pPr>
      <w:r>
        <w:t xml:space="preserve">Vendor uploads images, description, category, available quantity, and sets their own selling price</w:t>
      </w:r>
    </w:p>
    <w:p>
      <w:pPr>
        <w:pStyle w:val="ListParagraph"/>
        <w:numPr>
          <w:ilvl w:val="0"/>
          <w:numId w:val="2"/>
        </w:numPr>
        <w:spacing w:after="60"/>
      </w:pPr>
      <w:r>
        <w:t xml:space="preserve">Product status: Pending Approval, then Approved or Rejected</w:t>
      </w:r>
    </w:p>
    <w:p>
      <w:pPr>
        <w:pStyle w:val="ListParagraph"/>
        <w:numPr>
          <w:ilvl w:val="0"/>
          <w:numId w:val="2"/>
        </w:numPr>
        <w:spacing w:after="60"/>
      </w:pPr>
      <w:r>
        <w:t xml:space="preserve">Free or Paid posting mode, with configurable fee tiers, for example a Basic post at five hundred Naira, a Premium post at two thousand Naira, and a Featured post at five thousand Naira</w:t>
      </w:r>
    </w:p>
    <w:p>
      <w:pPr>
        <w:pStyle w:val="ListParagraph"/>
        <w:numPr>
          <w:ilvl w:val="0"/>
          <w:numId w:val="2"/>
        </w:numPr>
        <w:spacing w:after="60"/>
      </w:pPr>
      <w:r>
        <w:t xml:space="preserve">Artificial-intelligence pre-screening flags image quality issues, description problems, category mismatches, and price outliers before the listing reaches an Administrator</w:t>
      </w:r>
    </w:p>
    <w:p>
      <w:pPr>
        <w:spacing w:after="60" w:before="150"/>
      </w:pPr>
      <w:r>
        <w:rPr>
          <w:b/>
          <w:bCs/>
          <w:color w:val="1B2A4A"/>
        </w:rPr>
        <w:t xml:space="preserve">Functional Requirements</w:t>
      </w:r>
    </w:p>
    <w:p>
      <w:pPr>
        <w:spacing w:after="150"/>
      </w:pPr>
      <w:r>
        <w:t xml:space="preserve">FR-13.1: The system shall let the vendor set and change their own product price at any time before approval; after approval, a price change shall send the listing back to Pending Approval.</w:t>
      </w:r>
    </w:p>
    <w:p>
      <w:pPr>
        <w:spacing w:after="150"/>
      </w:pPr>
      <w:r>
        <w:t xml:space="preserve">FR-13.2: A product shall not appear in customer-facing catalog queries while its status is Pending Approval or Rejected.</w:t>
      </w:r>
    </w:p>
    <w:p>
      <w:pPr>
        <w:spacing w:after="150"/>
      </w:pPr>
      <w:r>
        <w:t xml:space="preserve">FR-13.3: The Administrator's approval action shall be limited to approve or reject the listing as a whole — there is no price-editing control available to the Administrator.</w:t>
      </w:r>
    </w:p>
    <w:p>
      <w:pPr>
        <w:spacing w:after="150"/>
      </w:pPr>
      <w:r>
        <w:t xml:space="preserve">FR-13.4: Listings with no artificial-intelligence flags shall be presented to the Administrator in a fast-approval view; flagged listings shall be presented with the specific flag reason attached.</w:t>
      </w:r>
    </w:p>
    <w:p>
      <w:pPr>
        <w:spacing w:before="100"/>
      </w:pPr>
    </w:p>
    <w:p>
      <w:pPr>
        <w:pStyle w:val="Heading2"/>
      </w:pPr>
      <w:r>
        <w:t xml:space="preserve">14. Vendor Dashboard, Rating, and Suspension</w:t>
      </w:r>
    </w:p>
    <w:p>
      <w:pPr>
        <w:spacing w:after="100"/>
      </w:pPr>
      <w:r>
        <w:rPr>
          <w:b/>
          <w:bCs/>
        </w:rPr>
        <w:t xml:space="preserve">Phase: </w:t>
      </w:r>
      <w:r>
        <w:rPr>
          <w:b/>
          <w:bCs/>
          <w:color w:val="C9962C"/>
        </w:rPr>
        <w:t xml:space="preserve">Phase 1 dashboard, Phase 2 rating tiers</w:t>
      </w:r>
    </w:p>
    <w:p>
      <w:pPr>
        <w:spacing w:after="150"/>
      </w:pPr>
      <w:r>
        <w:t xml:space="preserve">Vendor-facing visibility limited strictly to their own catalog and earnings, never buyer identity.</w:t>
      </w:r>
    </w:p>
    <w:p>
      <w:pPr>
        <w:spacing w:after="60" w:before="150"/>
      </w:pPr>
      <w:r>
        <w:rPr>
          <w:b/>
          <w:bCs/>
          <w:color w:val="1B2A4A"/>
        </w:rPr>
        <w:t xml:space="preserve">Key Features</w:t>
      </w:r>
    </w:p>
    <w:p>
      <w:pPr>
        <w:pStyle w:val="ListParagraph"/>
        <w:numPr>
          <w:ilvl w:val="0"/>
          <w:numId w:val="2"/>
        </w:numPr>
        <w:spacing w:after="60"/>
      </w:pPr>
      <w:r>
        <w:t xml:space="preserve">Products Posted, Approved, Sold, Total Earnings</w:t>
      </w:r>
    </w:p>
    <w:p>
      <w:pPr>
        <w:pStyle w:val="ListParagraph"/>
        <w:numPr>
          <w:ilvl w:val="0"/>
          <w:numId w:val="2"/>
        </w:numPr>
        <w:spacing w:after="60"/>
      </w:pPr>
      <w:r>
        <w:t xml:space="preserve">Vendor rating tiers: Bronze, Silver, Gold, Platinum (Phase 2)</w:t>
      </w:r>
    </w:p>
    <w:p>
      <w:pPr>
        <w:pStyle w:val="ListParagraph"/>
        <w:numPr>
          <w:ilvl w:val="0"/>
          <w:numId w:val="2"/>
        </w:numPr>
        <w:spacing w:after="60"/>
      </w:pPr>
      <w:r>
        <w:t xml:space="preserve">Administrator actions: reject or delete a product, suspend or permanently ban a vendor</w:t>
      </w:r>
    </w:p>
    <w:p>
      <w:pPr>
        <w:spacing w:after="60" w:before="150"/>
      </w:pPr>
      <w:r>
        <w:rPr>
          <w:b/>
          <w:bCs/>
          <w:color w:val="1B2A4A"/>
        </w:rPr>
        <w:t xml:space="preserve">Functional Requirements</w:t>
      </w:r>
    </w:p>
    <w:p>
      <w:pPr>
        <w:spacing w:after="150"/>
      </w:pPr>
      <w:r>
        <w:t xml:space="preserve">FR-14.1: Vendor dashboard queries shall never join against customer personal data tables, enforced at the data access layer.</w:t>
      </w:r>
    </w:p>
    <w:p>
      <w:pPr>
        <w:spacing w:after="150"/>
      </w:pPr>
      <w:r>
        <w:t xml:space="preserve">FR-14.2: Suspending a vendor shall immediately unlist all of that vendor's Approved products from the catalog.</w:t>
      </w:r>
    </w:p>
    <w:p>
      <w:pPr>
        <w:spacing w:before="100"/>
      </w:pPr>
    </w:p>
    <w:p>
      <w:pPr>
        <w:pStyle w:val="Heading2"/>
      </w:pPr>
      <w:r>
        <w:t xml:space="preserve">15. Vendor Fee Engine</w:t>
      </w:r>
    </w:p>
    <w:p>
      <w:pPr>
        <w:spacing w:after="100"/>
      </w:pPr>
      <w:r>
        <w:rPr>
          <w:b/>
          <w:bCs/>
        </w:rPr>
        <w:t xml:space="preserve">Phase: </w:t>
      </w:r>
      <w:r>
        <w:rPr>
          <w:b/>
          <w:bCs/>
          <w:color w:val="C9962C"/>
        </w:rPr>
        <w:t xml:space="preserve">Phase 1</w:t>
      </w:r>
    </w:p>
    <w:p>
      <w:pPr>
        <w:spacing w:after="150"/>
      </w:pPr>
      <w:r>
        <w:t xml:space="preserve">Administrator-controlled posting-fee logic. Since vendors now set their own product prices, this module governs only the platform's posting fees, not product pricing.</w:t>
      </w:r>
    </w:p>
    <w:p>
      <w:pPr>
        <w:spacing w:after="60" w:before="150"/>
      </w:pPr>
      <w:r>
        <w:rPr>
          <w:b/>
          <w:bCs/>
          <w:color w:val="1B2A4A"/>
        </w:rPr>
        <w:t xml:space="preserve">Key Features</w:t>
      </w:r>
    </w:p>
    <w:p>
      <w:pPr>
        <w:pStyle w:val="ListParagraph"/>
        <w:numPr>
          <w:ilvl w:val="0"/>
          <w:numId w:val="2"/>
        </w:numPr>
        <w:spacing w:after="60"/>
      </w:pPr>
      <w:r>
        <w:t xml:space="preserve">Toggle the platform-wide posting fee mode between Free and Paid</w:t>
      </w:r>
    </w:p>
    <w:p>
      <w:pPr>
        <w:pStyle w:val="ListParagraph"/>
        <w:numPr>
          <w:ilvl w:val="0"/>
          <w:numId w:val="2"/>
        </w:numPr>
        <w:spacing w:after="60"/>
      </w:pPr>
      <w:r>
        <w:t xml:space="preserve">Set and change Basic, Premium, and Featured posting fee amounts at any time</w:t>
      </w:r>
    </w:p>
    <w:p>
      <w:pPr>
        <w:spacing w:after="60" w:before="150"/>
      </w:pPr>
      <w:r>
        <w:rPr>
          <w:b/>
          <w:bCs/>
          <w:color w:val="1B2A4A"/>
        </w:rPr>
        <w:t xml:space="preserve">Functional Requirements</w:t>
      </w:r>
    </w:p>
    <w:p>
      <w:pPr>
        <w:spacing w:after="150"/>
      </w:pPr>
      <w:r>
        <w:t xml:space="preserve">FR-15.1: Posting fee changes shall apply only to new posts submitted after the change, not retroactively to posts already pending.</w:t>
      </w:r>
    </w:p>
    <w:p>
      <w:pPr>
        <w:spacing w:before="100"/>
      </w:pPr>
    </w:p>
    <w:p>
      <w:pPr>
        <w:pStyle w:val="Heading2"/>
      </w:pPr>
      <w:r>
        <w:t xml:space="preserve">16. Wishlist</w:t>
      </w:r>
    </w:p>
    <w:p>
      <w:pPr>
        <w:spacing w:after="100"/>
      </w:pPr>
      <w:r>
        <w:rPr>
          <w:b/>
          <w:bCs/>
        </w:rPr>
        <w:t xml:space="preserve">Phase: </w:t>
      </w:r>
      <w:r>
        <w:rPr>
          <w:b/>
          <w:bCs/>
          <w:color w:val="C9962C"/>
        </w:rPr>
        <w:t xml:space="preserve">Phase 2</w:t>
      </w:r>
    </w:p>
    <w:p>
      <w:pPr>
        <w:spacing w:after="150"/>
      </w:pPr>
      <w:r>
        <w:t xml:space="preserve">Deferred-purchase interest list, separate from an active Product Target Plan.</w:t>
      </w:r>
    </w:p>
    <w:p>
      <w:pPr>
        <w:spacing w:after="60" w:before="150"/>
      </w:pPr>
      <w:r>
        <w:rPr>
          <w:b/>
          <w:bCs/>
          <w:color w:val="1B2A4A"/>
        </w:rPr>
        <w:t xml:space="preserve">Key Features</w:t>
      </w:r>
    </w:p>
    <w:p>
      <w:pPr>
        <w:pStyle w:val="ListParagraph"/>
        <w:numPr>
          <w:ilvl w:val="0"/>
          <w:numId w:val="2"/>
        </w:numPr>
        <w:spacing w:after="60"/>
      </w:pPr>
      <w:r>
        <w:t xml:space="preserve">Save products for later</w:t>
      </w:r>
    </w:p>
    <w:p>
      <w:pPr>
        <w:pStyle w:val="ListParagraph"/>
        <w:numPr>
          <w:ilvl w:val="0"/>
          <w:numId w:val="2"/>
        </w:numPr>
        <w:spacing w:after="60"/>
      </w:pPr>
      <w:r>
        <w:t xml:space="preserve">Compare products side by side</w:t>
      </w:r>
    </w:p>
    <w:p>
      <w:pPr>
        <w:pStyle w:val="ListParagraph"/>
        <w:numPr>
          <w:ilvl w:val="0"/>
          <w:numId w:val="2"/>
        </w:numPr>
        <w:spacing w:after="60"/>
      </w:pPr>
      <w:r>
        <w:t xml:space="preserve">Price-drop notifications</w:t>
      </w:r>
    </w:p>
    <w:p>
      <w:pPr>
        <w:spacing w:after="60" w:before="150"/>
      </w:pPr>
      <w:r>
        <w:rPr>
          <w:b/>
          <w:bCs/>
          <w:color w:val="1B2A4A"/>
        </w:rPr>
        <w:t xml:space="preserve">Functional Requirements</w:t>
      </w:r>
    </w:p>
    <w:p>
      <w:pPr>
        <w:spacing w:after="150"/>
      </w:pPr>
      <w:r>
        <w:t xml:space="preserve">FR-16.1: The system shall notify a customer when a wishlisted product's vendor-set price decreases by more than a configurable threshold.</w:t>
      </w:r>
    </w:p>
    <w:p>
      <w:pPr>
        <w:spacing w:before="100"/>
      </w:pPr>
    </w:p>
    <w:p>
      <w:pPr>
        <w:pStyle w:val="Heading2"/>
      </w:pPr>
      <w:r>
        <w:t xml:space="preserve">17. Rewards, Referral, and Personalization</w:t>
      </w:r>
    </w:p>
    <w:p>
      <w:pPr>
        <w:spacing w:after="100"/>
      </w:pPr>
      <w:r>
        <w:rPr>
          <w:b/>
          <w:bCs/>
        </w:rPr>
        <w:t xml:space="preserve">Phase: </w:t>
      </w:r>
      <w:r>
        <w:rPr>
          <w:b/>
          <w:bCs/>
          <w:color w:val="C9962C"/>
        </w:rPr>
        <w:t xml:space="preserve">Phase 2</w:t>
      </w:r>
    </w:p>
    <w:p>
      <w:pPr>
        <w:spacing w:after="150"/>
      </w:pPr>
      <w:r>
        <w:t xml:space="preserve">Retention layer built once the core transactional loop is stable.</w:t>
      </w:r>
    </w:p>
    <w:p>
      <w:pPr>
        <w:spacing w:after="60" w:before="150"/>
      </w:pPr>
      <w:r>
        <w:rPr>
          <w:b/>
          <w:bCs/>
          <w:color w:val="1B2A4A"/>
        </w:rPr>
        <w:t xml:space="preserve">Key Features</w:t>
      </w:r>
    </w:p>
    <w:p>
      <w:pPr>
        <w:pStyle w:val="ListParagraph"/>
        <w:numPr>
          <w:ilvl w:val="0"/>
          <w:numId w:val="2"/>
        </w:numPr>
        <w:spacing w:after="60"/>
      </w:pPr>
      <w:r>
        <w:t xml:space="preserve">Badge tiers: Bronze, Silver, Gold, Platinum Saver, based on cumulative completed savings</w:t>
      </w:r>
    </w:p>
    <w:p>
      <w:pPr>
        <w:pStyle w:val="ListParagraph"/>
        <w:numPr>
          <w:ilvl w:val="0"/>
          <w:numId w:val="2"/>
        </w:numPr>
        <w:spacing w:after="60"/>
      </w:pPr>
      <w:r>
        <w:t xml:space="preserve">A simple, explicitly single-level referral program, not a multi-level structure</w:t>
      </w:r>
    </w:p>
    <w:p>
      <w:pPr>
        <w:pStyle w:val="ListParagraph"/>
        <w:numPr>
          <w:ilvl w:val="0"/>
          <w:numId w:val="2"/>
        </w:numPr>
        <w:spacing w:after="60"/>
      </w:pPr>
      <w:r>
        <w:t xml:space="preserve">Scheduled automatic debit (daily, weekly, or monthly)</w:t>
      </w:r>
    </w:p>
    <w:p>
      <w:pPr>
        <w:pStyle w:val="ListParagraph"/>
        <w:numPr>
          <w:ilvl w:val="0"/>
          <w:numId w:val="2"/>
        </w:numPr>
        <w:spacing w:after="60"/>
      </w:pPr>
      <w:r>
        <w:t xml:space="preserve">Pause and resume a Product Target Plan, with no withdrawal permitted</w:t>
      </w:r>
    </w:p>
    <w:p>
      <w:pPr>
        <w:pStyle w:val="ListParagraph"/>
        <w:numPr>
          <w:ilvl w:val="0"/>
          <w:numId w:val="2"/>
        </w:numPr>
        <w:spacing w:after="60"/>
      </w:pPr>
      <w:r>
        <w:t xml:space="preserve">Multi-language interface: English, Hausa, French, Arabic</w:t>
      </w:r>
    </w:p>
    <w:p>
      <w:pPr>
        <w:pStyle w:val="ListParagraph"/>
        <w:numPr>
          <w:ilvl w:val="0"/>
          <w:numId w:val="2"/>
        </w:numPr>
        <w:spacing w:after="60"/>
      </w:pPr>
      <w:r>
        <w:t xml:space="preserve">Dark mode</w:t>
      </w:r>
    </w:p>
    <w:p>
      <w:pPr>
        <w:spacing w:after="60" w:before="150"/>
      </w:pPr>
      <w:r>
        <w:rPr>
          <w:b/>
          <w:bCs/>
          <w:color w:val="1B2A4A"/>
        </w:rPr>
        <w:t xml:space="preserve">Functional Requirements</w:t>
      </w:r>
    </w:p>
    <w:p>
      <w:pPr>
        <w:spacing w:after="150"/>
      </w:pPr>
      <w:r>
        <w:t xml:space="preserve">FR-17.1: Referral rewards shall be credited to the referrer only when the referred customer's first plan reaches Completed status, never at signup.</w:t>
      </w:r>
    </w:p>
    <w:p>
      <w:pPr>
        <w:spacing w:after="150"/>
      </w:pPr>
      <w:r>
        <w:t xml:space="preserve">FR-17.2: Pausing a plan shall stop payment reminders and automatic debit but shall not change the locked target price or the amount already saved.</w:t>
      </w:r>
    </w:p>
    <w:p>
      <w:pPr>
        <w:spacing w:before="100"/>
      </w:pPr>
    </w:p>
    <w:p>
      <w:pPr>
        <w:pStyle w:val="Heading2"/>
      </w:pPr>
      <w:r>
        <w:t xml:space="preserve">18. Security and Fraud Controls</w:t>
      </w:r>
    </w:p>
    <w:p>
      <w:pPr>
        <w:spacing w:after="100"/>
      </w:pPr>
      <w:r>
        <w:rPr>
          <w:b/>
          <w:bCs/>
        </w:rPr>
        <w:t xml:space="preserve">Phase: </w:t>
      </w:r>
      <w:r>
        <w:rPr>
          <w:b/>
          <w:bCs/>
          <w:color w:val="C9962C"/>
        </w:rPr>
        <w:t xml:space="preserve">Phase 1 baseline, Phase 2 advanced</w:t>
      </w:r>
    </w:p>
    <w:p>
      <w:pPr>
        <w:spacing w:after="150"/>
      </w:pPr>
      <w:r>
        <w:t xml:space="preserve">Cross-cutting controls protecting customer funds and identity data.</w:t>
      </w:r>
    </w:p>
    <w:p>
      <w:pPr>
        <w:spacing w:after="60" w:before="150"/>
      </w:pPr>
      <w:r>
        <w:rPr>
          <w:b/>
          <w:bCs/>
          <w:color w:val="1B2A4A"/>
        </w:rPr>
        <w:t xml:space="preserve">Key Features</w:t>
      </w:r>
    </w:p>
    <w:p>
      <w:pPr>
        <w:pStyle w:val="ListParagraph"/>
        <w:numPr>
          <w:ilvl w:val="0"/>
          <w:numId w:val="2"/>
        </w:numPr>
        <w:spacing w:after="60"/>
      </w:pPr>
      <w:r>
        <w:t xml:space="preserve">One-Time Password and email verification, Bank Verification Number and National Identification Number checks — Phase 1</w:t>
      </w:r>
    </w:p>
    <w:p>
      <w:pPr>
        <w:pStyle w:val="ListParagraph"/>
        <w:numPr>
          <w:ilvl w:val="0"/>
          <w:numId w:val="2"/>
        </w:numPr>
        <w:spacing w:after="60"/>
      </w:pPr>
      <w:r>
        <w:t xml:space="preserve">Encrypted database at rest, login alerts — Phase 1</w:t>
      </w:r>
    </w:p>
    <w:p>
      <w:pPr>
        <w:pStyle w:val="ListParagraph"/>
        <w:numPr>
          <w:ilvl w:val="0"/>
          <w:numId w:val="2"/>
        </w:numPr>
        <w:spacing w:after="60"/>
      </w:pPr>
      <w:r>
        <w:t xml:space="preserve">Automated fraud and risk flags for Administrator review — Phase 2, see Section 8.9</w:t>
      </w:r>
    </w:p>
    <w:p>
      <w:pPr>
        <w:spacing w:after="60" w:before="150"/>
      </w:pPr>
      <w:r>
        <w:rPr>
          <w:b/>
          <w:bCs/>
          <w:color w:val="1B2A4A"/>
        </w:rPr>
        <w:t xml:space="preserve">Functional Requirements</w:t>
      </w:r>
    </w:p>
    <w:p>
      <w:pPr>
        <w:spacing w:after="150"/>
      </w:pPr>
      <w:r>
        <w:t xml:space="preserve">FR-18.1: All personal data — Bank Verification Number, National Identification Number, phone number, address — shall be encrypted at rest and never appear in plaintext application logs.</w:t>
      </w:r>
    </w:p>
    <w:p>
      <w:pPr>
        <w:spacing w:after="150"/>
      </w:pPr>
      <w:r>
        <w:t xml:space="preserve">FR-18.2: The system shall limit the number of one-time passcode requests per phone number in a given time window, to prevent text-message abuse.</w:t>
      </w:r>
    </w:p>
    <w:p>
      <w:pPr>
        <w:spacing w:before="100"/>
      </w:pPr>
    </w:p>
    <w:p>
      <w:pPr>
        <w:pStyle w:val="Heading2"/>
      </w:pPr>
      <w:r>
        <w:t xml:space="preserve">19. Artificial Intelligence Services</w:t>
      </w:r>
    </w:p>
    <w:p>
      <w:pPr>
        <w:spacing w:after="100"/>
      </w:pPr>
      <w:r>
        <w:rPr>
          <w:b/>
          <w:bCs/>
        </w:rPr>
        <w:t xml:space="preserve">Phase: </w:t>
      </w:r>
      <w:r>
        <w:rPr>
          <w:b/>
          <w:bCs/>
          <w:color w:val="C9962C"/>
        </w:rPr>
        <w:t xml:space="preserve">Phase 1 baseline, Phase 2 to Phase 3 full</w:t>
      </w:r>
    </w:p>
    <w:p>
      <w:pPr>
        <w:spacing w:after="150"/>
      </w:pPr>
      <w:r>
        <w:t xml:space="preserve">A cross-cutting layer, not a single feature, used across product moderation, customer support, and personalization. This is where First Market can meaningfully outperform larger, more generic marketplaces, because none of them combine artificial intelligence with a goal-based savings mechanic the way First Market's product does.</w:t>
      </w:r>
    </w:p>
    <w:p>
      <w:pPr>
        <w:spacing w:after="60" w:before="150"/>
      </w:pPr>
      <w:r>
        <w:rPr>
          <w:b/>
          <w:bCs/>
          <w:color w:val="1B2A4A"/>
        </w:rPr>
        <w:t xml:space="preserve">Key Features</w:t>
      </w:r>
    </w:p>
    <w:p>
      <w:pPr>
        <w:pStyle w:val="ListParagraph"/>
        <w:numPr>
          <w:ilvl w:val="0"/>
          <w:numId w:val="2"/>
        </w:numPr>
        <w:spacing w:after="60"/>
      </w:pPr>
      <w:r>
        <w:t xml:space="preserve">Listing Review Assistant — Phase 1: automatically checks vendor-submitted images for quality, blur, and whether the image matches the stated product; scans descriptions for completeness and prohibited or spammy content; checks category assignment; flags prices that fall far outside the normal range for similar approved products in the same category. This is the same approach used industry-wide for high-volume marketplace moderation, where automated checks handle routine cases and only exceptions reach a human reviewer.</w:t>
      </w:r>
    </w:p>
    <w:p>
      <w:pPr>
        <w:pStyle w:val="ListParagraph"/>
        <w:numPr>
          <w:ilvl w:val="0"/>
          <w:numId w:val="2"/>
        </w:numPr>
        <w:spacing w:after="60"/>
      </w:pPr>
      <w:r>
        <w:t xml:space="preserve">Customer Support Chatbot — Phase 2: answers Frequently Asked Questions and deflects simple queries before they reach a Support Agent or the hotline.</w:t>
      </w:r>
    </w:p>
    <w:p>
      <w:pPr>
        <w:pStyle w:val="ListParagraph"/>
        <w:numPr>
          <w:ilvl w:val="0"/>
          <w:numId w:val="2"/>
        </w:numPr>
        <w:spacing w:after="60"/>
      </w:pPr>
      <w:r>
        <w:t xml:space="preserve">Savings Assistant — Phase 2: suggests a realistic contribution amount based on a customer's actual payment history rather than a flat division of price by time.</w:t>
      </w:r>
    </w:p>
    <w:p>
      <w:pPr>
        <w:pStyle w:val="ListParagraph"/>
        <w:numPr>
          <w:ilvl w:val="0"/>
          <w:numId w:val="2"/>
        </w:numPr>
        <w:spacing w:after="60"/>
      </w:pPr>
      <w:r>
        <w:t xml:space="preserve">Product Recommendation Engine — Phase 2: suggests products based on wishlist activity and savings behavior.</w:t>
      </w:r>
    </w:p>
    <w:p>
      <w:pPr>
        <w:pStyle w:val="ListParagraph"/>
        <w:numPr>
          <w:ilvl w:val="0"/>
          <w:numId w:val="2"/>
        </w:numPr>
        <w:spacing w:after="60"/>
      </w:pPr>
      <w:r>
        <w:t xml:space="preserve">Fraud and Risk Scoring — Phase 2: supports the flags described in Section 8.9.</w:t>
      </w:r>
    </w:p>
    <w:p>
      <w:pPr>
        <w:pStyle w:val="ListParagraph"/>
        <w:numPr>
          <w:ilvl w:val="0"/>
          <w:numId w:val="2"/>
        </w:numPr>
        <w:spacing w:after="60"/>
      </w:pPr>
      <w:r>
        <w:t xml:space="preserve">Demand Forecasting — Phase 2: helps Administrator reporting anticipate which products are trending toward completion soonest.</w:t>
      </w:r>
    </w:p>
    <w:p>
      <w:pPr>
        <w:pStyle w:val="ListParagraph"/>
        <w:numPr>
          <w:ilvl w:val="0"/>
          <w:numId w:val="2"/>
        </w:numPr>
        <w:spacing w:after="60"/>
      </w:pPr>
      <w:r>
        <w:t xml:space="preserve">Full Artificial Intelligence Financial Assistant — Phase 3, detailed in Module 20.</w:t>
      </w:r>
    </w:p>
    <w:p>
      <w:pPr>
        <w:spacing w:after="60" w:before="150"/>
      </w:pPr>
      <w:r>
        <w:rPr>
          <w:b/>
          <w:bCs/>
          <w:color w:val="1B2A4A"/>
        </w:rPr>
        <w:t xml:space="preserve">Functional Requirements</w:t>
      </w:r>
    </w:p>
    <w:p>
      <w:pPr>
        <w:spacing w:after="150"/>
      </w:pPr>
      <w:r>
        <w:t xml:space="preserve">FR-19.1: The Listing Review Assistant shall attach a specific, human-readable flag reason to any listing it escalates, rather than a bare pass or fail score.</w:t>
      </w:r>
    </w:p>
    <w:p>
      <w:pPr>
        <w:spacing w:after="150"/>
      </w:pPr>
      <w:r>
        <w:t xml:space="preserve">FR-19.2: Every artificial-intelligence recommendation that affects money or account access (price flags, fraud flags) shall remain advisory only — a human Administrator makes the final decision, and the reasoning and outcome shall be logged for audit.</w:t>
      </w:r>
    </w:p>
    <w:p>
      <w:pPr>
        <w:spacing w:after="150"/>
      </w:pPr>
      <w:r>
        <w:t xml:space="preserve">FR-19.3: The price-outlier threshold shall be configurable by a Super Administrator without requiring a code change.</w:t>
      </w:r>
    </w:p>
    <w:p>
      <w:pPr>
        <w:spacing w:before="100"/>
      </w:pPr>
    </w:p>
    <w:p>
      <w:r>
        <w:br w:type="page"/>
      </w:r>
    </w:p>
    <w:p>
      <w:pPr>
        <w:pStyle w:val="Heading2"/>
      </w:pPr>
      <w:r>
        <w:t xml:space="preserve">20. Future Expansion — Phase 3 (Full Detail)</w:t>
      </w:r>
    </w:p>
    <w:p>
      <w:pPr>
        <w:spacing w:after="150"/>
      </w:pPr>
      <w:r>
        <w:t xml:space="preserve">Phase: Phase 3</w:t>
      </w:r>
    </w:p>
    <w:p>
      <w:pPr>
        <w:spacing w:after="150"/>
      </w:pPr>
      <w:r>
        <w:t xml:space="preserve">These are deferred features that extend First Market's model rather than complete it. Each is specified below at the same depth as the Phase 1 and Phase 2 modules, so it can be scoped and estimated when the time comes, rather than left as a one-line idea.</w:t>
      </w:r>
    </w:p>
    <w:p>
      <w:pPr>
        <w:spacing w:after="60" w:before="150"/>
      </w:pPr>
      <w:r>
        <w:rPr>
          <w:b/>
          <w:bCs/>
          <w:color w:val="1B2A4A"/>
        </w:rPr>
        <w:t xml:space="preserve">20.1 Agent Network</w:t>
      </w:r>
    </w:p>
    <w:p>
      <w:pPr>
        <w:spacing w:after="150"/>
      </w:pPr>
      <w:r>
        <w:t xml:space="preserve">Independent agents sign customers up and collect deposits on First Market's behalf in areas with low smartphone or banking penetration, similar to how mobile money agent networks operate across Nigeria.</w:t>
      </w:r>
    </w:p>
    <w:p>
      <w:pPr>
        <w:pStyle w:val="ListParagraph"/>
        <w:numPr>
          <w:ilvl w:val="0"/>
          <w:numId w:val="2"/>
        </w:numPr>
        <w:spacing w:after="60"/>
      </w:pPr>
      <w:r>
        <w:t xml:space="preserve">Agents register through a simplified onboarding flow and are assigned a unique agent code.</w:t>
      </w:r>
    </w:p>
    <w:p>
      <w:pPr>
        <w:pStyle w:val="ListParagraph"/>
        <w:numPr>
          <w:ilvl w:val="0"/>
          <w:numId w:val="2"/>
        </w:numPr>
        <w:spacing w:after="60"/>
      </w:pPr>
      <w:r>
        <w:t xml:space="preserve">Deposits collected in person by an agent are recorded against the agent's code and reconciled through Paystack the same way a direct customer deposit is.</w:t>
      </w:r>
    </w:p>
    <w:p>
      <w:pPr>
        <w:pStyle w:val="ListParagraph"/>
        <w:numPr>
          <w:ilvl w:val="0"/>
          <w:numId w:val="2"/>
        </w:numPr>
        <w:spacing w:after="60"/>
      </w:pPr>
      <w:r>
        <w:t xml:space="preserve">Agents earn a small commission per successful deposit, visible on an Agent Dashboard mirroring the Vendor Dashboard's earnings view.</w:t>
      </w:r>
    </w:p>
    <w:p>
      <w:pPr>
        <w:spacing w:after="60" w:before="150"/>
      </w:pPr>
      <w:r>
        <w:rPr>
          <w:b/>
          <w:bCs/>
          <w:color w:val="1B2A4A"/>
        </w:rPr>
        <w:t xml:space="preserve">20.2 Affiliate Program</w:t>
      </w:r>
    </w:p>
    <w:p>
      <w:pPr>
        <w:spacing w:after="150"/>
      </w:pPr>
      <w:r>
        <w:t xml:space="preserve">Distinct from the single-level Customer Referral Program in Module 17 — this is aimed at external content creators and partner websites driving new signups at scale.</w:t>
      </w:r>
    </w:p>
    <w:p>
      <w:pPr>
        <w:pStyle w:val="ListParagraph"/>
        <w:numPr>
          <w:ilvl w:val="0"/>
          <w:numId w:val="2"/>
        </w:numPr>
        <w:spacing w:after="60"/>
      </w:pPr>
      <w:r>
        <w:t xml:space="preserve">Affiliates receive a trackable link and a dashboard showing signups, conversions, and earned commission.</w:t>
      </w:r>
    </w:p>
    <w:p>
      <w:pPr>
        <w:pStyle w:val="ListParagraph"/>
        <w:numPr>
          <w:ilvl w:val="0"/>
          <w:numId w:val="2"/>
        </w:numPr>
        <w:spacing w:after="60"/>
      </w:pPr>
      <w:r>
        <w:t xml:space="preserve">Commission structure is tiered by volume and configurable by a Super Administrator.</w:t>
      </w:r>
    </w:p>
    <w:p>
      <w:pPr>
        <w:spacing w:after="60" w:before="150"/>
      </w:pPr>
      <w:r>
        <w:rPr>
          <w:b/>
          <w:bCs/>
          <w:color w:val="1B2A4A"/>
        </w:rPr>
        <w:t xml:space="preserve">20.3 Group Purchase, Family Savings, and Cooperative System</w:t>
      </w:r>
    </w:p>
    <w:p>
      <w:pPr>
        <w:spacing w:after="150"/>
      </w:pPr>
      <w:r>
        <w:t xml:space="preserve">Extends the Product Target Plan concept from an individual to a group.</w:t>
      </w:r>
    </w:p>
    <w:p>
      <w:pPr>
        <w:pStyle w:val="ListParagraph"/>
        <w:numPr>
          <w:ilvl w:val="0"/>
          <w:numId w:val="2"/>
        </w:numPr>
        <w:spacing w:after="60"/>
      </w:pPr>
      <w:r>
        <w:t xml:space="preserve">Group Purchase: multiple customers contribute toward one shared product target, splitting the delivered item or its value by agreed proportion.</w:t>
      </w:r>
    </w:p>
    <w:p>
      <w:pPr>
        <w:pStyle w:val="ListParagraph"/>
        <w:numPr>
          <w:ilvl w:val="0"/>
          <w:numId w:val="2"/>
        </w:numPr>
        <w:spacing w:after="60"/>
      </w:pPr>
      <w:r>
        <w:t xml:space="preserve">Family Savings: a household groups several individual Product Target Plans under one shared dashboard view, without pooling the underlying wallets.</w:t>
      </w:r>
    </w:p>
    <w:p>
      <w:pPr>
        <w:pStyle w:val="ListParagraph"/>
        <w:numPr>
          <w:ilvl w:val="0"/>
          <w:numId w:val="2"/>
        </w:numPr>
        <w:spacing w:after="60"/>
      </w:pPr>
      <w:r>
        <w:t xml:space="preserve">Cooperative System: a structured rotating-contribution model, similar to a traditional Nigerian cooperative savings group, built on top of the same Open Savings and ledger infrastructure.</w:t>
      </w:r>
    </w:p>
    <w:p>
      <w:pPr>
        <w:spacing w:after="60" w:before="150"/>
      </w:pPr>
      <w:r>
        <w:rPr>
          <w:b/>
          <w:bCs/>
          <w:color w:val="1B2A4A"/>
        </w:rPr>
        <w:t xml:space="preserve">20.4 Full Artificial Intelligence Financial Assistant</w:t>
      </w:r>
    </w:p>
    <w:p>
      <w:pPr>
        <w:spacing w:after="150"/>
      </w:pPr>
      <w:r>
        <w:t xml:space="preserve">An expansion of the Phase 2 Savings Assistant (Module 19) into a complete conversational assistant.</w:t>
      </w:r>
    </w:p>
    <w:p>
      <w:pPr>
        <w:pStyle w:val="ListParagraph"/>
        <w:numPr>
          <w:ilvl w:val="0"/>
          <w:numId w:val="2"/>
        </w:numPr>
        <w:spacing w:after="60"/>
      </w:pPr>
      <w:r>
        <w:t xml:space="preserve">Holds a running conversation with the customer about their savings goals, not just single suggestions.</w:t>
      </w:r>
    </w:p>
    <w:p>
      <w:pPr>
        <w:pStyle w:val="ListParagraph"/>
        <w:numPr>
          <w:ilvl w:val="0"/>
          <w:numId w:val="2"/>
        </w:numPr>
        <w:spacing w:after="60"/>
      </w:pPr>
      <w:r>
        <w:t xml:space="preserve">Can proactively recommend switching a stalled Product Target Plan to a more affordable product, using the same Plan Redirection mechanism from Module 6.</w:t>
      </w:r>
    </w:p>
    <w:p>
      <w:pPr>
        <w:pStyle w:val="ListParagraph"/>
        <w:numPr>
          <w:ilvl w:val="0"/>
          <w:numId w:val="2"/>
        </w:numPr>
        <w:spacing w:after="60"/>
      </w:pPr>
      <w:r>
        <w:t xml:space="preserve">Can explain a customer's own transaction history in plain language on request.</w:t>
      </w:r>
    </w:p>
    <w:p>
      <w:pPr>
        <w:spacing w:after="60" w:before="150"/>
      </w:pPr>
      <w:r>
        <w:rPr>
          <w:b/>
          <w:bCs/>
          <w:color w:val="1B2A4A"/>
        </w:rPr>
        <w:t xml:space="preserve">20.5 Native Mobile Application</w:t>
      </w:r>
    </w:p>
    <w:p>
      <w:pPr>
        <w:spacing w:after="150"/>
      </w:pPr>
      <w:r>
        <w:t xml:space="preserve">Android and Apple applications, built once the web platform's Laravel backend has proven stable, consuming the same Application Programming Interface used by the web application so no backend logic needs to be duplicated.</w:t>
      </w:r>
    </w:p>
    <w:p>
      <w:pPr>
        <w:pStyle w:val="ListParagraph"/>
        <w:numPr>
          <w:ilvl w:val="0"/>
          <w:numId w:val="2"/>
        </w:numPr>
        <w:spacing w:after="60"/>
      </w:pPr>
      <w:r>
        <w:t xml:space="preserve">Reuses the existing Laravel Application Programming Interface layer (see Section 10) rather than building a parallel backend.</w:t>
      </w:r>
    </w:p>
    <w:p>
      <w:pPr>
        <w:pStyle w:val="ListParagraph"/>
        <w:numPr>
          <w:ilvl w:val="0"/>
          <w:numId w:val="2"/>
        </w:numPr>
        <w:spacing w:after="60"/>
      </w:pPr>
      <w:r>
        <w:t xml:space="preserve">Adds native device push notifications, replacing the browser-push and email/text-message notification channels used in the web-only phase.</w:t>
      </w:r>
    </w:p>
    <w:p>
      <w:pPr>
        <w:spacing w:before="200"/>
      </w:pPr>
    </w:p>
    <w:p>
      <w:pPr>
        <w:spacing w:after="60" w:before="150"/>
      </w:pPr>
      <w:r>
        <w:rPr>
          <w:b/>
          <w:bCs/>
          <w:color w:val="1B2A4A"/>
        </w:rPr>
        <w:t xml:space="preserve">Phase 3 Functional Requirements</w:t>
      </w:r>
    </w:p>
    <w:p>
      <w:pPr>
        <w:spacing w:after="150"/>
      </w:pPr>
      <w:r>
        <w:t xml:space="preserve">FR-20.1: Each Phase 3 feature shall be scoped and estimated separately once Phase 1 and Phase 2 usage data justifies its priority order.</w:t>
      </w:r>
    </w:p>
    <w:p>
      <w:pPr>
        <w:spacing w:after="150"/>
      </w:pPr>
      <w:r>
        <w:t xml:space="preserve">FR-20.2: The Native Mobile Application shall not require changes to the core Laravel backend beyond exposing any endpoint not already used by the web application.</w:t>
      </w:r>
    </w:p>
    <w:p>
      <w:r>
        <w:br w:type="page"/>
      </w:r>
    </w:p>
    <w:p>
      <w:pPr>
        <w:pStyle w:val="Heading1"/>
      </w:pPr>
      <w:r>
        <w:t xml:space="preserve">6. Competitive Positioning</w:t>
      </w:r>
    </w:p>
    <w:p>
      <w:pPr>
        <w:spacing w:after="150"/>
      </w:pPr>
      <w:r>
        <w:t xml:space="preserve">A short look at three comparable systems and what First Market should take from, or deliberately do differently than, each.</w:t>
      </w:r>
    </w:p>
    <w:p>
      <w:pPr>
        <w:pStyle w:val="Heading2"/>
      </w:pPr>
      <w:r>
        <w:t xml:space="preserve">6.1 Jumia</w:t>
      </w:r>
    </w:p>
    <w:p>
      <w:pPr>
        <w:spacing w:after="150"/>
      </w:pPr>
      <w:r>
        <w:t xml:space="preserve">Jumia pairs a vendor marketplace with its own payment layer and a logistics network it controls end to end. First Market's structure already mirrors this shape — vendor listings, a first-party wallet, and First Market-controlled delivery rather than vendor-handled shipping.</w:t>
      </w:r>
    </w:p>
    <w:p>
      <w:pPr>
        <w:pStyle w:val="Heading2"/>
      </w:pPr>
      <w:r>
        <w:t xml:space="preserve">6.2 AliExpress</w:t>
      </w:r>
    </w:p>
    <w:p>
      <w:pPr>
        <w:spacing w:after="150"/>
      </w:pPr>
      <w:r>
        <w:t xml:space="preserve">AliExpress holds a buyer's payment until the buyer confirms receipt, as a dispute-resolution safety net. First Market's “pay before release” principle is a stronger version of the same idea, applied from the start rather than as a fallback only invoked when something goes wrong.</w:t>
      </w:r>
    </w:p>
    <w:p>
      <w:pPr>
        <w:pStyle w:val="Heading2"/>
      </w:pPr>
      <w:r>
        <w:t xml:space="preserve">6.3 CDK Global</w:t>
      </w:r>
    </w:p>
    <w:p>
      <w:pPr>
        <w:spacing w:after="150"/>
      </w:pPr>
      <w:r>
        <w:t xml:space="preserve">Not an e-commerce platform, but the transferable lesson is architectural: supplementing a core system with many disconnected bolt-on tools drives up cost and breaks workflows, since staff constantly switch between disconnected systems. First Market should stay one unified platform — catalog, payments, delivery, and support all in the same system — rather than stitched together from separate vendors. CDK's other strength worth copying is baking fraud detection and audit trails into every transaction by default, not as an add-on.</w:t>
      </w:r>
    </w:p>
    <w:p>
      <w:pPr>
        <w:pStyle w:val="Heading2"/>
      </w:pPr>
      <w:r>
        <w:t xml:space="preserve">6.4 Where First Market Stands Out</w:t>
      </w:r>
    </w:p>
    <w:p>
      <w:pPr>
        <w:pStyle w:val="ListParagraph"/>
        <w:numPr>
          <w:ilvl w:val="0"/>
          <w:numId w:val="2"/>
        </w:numPr>
        <w:spacing w:after="60"/>
      </w:pPr>
      <w:r>
        <w:t xml:space="preserve">Neither Jumia nor AliExpress offers a goal-based savings mechanic — saving toward a product and receiving it only once it is paid off is closer to a layaway or cooperative-savings culture, and is specifically resonant in Nigeria.</w:t>
      </w:r>
    </w:p>
    <w:p>
      <w:pPr>
        <w:pStyle w:val="ListParagraph"/>
        <w:numPr>
          <w:ilvl w:val="0"/>
          <w:numId w:val="2"/>
        </w:numPr>
        <w:spacing w:after="60"/>
      </w:pPr>
      <w:r>
        <w:t xml:space="preserve">Vendor pricing freedom, balanced by artificial-intelligence-assisted moderation rather than heavy manual price gatekeeping, lets the catalog grow quickly without First Market becoming a bottleneck.</w:t>
      </w:r>
    </w:p>
    <w:p>
      <w:pPr>
        <w:pStyle w:val="ListParagraph"/>
        <w:numPr>
          <w:ilvl w:val="0"/>
          <w:numId w:val="2"/>
        </w:numPr>
        <w:spacing w:after="60"/>
      </w:pPr>
      <w:r>
        <w:t xml:space="preserve">Free customer support, including a hotline with human call center agents, is a trust signal most low-cost marketplaces skip.</w:t>
      </w:r>
    </w:p>
    <w:p>
      <w:r>
        <w:br w:type="page"/>
      </w:r>
    </w:p>
    <w:p>
      <w:pPr>
        <w:pStyle w:val="Heading1"/>
      </w:pPr>
      <w:r>
        <w:t xml:space="preserve">7.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shd w:fill="1B2A4A" w:val="clear"/>
            <w:tcMar>
              <w:top w:type="dxa" w:w="80"/>
              <w:left w:type="dxa" w:w="100"/>
              <w:bottom w:type="dxa" w:w="80"/>
              <w:right w:type="dxa" w:w="100"/>
            </w:tcMar>
          </w:tcPr>
          <w:p>
            <w:r>
              <w:rPr>
                <w:b/>
                <w:bCs/>
                <w:color w:val="FFFFFF"/>
              </w:rPr>
              <w:t xml:space="preserve">Phase</w:t>
            </w:r>
          </w:p>
        </w:tc>
        <w:tc>
          <w:tcPr>
            <w:tcW w:type="dxa" w:w="3400"/>
            <w:shd w:fill="1B2A4A" w:val="clear"/>
            <w:tcMar>
              <w:top w:type="dxa" w:w="80"/>
              <w:left w:type="dxa" w:w="100"/>
              <w:bottom w:type="dxa" w:w="80"/>
              <w:right w:type="dxa" w:w="100"/>
            </w:tcMar>
          </w:tcPr>
          <w:p>
            <w:r>
              <w:rPr>
                <w:b/>
                <w:bCs/>
                <w:color w:val="FFFFFF"/>
              </w:rPr>
              <w:t xml:space="preserve">Focus</w:t>
            </w:r>
          </w:p>
        </w:tc>
        <w:tc>
          <w:tcPr>
            <w:tcW w:type="dxa" w:w="3760"/>
            <w:shd w:fill="1B2A4A" w:val="clear"/>
            <w:tcMar>
              <w:top w:type="dxa" w:w="80"/>
              <w:left w:type="dxa" w:w="100"/>
              <w:bottom w:type="dxa" w:w="80"/>
              <w:right w:type="dxa" w:w="100"/>
            </w:tcMar>
          </w:tcPr>
          <w:p>
            <w:r>
              <w:rPr>
                <w:b/>
                <w:bCs/>
                <w:color w:val="FFFFFF"/>
              </w:rPr>
              <w:t xml:space="preserve">Modules Included</w:t>
            </w:r>
          </w:p>
        </w:tc>
      </w:tr>
      <w:tr>
        <w:tc>
          <w:tcPr>
            <w:tcW w:type="dxa" w:w="2200"/>
            <w:tcMar>
              <w:top w:type="dxa" w:w="80"/>
              <w:left w:type="dxa" w:w="100"/>
              <w:bottom w:type="dxa" w:w="80"/>
              <w:right w:type="dxa" w:w="100"/>
            </w:tcMar>
          </w:tcPr>
          <w:p>
            <w:r>
              <w:rPr>
                <w:b w:val="false"/>
                <w:bCs w:val="false"/>
              </w:rPr>
              <w:t xml:space="preserve">Phase 0</w:t>
            </w:r>
          </w:p>
        </w:tc>
        <w:tc>
          <w:tcPr>
            <w:tcW w:type="dxa" w:w="3400"/>
            <w:tcMar>
              <w:top w:type="dxa" w:w="80"/>
              <w:left w:type="dxa" w:w="100"/>
              <w:bottom w:type="dxa" w:w="80"/>
              <w:right w:type="dxa" w:w="100"/>
            </w:tcMar>
          </w:tcPr>
          <w:p>
            <w:r>
              <w:rPr>
                <w:b w:val="false"/>
                <w:bCs w:val="false"/>
              </w:rPr>
              <w:t xml:space="preserve">Public website, live before any transactional software</w:t>
            </w:r>
          </w:p>
        </w:tc>
        <w:tc>
          <w:tcPr>
            <w:tcW w:type="dxa" w:w="3760"/>
            <w:tcMar>
              <w:top w:type="dxa" w:w="80"/>
              <w:left w:type="dxa" w:w="100"/>
              <w:bottom w:type="dxa" w:w="80"/>
              <w:right w:type="dxa" w:w="100"/>
            </w:tcMar>
          </w:tcPr>
          <w:p>
            <w:r>
              <w:rPr>
                <w:b w:val="false"/>
                <w:bCs w:val="false"/>
              </w:rPr>
              <w:t xml:space="preserve">Module 0</w:t>
            </w:r>
          </w:p>
        </w:tc>
      </w:tr>
      <w:tr>
        <w:tc>
          <w:tcPr>
            <w:tcW w:type="dxa" w:w="2200"/>
            <w:shd w:fill="F2F2F2" w:val="clear"/>
            <w:tcMar>
              <w:top w:type="dxa" w:w="80"/>
              <w:left w:type="dxa" w:w="100"/>
              <w:bottom w:type="dxa" w:w="80"/>
              <w:right w:type="dxa" w:w="100"/>
            </w:tcMar>
          </w:tcPr>
          <w:p>
            <w:r>
              <w:rPr>
                <w:b w:val="false"/>
                <w:bCs w:val="false"/>
              </w:rPr>
              <w:t xml:space="preserve">Phase 1 — MVP</w:t>
            </w:r>
          </w:p>
        </w:tc>
        <w:tc>
          <w:tcPr>
            <w:tcW w:type="dxa" w:w="3400"/>
            <w:shd w:fill="F2F2F2" w:val="clear"/>
            <w:tcMar>
              <w:top w:type="dxa" w:w="80"/>
              <w:left w:type="dxa" w:w="100"/>
              <w:bottom w:type="dxa" w:w="80"/>
              <w:right w:type="dxa" w:w="100"/>
            </w:tcMar>
          </w:tcPr>
          <w:p>
            <w:r>
              <w:rPr>
                <w:b w:val="false"/>
                <w:bCs w:val="false"/>
              </w:rPr>
              <w:t xml:space="preserve">Full web-based marketplace, vendor pricing freedom, artificial-intelligence-assisted moderation</w:t>
            </w:r>
          </w:p>
        </w:tc>
        <w:tc>
          <w:tcPr>
            <w:tcW w:type="dxa" w:w="3760"/>
            <w:shd w:fill="F2F2F2" w:val="clear"/>
            <w:tcMar>
              <w:top w:type="dxa" w:w="80"/>
              <w:left w:type="dxa" w:w="100"/>
              <w:bottom w:type="dxa" w:w="80"/>
              <w:right w:type="dxa" w:w="100"/>
            </w:tcMar>
          </w:tcPr>
          <w:p>
            <w:r>
              <w:rPr>
                <w:b w:val="false"/>
                <w:bCs w:val="false"/>
              </w:rPr>
              <w:t xml:space="preserve">Modules 1–15, 18, 19 (baseline)</w:t>
            </w:r>
          </w:p>
        </w:tc>
      </w:tr>
      <w:tr>
        <w:tc>
          <w:tcPr>
            <w:tcW w:type="dxa" w:w="2200"/>
            <w:tcMar>
              <w:top w:type="dxa" w:w="80"/>
              <w:left w:type="dxa" w:w="100"/>
              <w:bottom w:type="dxa" w:w="80"/>
              <w:right w:type="dxa" w:w="100"/>
            </w:tcMar>
          </w:tcPr>
          <w:p>
            <w:r>
              <w:rPr>
                <w:b w:val="false"/>
                <w:bCs w:val="false"/>
              </w:rPr>
              <w:t xml:space="preserve">Phase 2 — Growth</w:t>
            </w:r>
          </w:p>
        </w:tc>
        <w:tc>
          <w:tcPr>
            <w:tcW w:type="dxa" w:w="3400"/>
            <w:tcMar>
              <w:top w:type="dxa" w:w="80"/>
              <w:left w:type="dxa" w:w="100"/>
              <w:bottom w:type="dxa" w:w="80"/>
              <w:right w:type="dxa" w:w="100"/>
            </w:tcMar>
          </w:tcPr>
          <w:p>
            <w:r>
              <w:rPr>
                <w:b w:val="false"/>
                <w:bCs w:val="false"/>
              </w:rPr>
              <w:t xml:space="preserve">Retention, convenience, deeper artificial intelligence</w:t>
            </w:r>
          </w:p>
        </w:tc>
        <w:tc>
          <w:tcPr>
            <w:tcW w:type="dxa" w:w="3760"/>
            <w:tcMar>
              <w:top w:type="dxa" w:w="80"/>
              <w:left w:type="dxa" w:w="100"/>
              <w:bottom w:type="dxa" w:w="80"/>
              <w:right w:type="dxa" w:w="100"/>
            </w:tcMar>
          </w:tcPr>
          <w:p>
            <w:r>
              <w:rPr>
                <w:b w:val="false"/>
                <w:bCs w:val="false"/>
              </w:rPr>
              <w:t xml:space="preserve">Modules 10 (full), 14 (rating tiers), 16, 17, 18 (advanced), 19 (full)</w:t>
            </w:r>
          </w:p>
        </w:tc>
      </w:tr>
      <w:tr>
        <w:tc>
          <w:tcPr>
            <w:tcW w:type="dxa" w:w="2200"/>
            <w:shd w:fill="F2F2F2" w:val="clear"/>
            <w:tcMar>
              <w:top w:type="dxa" w:w="80"/>
              <w:left w:type="dxa" w:w="100"/>
              <w:bottom w:type="dxa" w:w="80"/>
              <w:right w:type="dxa" w:w="100"/>
            </w:tcMar>
          </w:tcPr>
          <w:p>
            <w:r>
              <w:rPr>
                <w:b w:val="false"/>
                <w:bCs w:val="false"/>
              </w:rPr>
              <w:t xml:space="preserve">Phase 3 — Scale</w:t>
            </w:r>
          </w:p>
        </w:tc>
        <w:tc>
          <w:tcPr>
            <w:tcW w:type="dxa" w:w="3400"/>
            <w:shd w:fill="F2F2F2" w:val="clear"/>
            <w:tcMar>
              <w:top w:type="dxa" w:w="80"/>
              <w:left w:type="dxa" w:w="100"/>
              <w:bottom w:type="dxa" w:w="80"/>
              <w:right w:type="dxa" w:w="100"/>
            </w:tcMar>
          </w:tcPr>
          <w:p>
            <w:r>
              <w:rPr>
                <w:b w:val="false"/>
                <w:bCs w:val="false"/>
              </w:rPr>
              <w:t xml:space="preserve">New business models, new channels</w:t>
            </w:r>
          </w:p>
        </w:tc>
        <w:tc>
          <w:tcPr>
            <w:tcW w:type="dxa" w:w="3760"/>
            <w:shd w:fill="F2F2F2" w:val="clear"/>
            <w:tcMar>
              <w:top w:type="dxa" w:w="80"/>
              <w:left w:type="dxa" w:w="100"/>
              <w:bottom w:type="dxa" w:w="80"/>
              <w:right w:type="dxa" w:w="100"/>
            </w:tcMar>
          </w:tcPr>
          <w:p>
            <w:r>
              <w:rPr>
                <w:b w:val="false"/>
                <w:bCs w:val="false"/>
              </w:rPr>
              <w:t xml:space="preserve">Module 20: agent network, affiliate program, group and cooperative savings, full artificial intelligence assistant, native mobile application</w:t>
            </w:r>
          </w:p>
        </w:tc>
      </w:tr>
    </w:tbl>
    <w:p>
      <w:pPr>
        <w:spacing w:before="200"/>
      </w:pPr>
    </w:p>
    <w:p>
      <w:pPr>
        <w:spacing w:after="60" w:before="150"/>
      </w:pPr>
      <w:r>
        <w:rPr>
          <w:b/>
          <w:bCs/>
          <w:color w:val="1B2A4A"/>
        </w:rPr>
        <w:t xml:space="preserve">Suggested sequencing within Phase 1</w:t>
      </w:r>
    </w:p>
    <w:p>
      <w:pPr>
        <w:pStyle w:val="ListParagraph"/>
        <w:numPr>
          <w:ilvl w:val="0"/>
          <w:numId w:val="2"/>
        </w:numPr>
        <w:spacing w:after="60"/>
      </w:pPr>
      <w:r>
        <w:t xml:space="preserve">Sprint 1: Public website (Phase 0), launched independently while Phase 1 development begins.</w:t>
      </w:r>
    </w:p>
    <w:p>
      <w:pPr>
        <w:pStyle w:val="ListParagraph"/>
        <w:numPr>
          <w:ilvl w:val="0"/>
          <w:numId w:val="2"/>
        </w:numPr>
        <w:spacing w:after="60"/>
      </w:pPr>
      <w:r>
        <w:t xml:space="preserve">Sprint 2–3: Authentication and Identity, Administrator dashboard skeleton and roles, Product Catalog, database foundations.</w:t>
      </w:r>
    </w:p>
    <w:p>
      <w:pPr>
        <w:pStyle w:val="ListParagraph"/>
        <w:numPr>
          <w:ilvl w:val="0"/>
          <w:numId w:val="2"/>
        </w:numPr>
        <w:spacing w:after="60"/>
      </w:pPr>
      <w:r>
        <w:t xml:space="preserve">Sprint 4–5: Savings Engine (both types), Wallet and Payments through Paystack, Product Tracker.</w:t>
      </w:r>
    </w:p>
    <w:p>
      <w:pPr>
        <w:pStyle w:val="ListParagraph"/>
        <w:numPr>
          <w:ilvl w:val="0"/>
          <w:numId w:val="2"/>
        </w:numPr>
        <w:spacing w:after="60"/>
      </w:pPr>
      <w:r>
        <w:t xml:space="preserve">Sprint 6–7: Vendor Registration, Product Posting with the artificial-intelligence Listing Review Assistant, Vendor Fee Engine.</w:t>
      </w:r>
    </w:p>
    <w:p>
      <w:pPr>
        <w:pStyle w:val="ListParagraph"/>
        <w:numPr>
          <w:ilvl w:val="0"/>
          <w:numId w:val="2"/>
        </w:numPr>
        <w:spacing w:after="60"/>
      </w:pPr>
      <w:r>
        <w:t xml:space="preserve">Sprint 8–9: Order and Delivery, Notifications, Transaction History, baseline Support and hotline.</w:t>
      </w:r>
    </w:p>
    <w:p>
      <w:pPr>
        <w:pStyle w:val="ListParagraph"/>
        <w:numPr>
          <w:ilvl w:val="0"/>
          <w:numId w:val="2"/>
        </w:numPr>
        <w:spacing w:after="60"/>
      </w:pPr>
      <w:r>
        <w:t xml:space="preserve">Sprint 10: Security hardening, end-to-end testing, pilot launch with a small vendor cohort.</w:t>
      </w:r>
    </w:p>
    <w:p>
      <w:r>
        <w:br w:type="page"/>
      </w:r>
    </w:p>
    <w:p>
      <w:pPr>
        <w:pStyle w:val="Heading1"/>
      </w:pPr>
      <w:r>
        <w:t xml:space="preserve">8. Core Algorithms and Business Logic</w:t>
      </w:r>
    </w:p>
    <w:p>
      <w:pPr>
        <w:pStyle w:val="Heading2"/>
      </w:pPr>
      <w:r>
        <w:t xml:space="preserve">8.1 Open Savings</w:t>
      </w:r>
    </w:p>
    <w:p>
      <w:pPr>
        <w:pStyle w:val="ListParagraph"/>
        <w:numPr>
          <w:ilvl w:val="0"/>
          <w:numId w:val="2"/>
        </w:numPr>
        <w:spacing w:after="60"/>
      </w:pPr>
      <w:r>
        <w:t xml:space="preserve">A customer deposits any amount at any time into a single Open Savings balance; there is no target price and no schedule.</w:t>
      </w:r>
    </w:p>
    <w:p>
      <w:pPr>
        <w:pStyle w:val="ListParagraph"/>
        <w:numPr>
          <w:ilvl w:val="0"/>
          <w:numId w:val="2"/>
        </w:numPr>
        <w:spacing w:after="60"/>
      </w:pPr>
      <w:r>
        <w:t xml:space="preserve">The balance simply accumulates until the customer redirects some or all of it into a Product Target Plan.</w:t>
      </w:r>
    </w:p>
    <w:p>
      <w:pPr>
        <w:pStyle w:val="ListParagraph"/>
        <w:numPr>
          <w:ilvl w:val="0"/>
          <w:numId w:val="2"/>
        </w:numPr>
        <w:spacing w:after="60"/>
      </w:pPr>
      <w:r>
        <w:t xml:space="preserve">No withdrawal is possible from Open Savings, consistent with the platform-wide no-cash-withdrawal policy — the only exit path is redirection into a plan.</w:t>
      </w:r>
    </w:p>
    <w:p>
      <w:pPr>
        <w:pStyle w:val="Heading2"/>
      </w:pPr>
      <w:r>
        <w:t xml:space="preserve">8.2 Product Target Plan Calculation</w:t>
      </w:r>
    </w:p>
    <w:p>
      <w:pPr>
        <w:spacing w:after="150"/>
      </w:pPr>
      <w:r>
        <w:t xml:space="preserve">Given a target price, sourced from the vendor's current listed price and locked at plan creation, and a payment mode:</w:t>
      </w:r>
    </w:p>
    <w:p>
      <w:pPr>
        <w:pStyle w:val="ListParagraph"/>
        <w:numPr>
          <w:ilvl w:val="0"/>
          <w:numId w:val="2"/>
        </w:numPr>
        <w:spacing w:after="60"/>
      </w:pPr>
      <w:r>
        <w:t xml:space="preserve">Schedule mode, daily: suggested daily amount equals target price divided by the number of days the customer selects at plan creation.</w:t>
      </w:r>
    </w:p>
    <w:p>
      <w:pPr>
        <w:pStyle w:val="ListParagraph"/>
        <w:numPr>
          <w:ilvl w:val="0"/>
          <w:numId w:val="2"/>
        </w:numPr>
        <w:spacing w:after="60"/>
      </w:pPr>
      <w:r>
        <w:t xml:space="preserve">Schedule mode, weekly: suggested weekly amount equals target price divided by the number of weeks selected.</w:t>
      </w:r>
    </w:p>
    <w:p>
      <w:pPr>
        <w:pStyle w:val="ListParagraph"/>
        <w:numPr>
          <w:ilvl w:val="0"/>
          <w:numId w:val="2"/>
        </w:numPr>
        <w:spacing w:after="60"/>
      </w:pPr>
      <w:r>
        <w:t xml:space="preserve">Schedule mode, monthly: suggested monthly amount equals target price divided by the number of months selected.</w:t>
      </w:r>
    </w:p>
    <w:p>
      <w:pPr>
        <w:pStyle w:val="ListParagraph"/>
        <w:numPr>
          <w:ilvl w:val="0"/>
          <w:numId w:val="2"/>
        </w:numPr>
        <w:spacing w:after="60"/>
      </w:pPr>
      <w:r>
        <w:t xml:space="preserve">Pay At Once mode: the full target price is expected in a single deposit; no schedule is generated.</w:t>
      </w:r>
    </w:p>
    <w:p>
      <w:pPr>
        <w:pStyle w:val="ListParagraph"/>
        <w:numPr>
          <w:ilvl w:val="0"/>
          <w:numId w:val="2"/>
        </w:numPr>
        <w:spacing w:after="60"/>
      </w:pPr>
      <w:r>
        <w:t xml:space="preserve">On each contribution: amount saved increases by the contribution; remaining balance equals target price minus amount saved; progress percentage equals amount saved divided by target price.</w:t>
      </w:r>
    </w:p>
    <w:p>
      <w:pPr>
        <w:pStyle w:val="ListParagraph"/>
        <w:numPr>
          <w:ilvl w:val="0"/>
          <w:numId w:val="2"/>
        </w:numPr>
        <w:spacing w:after="60"/>
      </w:pPr>
      <w:r>
        <w:t xml:space="preserve">Expected completion date is recalculated after every contribution using the customer's actual average contribution rate over the last three cycles, not just the original schedule, so the estimate stays honest when a customer over- or under-pays a cycle.</w:t>
      </w:r>
    </w:p>
    <w:p>
      <w:pPr>
        <w:pStyle w:val="Heading2"/>
      </w:pPr>
      <w:r>
        <w:t xml:space="preserve">8.3 Plan Redirection (Balance Transfer)</w:t>
      </w:r>
    </w:p>
    <w:p>
      <w:pPr>
        <w:spacing w:after="150"/>
      </w:pPr>
      <w:r>
        <w:t xml:space="preserve">The single mechanism that moves money between Open Savings, one Product Target Plan, and another — there is no separate transfer or refund pathway, which keeps the no-refund policy structurally enforced rather than only stated in copy.</w:t>
      </w:r>
    </w:p>
    <w:p>
      <w:pPr>
        <w:pStyle w:val="ListParagraph"/>
        <w:numPr>
          <w:ilvl w:val="0"/>
          <w:numId w:val="2"/>
        </w:numPr>
        <w:spacing w:after="60"/>
      </w:pPr>
      <w:r>
        <w:t xml:space="preserve">Capture the current balance from the source (Open Savings or an existing plan).</w:t>
      </w:r>
    </w:p>
    <w:p>
      <w:pPr>
        <w:pStyle w:val="ListParagraph"/>
        <w:numPr>
          <w:ilvl w:val="0"/>
          <w:numId w:val="2"/>
        </w:numPr>
        <w:spacing w:after="60"/>
      </w:pPr>
      <w:r>
        <w:t xml:space="preserve">Point the plan at the new product and its current vendor-set price as the new target.</w:t>
      </w:r>
    </w:p>
    <w:p>
      <w:pPr>
        <w:pStyle w:val="ListParagraph"/>
        <w:numPr>
          <w:ilvl w:val="0"/>
          <w:numId w:val="2"/>
        </w:numPr>
        <w:spacing w:after="60"/>
      </w:pPr>
      <w:r>
        <w:t xml:space="preserve">Set the new remaining balance to the greater of zero or the new target minus the carried balance; if the carried balance already meets or exceeds the new target, the plan moves immediately to Ready for Delivery.</w:t>
      </w:r>
    </w:p>
    <w:p>
      <w:pPr>
        <w:pStyle w:val="ListParagraph"/>
        <w:numPr>
          <w:ilvl w:val="0"/>
          <w:numId w:val="2"/>
        </w:numPr>
        <w:spacing w:after="60"/>
      </w:pPr>
      <w:r>
        <w:t xml:space="preserve">Recompute progress percentage and expected completion date against the new target using the same cycle-rate logic as Section 8.2.</w:t>
      </w:r>
    </w:p>
    <w:p>
      <w:pPr>
        <w:pStyle w:val="ListParagraph"/>
        <w:numPr>
          <w:ilvl w:val="0"/>
          <w:numId w:val="2"/>
        </w:numPr>
        <w:spacing w:after="60"/>
      </w:pPr>
      <w:r>
        <w:t xml:space="preserve">Write an audit record: source, destination product, balance at time of redirection, timestamp, and customer identifier.</w:t>
      </w:r>
    </w:p>
    <w:p>
      <w:pPr>
        <w:pStyle w:val="Heading2"/>
      </w:pPr>
      <w:r>
        <w:t xml:space="preserve">8.4 Scheduled Automatic Debit (Phase 2)</w:t>
      </w:r>
    </w:p>
    <w:p>
      <w:pPr>
        <w:pStyle w:val="ListParagraph"/>
        <w:numPr>
          <w:ilvl w:val="0"/>
          <w:numId w:val="2"/>
        </w:numPr>
        <w:spacing w:after="60"/>
      </w:pPr>
      <w:r>
        <w:t xml:space="preserve">On activation, store the plan identifier, cadence, next run date, and the reusable Paystack payment authorization token.</w:t>
      </w:r>
    </w:p>
    <w:p>
      <w:pPr>
        <w:pStyle w:val="ListParagraph"/>
        <w:numPr>
          <w:ilvl w:val="0"/>
          <w:numId w:val="2"/>
        </w:numPr>
        <w:spacing w:after="60"/>
      </w:pPr>
      <w:r>
        <w:t xml:space="preserve">A scheduler job runs daily, selects every automatic-debit record due that day, and attempts a charge through Paystack for the suggested contribution amount from Section 8.2.</w:t>
      </w:r>
    </w:p>
    <w:p>
      <w:pPr>
        <w:pStyle w:val="ListParagraph"/>
        <w:numPr>
          <w:ilvl w:val="0"/>
          <w:numId w:val="2"/>
        </w:numPr>
        <w:spacing w:after="60"/>
      </w:pPr>
      <w:r>
        <w:t xml:space="preserve">On success: advance the next run date by the cadence interval and apply the contribution.</w:t>
      </w:r>
    </w:p>
    <w:p>
      <w:pPr>
        <w:pStyle w:val="ListParagraph"/>
        <w:numPr>
          <w:ilvl w:val="0"/>
          <w:numId w:val="2"/>
        </w:numPr>
        <w:spacing w:after="60"/>
      </w:pPr>
      <w:r>
        <w:t xml:space="preserve">On failure, such as insufficient funds or a declined card: retry once after twenty-four hours, then notify the customer and pause automatic debit — not the plan itself — until the customer re-authorizes.</w:t>
      </w:r>
    </w:p>
    <w:p>
      <w:pPr>
        <w:pStyle w:val="Heading2"/>
      </w:pPr>
      <w:r>
        <w:t xml:space="preserve">8.5 Badge and Reward Tier Calculation (Phase 2)</w:t>
      </w:r>
    </w:p>
    <w:p>
      <w:pPr>
        <w:pStyle w:val="ListParagraph"/>
        <w:numPr>
          <w:ilvl w:val="0"/>
          <w:numId w:val="2"/>
        </w:numPr>
        <w:spacing w:after="60"/>
      </w:pPr>
      <w:r>
        <w:t xml:space="preserve">Tiers are computed from cumulative lifetime completed savings across all Completed plans, not the current balance.</w:t>
      </w:r>
    </w:p>
    <w:p>
      <w:pPr>
        <w:pStyle w:val="ListParagraph"/>
        <w:numPr>
          <w:ilvl w:val="0"/>
          <w:numId w:val="2"/>
        </w:numPr>
        <w:spacing w:after="60"/>
      </w:pPr>
      <w:r>
        <w:t xml:space="preserve">Bronze, Silver, Gold, and Platinum Saver thresholds are stored in a settings table, configurable by a Super Administrator without a code change.</w:t>
      </w:r>
    </w:p>
    <w:p>
      <w:pPr>
        <w:pStyle w:val="ListParagraph"/>
        <w:numPr>
          <w:ilvl w:val="0"/>
          <w:numId w:val="2"/>
        </w:numPr>
        <w:spacing w:after="60"/>
      </w:pPr>
      <w:r>
        <w:t xml:space="preserve">Tier is recalculated whenever a plan transitions to Completed, not on every contribution, to keep the calculation inexpensive.</w:t>
      </w:r>
    </w:p>
    <w:p>
      <w:pPr>
        <w:pStyle w:val="Heading2"/>
      </w:pPr>
      <w:r>
        <w:t xml:space="preserve">8.6 Order Status — State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shd w:fill="1B2A4A" w:val="clear"/>
            <w:tcMar>
              <w:top w:type="dxa" w:w="80"/>
              <w:left w:type="dxa" w:w="100"/>
              <w:bottom w:type="dxa" w:w="80"/>
              <w:right w:type="dxa" w:w="100"/>
            </w:tcMar>
          </w:tcPr>
          <w:p>
            <w:r>
              <w:rPr>
                <w:b/>
                <w:bCs/>
                <w:color w:val="FFFFFF"/>
              </w:rPr>
              <w:t xml:space="preserve">State</w:t>
            </w:r>
          </w:p>
        </w:tc>
        <w:tc>
          <w:tcPr>
            <w:tcW w:type="dxa" w:w="3860"/>
            <w:shd w:fill="1B2A4A" w:val="clear"/>
            <w:tcMar>
              <w:top w:type="dxa" w:w="80"/>
              <w:left w:type="dxa" w:w="100"/>
              <w:bottom w:type="dxa" w:w="80"/>
              <w:right w:type="dxa" w:w="100"/>
            </w:tcMar>
          </w:tcPr>
          <w:p>
            <w:r>
              <w:rPr>
                <w:b/>
                <w:bCs/>
                <w:color w:val="FFFFFF"/>
              </w:rPr>
              <w:t xml:space="preserve">Trigger</w:t>
            </w:r>
          </w:p>
        </w:tc>
        <w:tc>
          <w:tcPr>
            <w:tcW w:type="dxa" w:w="3000"/>
            <w:shd w:fill="1B2A4A" w:val="clear"/>
            <w:tcMar>
              <w:top w:type="dxa" w:w="80"/>
              <w:left w:type="dxa" w:w="100"/>
              <w:bottom w:type="dxa" w:w="80"/>
              <w:right w:type="dxa" w:w="100"/>
            </w:tcMar>
          </w:tcPr>
          <w:p>
            <w:r>
              <w:rPr>
                <w:b/>
                <w:bCs/>
                <w:color w:val="FFFFFF"/>
              </w:rPr>
              <w:t xml:space="preserve">Next State</w:t>
            </w:r>
          </w:p>
        </w:tc>
      </w:tr>
      <w:tr>
        <w:tc>
          <w:tcPr>
            <w:tcW w:type="dxa" w:w="2500"/>
            <w:tcMar>
              <w:top w:type="dxa" w:w="80"/>
              <w:left w:type="dxa" w:w="100"/>
              <w:bottom w:type="dxa" w:w="80"/>
              <w:right w:type="dxa" w:w="100"/>
            </w:tcMar>
          </w:tcPr>
          <w:p>
            <w:r>
              <w:rPr>
                <w:b w:val="false"/>
                <w:bCs w:val="false"/>
              </w:rPr>
              <w:t xml:space="preserve">Active plan</w:t>
            </w:r>
          </w:p>
        </w:tc>
        <w:tc>
          <w:tcPr>
            <w:tcW w:type="dxa" w:w="3860"/>
            <w:tcMar>
              <w:top w:type="dxa" w:w="80"/>
              <w:left w:type="dxa" w:w="100"/>
              <w:bottom w:type="dxa" w:w="80"/>
              <w:right w:type="dxa" w:w="100"/>
            </w:tcMar>
          </w:tcPr>
          <w:p>
            <w:r>
              <w:rPr>
                <w:b w:val="false"/>
                <w:bCs w:val="false"/>
              </w:rPr>
              <w:t xml:space="preserve">Amount saved reaches one hundred percent of target</w:t>
            </w:r>
          </w:p>
        </w:tc>
        <w:tc>
          <w:tcPr>
            <w:tcW w:type="dxa" w:w="3000"/>
            <w:tcMar>
              <w:top w:type="dxa" w:w="80"/>
              <w:left w:type="dxa" w:w="100"/>
              <w:bottom w:type="dxa" w:w="80"/>
              <w:right w:type="dxa" w:w="100"/>
            </w:tcMar>
          </w:tcPr>
          <w:p>
            <w:r>
              <w:rPr>
                <w:b w:val="false"/>
                <w:bCs w:val="false"/>
              </w:rPr>
              <w:t xml:space="preserve">Ready for Delivery</w:t>
            </w:r>
          </w:p>
        </w:tc>
      </w:tr>
      <w:tr>
        <w:tc>
          <w:tcPr>
            <w:tcW w:type="dxa" w:w="2500"/>
            <w:shd w:fill="F2F2F2" w:val="clear"/>
            <w:tcMar>
              <w:top w:type="dxa" w:w="80"/>
              <w:left w:type="dxa" w:w="100"/>
              <w:bottom w:type="dxa" w:w="80"/>
              <w:right w:type="dxa" w:w="100"/>
            </w:tcMar>
          </w:tcPr>
          <w:p>
            <w:r>
              <w:rPr>
                <w:b w:val="false"/>
                <w:bCs w:val="false"/>
              </w:rPr>
              <w:t xml:space="preserve">Ready for Delivery</w:t>
            </w:r>
          </w:p>
        </w:tc>
        <w:tc>
          <w:tcPr>
            <w:tcW w:type="dxa" w:w="3860"/>
            <w:shd w:fill="F2F2F2" w:val="clear"/>
            <w:tcMar>
              <w:top w:type="dxa" w:w="80"/>
              <w:left w:type="dxa" w:w="100"/>
              <w:bottom w:type="dxa" w:w="80"/>
              <w:right w:type="dxa" w:w="100"/>
            </w:tcMar>
          </w:tcPr>
          <w:p>
            <w:r>
              <w:rPr>
                <w:b w:val="false"/>
                <w:bCs w:val="false"/>
              </w:rPr>
              <w:t xml:space="preserve">Customer submits address; Administrator confirms</w:t>
            </w:r>
          </w:p>
        </w:tc>
        <w:tc>
          <w:tcPr>
            <w:tcW w:type="dxa" w:w="3000"/>
            <w:shd w:fill="F2F2F2" w:val="clear"/>
            <w:tcMar>
              <w:top w:type="dxa" w:w="80"/>
              <w:left w:type="dxa" w:w="100"/>
              <w:bottom w:type="dxa" w:w="80"/>
              <w:right w:type="dxa" w:w="100"/>
            </w:tcMar>
          </w:tcPr>
          <w:p>
            <w:r>
              <w:rPr>
                <w:b w:val="false"/>
                <w:bCs w:val="false"/>
              </w:rPr>
              <w:t xml:space="preserve">Processing</w:t>
            </w:r>
          </w:p>
        </w:tc>
      </w:tr>
      <w:tr>
        <w:tc>
          <w:tcPr>
            <w:tcW w:type="dxa" w:w="2500"/>
            <w:tcMar>
              <w:top w:type="dxa" w:w="80"/>
              <w:left w:type="dxa" w:w="100"/>
              <w:bottom w:type="dxa" w:w="80"/>
              <w:right w:type="dxa" w:w="100"/>
            </w:tcMar>
          </w:tcPr>
          <w:p>
            <w:r>
              <w:rPr>
                <w:b w:val="false"/>
                <w:bCs w:val="false"/>
              </w:rPr>
              <w:t xml:space="preserve">Processing</w:t>
            </w:r>
          </w:p>
        </w:tc>
        <w:tc>
          <w:tcPr>
            <w:tcW w:type="dxa" w:w="3860"/>
            <w:tcMar>
              <w:top w:type="dxa" w:w="80"/>
              <w:left w:type="dxa" w:w="100"/>
              <w:bottom w:type="dxa" w:w="80"/>
              <w:right w:type="dxa" w:w="100"/>
            </w:tcMar>
          </w:tcPr>
          <w:p>
            <w:r>
              <w:rPr>
                <w:b w:val="false"/>
                <w:bCs w:val="false"/>
              </w:rPr>
              <w:t xml:space="preserve">Item marked packed</w:t>
            </w:r>
          </w:p>
        </w:tc>
        <w:tc>
          <w:tcPr>
            <w:tcW w:type="dxa" w:w="3000"/>
            <w:tcMar>
              <w:top w:type="dxa" w:w="80"/>
              <w:left w:type="dxa" w:w="100"/>
              <w:bottom w:type="dxa" w:w="80"/>
              <w:right w:type="dxa" w:w="100"/>
            </w:tcMar>
          </w:tcPr>
          <w:p>
            <w:r>
              <w:rPr>
                <w:b w:val="false"/>
                <w:bCs w:val="false"/>
              </w:rPr>
              <w:t xml:space="preserve">Packed</w:t>
            </w:r>
          </w:p>
        </w:tc>
      </w:tr>
      <w:tr>
        <w:tc>
          <w:tcPr>
            <w:tcW w:type="dxa" w:w="2500"/>
            <w:shd w:fill="F2F2F2" w:val="clear"/>
            <w:tcMar>
              <w:top w:type="dxa" w:w="80"/>
              <w:left w:type="dxa" w:w="100"/>
              <w:bottom w:type="dxa" w:w="80"/>
              <w:right w:type="dxa" w:w="100"/>
            </w:tcMar>
          </w:tcPr>
          <w:p>
            <w:r>
              <w:rPr>
                <w:b w:val="false"/>
                <w:bCs w:val="false"/>
              </w:rPr>
              <w:t xml:space="preserve">Packed</w:t>
            </w:r>
          </w:p>
        </w:tc>
        <w:tc>
          <w:tcPr>
            <w:tcW w:type="dxa" w:w="3860"/>
            <w:shd w:fill="F2F2F2" w:val="clear"/>
            <w:tcMar>
              <w:top w:type="dxa" w:w="80"/>
              <w:left w:type="dxa" w:w="100"/>
              <w:bottom w:type="dxa" w:w="80"/>
              <w:right w:type="dxa" w:w="100"/>
            </w:tcMar>
          </w:tcPr>
          <w:p>
            <w:r>
              <w:rPr>
                <w:b w:val="false"/>
                <w:bCs w:val="false"/>
              </w:rPr>
              <w:t xml:space="preserve">Handover to delivery</w:t>
            </w:r>
          </w:p>
        </w:tc>
        <w:tc>
          <w:tcPr>
            <w:tcW w:type="dxa" w:w="3000"/>
            <w:shd w:fill="F2F2F2" w:val="clear"/>
            <w:tcMar>
              <w:top w:type="dxa" w:w="80"/>
              <w:left w:type="dxa" w:w="100"/>
              <w:bottom w:type="dxa" w:w="80"/>
              <w:right w:type="dxa" w:w="100"/>
            </w:tcMar>
          </w:tcPr>
          <w:p>
            <w:r>
              <w:rPr>
                <w:b w:val="false"/>
                <w:bCs w:val="false"/>
              </w:rPr>
              <w:t xml:space="preserve">Shipped</w:t>
            </w:r>
          </w:p>
        </w:tc>
      </w:tr>
      <w:tr>
        <w:tc>
          <w:tcPr>
            <w:tcW w:type="dxa" w:w="2500"/>
            <w:tcMar>
              <w:top w:type="dxa" w:w="80"/>
              <w:left w:type="dxa" w:w="100"/>
              <w:bottom w:type="dxa" w:w="80"/>
              <w:right w:type="dxa" w:w="100"/>
            </w:tcMar>
          </w:tcPr>
          <w:p>
            <w:r>
              <w:rPr>
                <w:b w:val="false"/>
                <w:bCs w:val="false"/>
              </w:rPr>
              <w:t xml:space="preserve">Shipped</w:t>
            </w:r>
          </w:p>
        </w:tc>
        <w:tc>
          <w:tcPr>
            <w:tcW w:type="dxa" w:w="3860"/>
            <w:tcMar>
              <w:top w:type="dxa" w:w="80"/>
              <w:left w:type="dxa" w:w="100"/>
              <w:bottom w:type="dxa" w:w="80"/>
              <w:right w:type="dxa" w:w="100"/>
            </w:tcMar>
          </w:tcPr>
          <w:p>
            <w:r>
              <w:rPr>
                <w:b w:val="false"/>
                <w:bCs w:val="false"/>
              </w:rPr>
              <w:t xml:space="preserve">Courier update</w:t>
            </w:r>
          </w:p>
        </w:tc>
        <w:tc>
          <w:tcPr>
            <w:tcW w:type="dxa" w:w="3000"/>
            <w:tcMar>
              <w:top w:type="dxa" w:w="80"/>
              <w:left w:type="dxa" w:w="100"/>
              <w:bottom w:type="dxa" w:w="80"/>
              <w:right w:type="dxa" w:w="100"/>
            </w:tcMar>
          </w:tcPr>
          <w:p>
            <w:r>
              <w:rPr>
                <w:b w:val="false"/>
                <w:bCs w:val="false"/>
              </w:rPr>
              <w:t xml:space="preserve">Out for Delivery</w:t>
            </w:r>
          </w:p>
        </w:tc>
      </w:tr>
      <w:tr>
        <w:tc>
          <w:tcPr>
            <w:tcW w:type="dxa" w:w="2500"/>
            <w:shd w:fill="F2F2F2" w:val="clear"/>
            <w:tcMar>
              <w:top w:type="dxa" w:w="80"/>
              <w:left w:type="dxa" w:w="100"/>
              <w:bottom w:type="dxa" w:w="80"/>
              <w:right w:type="dxa" w:w="100"/>
            </w:tcMar>
          </w:tcPr>
          <w:p>
            <w:r>
              <w:rPr>
                <w:b w:val="false"/>
                <w:bCs w:val="false"/>
              </w:rPr>
              <w:t xml:space="preserve">Out for Delivery</w:t>
            </w:r>
          </w:p>
        </w:tc>
        <w:tc>
          <w:tcPr>
            <w:tcW w:type="dxa" w:w="3860"/>
            <w:shd w:fill="F2F2F2" w:val="clear"/>
            <w:tcMar>
              <w:top w:type="dxa" w:w="80"/>
              <w:left w:type="dxa" w:w="100"/>
              <w:bottom w:type="dxa" w:w="80"/>
              <w:right w:type="dxa" w:w="100"/>
            </w:tcMar>
          </w:tcPr>
          <w:p>
            <w:r>
              <w:rPr>
                <w:b w:val="false"/>
                <w:bCs w:val="false"/>
              </w:rPr>
              <w:t xml:space="preserve">Confirmed drop-off</w:t>
            </w:r>
          </w:p>
        </w:tc>
        <w:tc>
          <w:tcPr>
            <w:tcW w:type="dxa" w:w="3000"/>
            <w:shd w:fill="F2F2F2" w:val="clear"/>
            <w:tcMar>
              <w:top w:type="dxa" w:w="80"/>
              <w:left w:type="dxa" w:w="100"/>
              <w:bottom w:type="dxa" w:w="80"/>
              <w:right w:type="dxa" w:w="100"/>
            </w:tcMar>
          </w:tcPr>
          <w:p>
            <w:r>
              <w:rPr>
                <w:b w:val="false"/>
                <w:bCs w:val="false"/>
              </w:rPr>
              <w:t xml:space="preserve">Delivered</w:t>
            </w:r>
          </w:p>
        </w:tc>
      </w:tr>
    </w:tbl>
    <w:p>
      <w:pPr>
        <w:spacing w:before="200"/>
      </w:pPr>
    </w:p>
    <w:p>
      <w:pPr>
        <w:pStyle w:val="Heading2"/>
      </w:pPr>
      <w:r>
        <w:t xml:space="preserve">8.7 Vendor Product Listing — State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shd w:fill="1B2A4A" w:val="clear"/>
            <w:tcMar>
              <w:top w:type="dxa" w:w="80"/>
              <w:left w:type="dxa" w:w="100"/>
              <w:bottom w:type="dxa" w:w="80"/>
              <w:right w:type="dxa" w:w="100"/>
            </w:tcMar>
          </w:tcPr>
          <w:p>
            <w:r>
              <w:rPr>
                <w:b/>
                <w:bCs/>
                <w:color w:val="FFFFFF"/>
              </w:rPr>
              <w:t xml:space="preserve">State</w:t>
            </w:r>
          </w:p>
        </w:tc>
        <w:tc>
          <w:tcPr>
            <w:tcW w:type="dxa" w:w="3860"/>
            <w:shd w:fill="1B2A4A" w:val="clear"/>
            <w:tcMar>
              <w:top w:type="dxa" w:w="80"/>
              <w:left w:type="dxa" w:w="100"/>
              <w:bottom w:type="dxa" w:w="80"/>
              <w:right w:type="dxa" w:w="100"/>
            </w:tcMar>
          </w:tcPr>
          <w:p>
            <w:r>
              <w:rPr>
                <w:b/>
                <w:bCs/>
                <w:color w:val="FFFFFF"/>
              </w:rPr>
              <w:t xml:space="preserve">Trigger</w:t>
            </w:r>
          </w:p>
        </w:tc>
        <w:tc>
          <w:tcPr>
            <w:tcW w:type="dxa" w:w="3000"/>
            <w:shd w:fill="1B2A4A" w:val="clear"/>
            <w:tcMar>
              <w:top w:type="dxa" w:w="80"/>
              <w:left w:type="dxa" w:w="100"/>
              <w:bottom w:type="dxa" w:w="80"/>
              <w:right w:type="dxa" w:w="100"/>
            </w:tcMar>
          </w:tcPr>
          <w:p>
            <w:r>
              <w:rPr>
                <w:b/>
                <w:bCs/>
                <w:color w:val="FFFFFF"/>
              </w:rPr>
              <w:t xml:space="preserve">Next State</w:t>
            </w:r>
          </w:p>
        </w:tc>
      </w:tr>
      <w:tr>
        <w:tc>
          <w:tcPr>
            <w:tcW w:type="dxa" w:w="2500"/>
            <w:tcMar>
              <w:top w:type="dxa" w:w="80"/>
              <w:left w:type="dxa" w:w="100"/>
              <w:bottom w:type="dxa" w:w="80"/>
              <w:right w:type="dxa" w:w="100"/>
            </w:tcMar>
          </w:tcPr>
          <w:p>
            <w:r>
              <w:rPr>
                <w:b w:val="false"/>
                <w:bCs w:val="false"/>
              </w:rPr>
              <w:t xml:space="preserve">Draft</w:t>
            </w:r>
          </w:p>
        </w:tc>
        <w:tc>
          <w:tcPr>
            <w:tcW w:type="dxa" w:w="3860"/>
            <w:tcMar>
              <w:top w:type="dxa" w:w="80"/>
              <w:left w:type="dxa" w:w="100"/>
              <w:bottom w:type="dxa" w:w="80"/>
              <w:right w:type="dxa" w:w="100"/>
            </w:tcMar>
          </w:tcPr>
          <w:p>
            <w:r>
              <w:rPr>
                <w:b w:val="false"/>
                <w:bCs w:val="false"/>
              </w:rPr>
              <w:t xml:space="preserve">Vendor saves an incomplete listing</w:t>
            </w:r>
          </w:p>
        </w:tc>
        <w:tc>
          <w:tcPr>
            <w:tcW w:type="dxa" w:w="3000"/>
            <w:tcMar>
              <w:top w:type="dxa" w:w="80"/>
              <w:left w:type="dxa" w:w="100"/>
              <w:bottom w:type="dxa" w:w="80"/>
              <w:right w:type="dxa" w:w="100"/>
            </w:tcMar>
          </w:tcPr>
          <w:p>
            <w:r>
              <w:rPr>
                <w:b w:val="false"/>
                <w:bCs w:val="false"/>
              </w:rPr>
              <w:t xml:space="preserve">Draft</w:t>
            </w:r>
          </w:p>
        </w:tc>
      </w:tr>
      <w:tr>
        <w:tc>
          <w:tcPr>
            <w:tcW w:type="dxa" w:w="2500"/>
            <w:shd w:fill="F2F2F2" w:val="clear"/>
            <w:tcMar>
              <w:top w:type="dxa" w:w="80"/>
              <w:left w:type="dxa" w:w="100"/>
              <w:bottom w:type="dxa" w:w="80"/>
              <w:right w:type="dxa" w:w="100"/>
            </w:tcMar>
          </w:tcPr>
          <w:p>
            <w:r>
              <w:rPr>
                <w:b w:val="false"/>
                <w:bCs w:val="false"/>
              </w:rPr>
              <w:t xml:space="preserve">Pending Approval</w:t>
            </w:r>
          </w:p>
        </w:tc>
        <w:tc>
          <w:tcPr>
            <w:tcW w:type="dxa" w:w="3860"/>
            <w:shd w:fill="F2F2F2" w:val="clear"/>
            <w:tcMar>
              <w:top w:type="dxa" w:w="80"/>
              <w:left w:type="dxa" w:w="100"/>
              <w:bottom w:type="dxa" w:w="80"/>
              <w:right w:type="dxa" w:w="100"/>
            </w:tcMar>
          </w:tcPr>
          <w:p>
            <w:r>
              <w:rPr>
                <w:b w:val="false"/>
                <w:bCs w:val="false"/>
              </w:rPr>
              <w:t xml:space="preserve">Vendor submits a complete listing</w:t>
            </w:r>
          </w:p>
        </w:tc>
        <w:tc>
          <w:tcPr>
            <w:tcW w:type="dxa" w:w="3000"/>
            <w:shd w:fill="F2F2F2" w:val="clear"/>
            <w:tcMar>
              <w:top w:type="dxa" w:w="80"/>
              <w:left w:type="dxa" w:w="100"/>
              <w:bottom w:type="dxa" w:w="80"/>
              <w:right w:type="dxa" w:w="100"/>
            </w:tcMar>
          </w:tcPr>
          <w:p>
            <w:r>
              <w:rPr>
                <w:b w:val="false"/>
                <w:bCs w:val="false"/>
              </w:rPr>
              <w:t xml:space="preserve">Approved or Rejected, informed by artificial-intelligence flags</w:t>
            </w:r>
          </w:p>
        </w:tc>
      </w:tr>
      <w:tr>
        <w:tc>
          <w:tcPr>
            <w:tcW w:type="dxa" w:w="2500"/>
            <w:tcMar>
              <w:top w:type="dxa" w:w="80"/>
              <w:left w:type="dxa" w:w="100"/>
              <w:bottom w:type="dxa" w:w="80"/>
              <w:right w:type="dxa" w:w="100"/>
            </w:tcMar>
          </w:tcPr>
          <w:p>
            <w:r>
              <w:rPr>
                <w:b w:val="false"/>
                <w:bCs w:val="false"/>
              </w:rPr>
              <w:t xml:space="preserve">Approved</w:t>
            </w:r>
          </w:p>
        </w:tc>
        <w:tc>
          <w:tcPr>
            <w:tcW w:type="dxa" w:w="3860"/>
            <w:tcMar>
              <w:top w:type="dxa" w:w="80"/>
              <w:left w:type="dxa" w:w="100"/>
              <w:bottom w:type="dxa" w:w="80"/>
              <w:right w:type="dxa" w:w="100"/>
            </w:tcMar>
          </w:tcPr>
          <w:p>
            <w:r>
              <w:rPr>
                <w:b w:val="false"/>
                <w:bCs w:val="false"/>
              </w:rPr>
              <w:t xml:space="preserve">Administrator approves</w:t>
            </w:r>
          </w:p>
        </w:tc>
        <w:tc>
          <w:tcPr>
            <w:tcW w:type="dxa" w:w="3000"/>
            <w:tcMar>
              <w:top w:type="dxa" w:w="80"/>
              <w:left w:type="dxa" w:w="100"/>
              <w:bottom w:type="dxa" w:w="80"/>
              <w:right w:type="dxa" w:w="100"/>
            </w:tcMar>
          </w:tcPr>
          <w:p>
            <w:r>
              <w:rPr>
                <w:b w:val="false"/>
                <w:bCs w:val="false"/>
              </w:rPr>
              <w:t xml:space="preserve">Visible in the catalog</w:t>
            </w:r>
          </w:p>
        </w:tc>
      </w:tr>
      <w:tr>
        <w:tc>
          <w:tcPr>
            <w:tcW w:type="dxa" w:w="2500"/>
            <w:shd w:fill="F2F2F2" w:val="clear"/>
            <w:tcMar>
              <w:top w:type="dxa" w:w="80"/>
              <w:left w:type="dxa" w:w="100"/>
              <w:bottom w:type="dxa" w:w="80"/>
              <w:right w:type="dxa" w:w="100"/>
            </w:tcMar>
          </w:tcPr>
          <w:p>
            <w:r>
              <w:rPr>
                <w:b w:val="false"/>
                <w:bCs w:val="false"/>
              </w:rPr>
              <w:t xml:space="preserve">Rejected</w:t>
            </w:r>
          </w:p>
        </w:tc>
        <w:tc>
          <w:tcPr>
            <w:tcW w:type="dxa" w:w="3860"/>
            <w:shd w:fill="F2F2F2" w:val="clear"/>
            <w:tcMar>
              <w:top w:type="dxa" w:w="80"/>
              <w:left w:type="dxa" w:w="100"/>
              <w:bottom w:type="dxa" w:w="80"/>
              <w:right w:type="dxa" w:w="100"/>
            </w:tcMar>
          </w:tcPr>
          <w:p>
            <w:r>
              <w:rPr>
                <w:b w:val="false"/>
                <w:bCs w:val="false"/>
              </w:rPr>
              <w:t xml:space="preserve">Administrator rejects, with a reason</w:t>
            </w:r>
          </w:p>
        </w:tc>
        <w:tc>
          <w:tcPr>
            <w:tcW w:type="dxa" w:w="3000"/>
            <w:shd w:fill="F2F2F2" w:val="clear"/>
            <w:tcMar>
              <w:top w:type="dxa" w:w="80"/>
              <w:left w:type="dxa" w:w="100"/>
              <w:bottom w:type="dxa" w:w="80"/>
              <w:right w:type="dxa" w:w="100"/>
            </w:tcMar>
          </w:tcPr>
          <w:p>
            <w:r>
              <w:rPr>
                <w:b w:val="false"/>
                <w:bCs w:val="false"/>
              </w:rPr>
              <w:t xml:space="preserve">Back to Draft, editable</w:t>
            </w:r>
          </w:p>
        </w:tc>
      </w:tr>
      <w:tr>
        <w:tc>
          <w:tcPr>
            <w:tcW w:type="dxa" w:w="2500"/>
            <w:tcMar>
              <w:top w:type="dxa" w:w="80"/>
              <w:left w:type="dxa" w:w="100"/>
              <w:bottom w:type="dxa" w:w="80"/>
              <w:right w:type="dxa" w:w="100"/>
            </w:tcMar>
          </w:tcPr>
          <w:p>
            <w:r>
              <w:rPr>
                <w:b w:val="false"/>
                <w:bCs w:val="false"/>
              </w:rPr>
              <w:t xml:space="preserve">Delisted</w:t>
            </w:r>
          </w:p>
        </w:tc>
        <w:tc>
          <w:tcPr>
            <w:tcW w:type="dxa" w:w="3860"/>
            <w:tcMar>
              <w:top w:type="dxa" w:w="80"/>
              <w:left w:type="dxa" w:w="100"/>
              <w:bottom w:type="dxa" w:w="80"/>
              <w:right w:type="dxa" w:w="100"/>
            </w:tcMar>
          </w:tcPr>
          <w:p>
            <w:r>
              <w:rPr>
                <w:b w:val="false"/>
                <w:bCs w:val="false"/>
              </w:rPr>
              <w:t xml:space="preserve">Vendor suspension or Administrator action</w:t>
            </w:r>
          </w:p>
        </w:tc>
        <w:tc>
          <w:tcPr>
            <w:tcW w:type="dxa" w:w="3000"/>
            <w:tcMar>
              <w:top w:type="dxa" w:w="80"/>
              <w:left w:type="dxa" w:w="100"/>
              <w:bottom w:type="dxa" w:w="80"/>
              <w:right w:type="dxa" w:w="100"/>
            </w:tcMar>
          </w:tcPr>
          <w:p>
            <w:r>
              <w:rPr>
                <w:b w:val="false"/>
                <w:bCs w:val="false"/>
              </w:rPr>
              <w:t xml:space="preserve">Removed from the catalog</w:t>
            </w:r>
          </w:p>
        </w:tc>
      </w:tr>
    </w:tbl>
    <w:p>
      <w:pPr>
        <w:spacing w:before="200"/>
      </w:pPr>
    </w:p>
    <w:p>
      <w:pPr>
        <w:pStyle w:val="Heading2"/>
      </w:pPr>
      <w:r>
        <w:t xml:space="preserve">8.8 Referral Reward Logic (Phase 2)</w:t>
      </w:r>
    </w:p>
    <w:p>
      <w:pPr>
        <w:pStyle w:val="ListParagraph"/>
        <w:numPr>
          <w:ilvl w:val="0"/>
          <w:numId w:val="2"/>
        </w:numPr>
        <w:spacing w:after="60"/>
      </w:pPr>
      <w:r>
        <w:t xml:space="preserve">Each customer has a unique referral code, shareable by link.</w:t>
      </w:r>
    </w:p>
    <w:p>
      <w:pPr>
        <w:pStyle w:val="ListParagraph"/>
        <w:numPr>
          <w:ilvl w:val="0"/>
          <w:numId w:val="2"/>
        </w:numPr>
        <w:spacing w:after="60"/>
      </w:pPr>
      <w:r>
        <w:t xml:space="preserve">A new signup attributed to a referral code is tagged at registration, attribution window limited to first app open only.</w:t>
      </w:r>
    </w:p>
    <w:p>
      <w:pPr>
        <w:pStyle w:val="ListParagraph"/>
        <w:numPr>
          <w:ilvl w:val="0"/>
          <w:numId w:val="2"/>
        </w:numPr>
        <w:spacing w:after="60"/>
      </w:pPr>
      <w:r>
        <w:t xml:space="preserve">Reward is credited to the referrer only when the referred customer's first plan reaches Completed status, never at signup, to prevent fake-account abuse.</w:t>
      </w:r>
    </w:p>
    <w:p>
      <w:pPr>
        <w:pStyle w:val="ListParagraph"/>
        <w:numPr>
          <w:ilvl w:val="0"/>
          <w:numId w:val="2"/>
        </w:numPr>
        <w:spacing w:after="60"/>
      </w:pPr>
      <w:r>
        <w:t xml:space="preserve">Single level only: a referred customer's own referrals do not credit the original referrer, which is what keeps the program a simple referral system rather than a multi-level structure.</w:t>
      </w:r>
    </w:p>
    <w:p>
      <w:pPr>
        <w:pStyle w:val="Heading2"/>
      </w:pPr>
      <w:r>
        <w:t xml:space="preserve">8.9 Fraud and Risk Flags (Phase 2)</w:t>
      </w:r>
    </w:p>
    <w:p>
      <w:pPr>
        <w:spacing w:after="150"/>
      </w:pPr>
      <w:r>
        <w:t xml:space="preserve">High-level detection rules surfaced to an Administrator for review, not automatic account actions, since a false positive on a savings platform directly damages trust:</w:t>
      </w:r>
    </w:p>
    <w:p>
      <w:pPr>
        <w:pStyle w:val="ListParagraph"/>
        <w:numPr>
          <w:ilvl w:val="0"/>
          <w:numId w:val="2"/>
        </w:numPr>
        <w:spacing w:after="60"/>
      </w:pPr>
      <w:r>
        <w:t xml:space="preserve">Multiple failed one-time-passcode attempts within a short window on the same phone number.</w:t>
      </w:r>
    </w:p>
    <w:p>
      <w:pPr>
        <w:pStyle w:val="ListParagraph"/>
        <w:numPr>
          <w:ilvl w:val="0"/>
          <w:numId w:val="2"/>
        </w:numPr>
        <w:spacing w:after="60"/>
      </w:pPr>
      <w:r>
        <w:t xml:space="preserve">Login from a new device or location combined with an immediate large deposit.</w:t>
      </w:r>
    </w:p>
    <w:p>
      <w:pPr>
        <w:pStyle w:val="ListParagraph"/>
        <w:numPr>
          <w:ilvl w:val="0"/>
          <w:numId w:val="2"/>
        </w:numPr>
        <w:spacing w:after="60"/>
      </w:pPr>
      <w:r>
        <w:t xml:space="preserve">Rapid plan creation and cancellation cycles from the same account.</w:t>
      </w:r>
    </w:p>
    <w:p>
      <w:pPr>
        <w:pStyle w:val="ListParagraph"/>
        <w:numPr>
          <w:ilvl w:val="0"/>
          <w:numId w:val="2"/>
        </w:numPr>
        <w:spacing w:after="60"/>
      </w:pPr>
      <w:r>
        <w:t xml:space="preserve">A vendor's listing rejection rate rising sharply above their historical average.</w:t>
      </w:r>
    </w:p>
    <w:p>
      <w:r>
        <w:br w:type="page"/>
      </w:r>
    </w:p>
    <w:p>
      <w:pPr>
        <w:pStyle w:val="Heading1"/>
      </w:pPr>
      <w:r>
        <w:t xml:space="preserve">9. Data Model — 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B2A4A" w:val="clear"/>
            <w:tcMar>
              <w:top w:type="dxa" w:w="80"/>
              <w:left w:type="dxa" w:w="100"/>
              <w:bottom w:type="dxa" w:w="80"/>
              <w:right w:type="dxa" w:w="100"/>
            </w:tcMar>
          </w:tcPr>
          <w:p>
            <w:r>
              <w:rPr>
                <w:b/>
                <w:bCs/>
                <w:color w:val="FFFFFF"/>
              </w:rPr>
              <w:t xml:space="preserve">Entity</w:t>
            </w:r>
          </w:p>
        </w:tc>
        <w:tc>
          <w:tcPr>
            <w:tcW w:type="dxa" w:w="6360"/>
            <w:shd w:fill="1B2A4A" w:val="clear"/>
            <w:tcMar>
              <w:top w:type="dxa" w:w="80"/>
              <w:left w:type="dxa" w:w="100"/>
              <w:bottom w:type="dxa" w:w="80"/>
              <w:right w:type="dxa" w:w="100"/>
            </w:tcMar>
          </w:tcPr>
          <w:p>
            <w:r>
              <w:rPr>
                <w:b/>
                <w:bCs/>
                <w:color w:val="FFFFFF"/>
              </w:rPr>
              <w:t xml:space="preserve">Key Fields</w:t>
            </w:r>
          </w:p>
        </w:tc>
      </w:tr>
      <w:tr>
        <w:tc>
          <w:tcPr>
            <w:tcW w:type="dxa" w:w="3000"/>
            <w:tcMar>
              <w:top w:type="dxa" w:w="80"/>
              <w:left w:type="dxa" w:w="100"/>
              <w:bottom w:type="dxa" w:w="80"/>
              <w:right w:type="dxa" w:w="100"/>
            </w:tcMar>
          </w:tcPr>
          <w:p>
            <w:r>
              <w:rPr>
                <w:b w:val="false"/>
                <w:bCs w:val="false"/>
              </w:rPr>
              <w:t xml:space="preserve">User (Customer)</w:t>
            </w:r>
          </w:p>
        </w:tc>
        <w:tc>
          <w:tcPr>
            <w:tcW w:type="dxa" w:w="6360"/>
            <w:tcMar>
              <w:top w:type="dxa" w:w="80"/>
              <w:left w:type="dxa" w:w="100"/>
              <w:bottom w:type="dxa" w:w="80"/>
              <w:right w:type="dxa" w:w="100"/>
            </w:tcMar>
          </w:tcPr>
          <w:p>
            <w:r>
              <w:rPr>
                <w:b w:val="false"/>
                <w:bCs w:val="false"/>
              </w:rPr>
              <w:t xml:space="preserve">identifier, full name, phone number, email address, password hash, Bank Verification Number, National Identification Number, identity verification status, created at</w:t>
            </w:r>
          </w:p>
        </w:tc>
      </w:tr>
      <w:tr>
        <w:tc>
          <w:tcPr>
            <w:tcW w:type="dxa" w:w="3000"/>
            <w:shd w:fill="F2F2F2" w:val="clear"/>
            <w:tcMar>
              <w:top w:type="dxa" w:w="80"/>
              <w:left w:type="dxa" w:w="100"/>
              <w:bottom w:type="dxa" w:w="80"/>
              <w:right w:type="dxa" w:w="100"/>
            </w:tcMar>
          </w:tcPr>
          <w:p>
            <w:r>
              <w:rPr>
                <w:b w:val="false"/>
                <w:bCs w:val="false"/>
              </w:rPr>
              <w:t xml:space="preserve">Vendor</w:t>
            </w:r>
          </w:p>
        </w:tc>
        <w:tc>
          <w:tcPr>
            <w:tcW w:type="dxa" w:w="6360"/>
            <w:shd w:fill="F2F2F2" w:val="clear"/>
            <w:tcMar>
              <w:top w:type="dxa" w:w="80"/>
              <w:left w:type="dxa" w:w="100"/>
              <w:bottom w:type="dxa" w:w="80"/>
              <w:right w:type="dxa" w:w="100"/>
            </w:tcMar>
          </w:tcPr>
          <w:p>
            <w:r>
              <w:rPr>
                <w:b w:val="false"/>
                <w:bCs w:val="false"/>
              </w:rPr>
              <w:t xml:space="preserve">identifier, business name, full name, phone number, email address, Bank Verification Number, National Identification Number, Corporate Affairs Commission document reference, status, rating tier</w:t>
            </w:r>
          </w:p>
        </w:tc>
      </w:tr>
      <w:tr>
        <w:tc>
          <w:tcPr>
            <w:tcW w:type="dxa" w:w="3000"/>
            <w:tcMar>
              <w:top w:type="dxa" w:w="80"/>
              <w:left w:type="dxa" w:w="100"/>
              <w:bottom w:type="dxa" w:w="80"/>
              <w:right w:type="dxa" w:w="100"/>
            </w:tcMar>
          </w:tcPr>
          <w:p>
            <w:r>
              <w:rPr>
                <w:b w:val="false"/>
                <w:bCs w:val="false"/>
              </w:rPr>
              <w:t xml:space="preserve">Administrator Account</w:t>
            </w:r>
          </w:p>
        </w:tc>
        <w:tc>
          <w:tcPr>
            <w:tcW w:type="dxa" w:w="6360"/>
            <w:tcMar>
              <w:top w:type="dxa" w:w="80"/>
              <w:left w:type="dxa" w:w="100"/>
              <w:bottom w:type="dxa" w:w="80"/>
              <w:right w:type="dxa" w:w="100"/>
            </w:tcMar>
          </w:tcPr>
          <w:p>
            <w:r>
              <w:rPr>
                <w:b w:val="false"/>
                <w:bCs w:val="false"/>
              </w:rPr>
              <w:t xml:space="preserve">identifier, name, email address, role (Super Administrator, Administrator, Support Agent, Logistics Personnel, Finance Officer), permissions</w:t>
            </w:r>
          </w:p>
        </w:tc>
      </w:tr>
      <w:tr>
        <w:tc>
          <w:tcPr>
            <w:tcW w:type="dxa" w:w="3000"/>
            <w:shd w:fill="F2F2F2" w:val="clear"/>
            <w:tcMar>
              <w:top w:type="dxa" w:w="80"/>
              <w:left w:type="dxa" w:w="100"/>
              <w:bottom w:type="dxa" w:w="80"/>
              <w:right w:type="dxa" w:w="100"/>
            </w:tcMar>
          </w:tcPr>
          <w:p>
            <w:r>
              <w:rPr>
                <w:b w:val="false"/>
                <w:bCs w:val="false"/>
              </w:rPr>
              <w:t xml:space="preserve">Product</w:t>
            </w:r>
          </w:p>
        </w:tc>
        <w:tc>
          <w:tcPr>
            <w:tcW w:type="dxa" w:w="6360"/>
            <w:shd w:fill="F2F2F2" w:val="clear"/>
            <w:tcMar>
              <w:top w:type="dxa" w:w="80"/>
              <w:left w:type="dxa" w:w="100"/>
              <w:bottom w:type="dxa" w:w="80"/>
              <w:right w:type="dxa" w:w="100"/>
            </w:tcMar>
          </w:tcPr>
          <w:p>
            <w:r>
              <w:rPr>
                <w:b w:val="false"/>
                <w:bCs w:val="false"/>
              </w:rPr>
              <w:t xml:space="preserve">identifier, vendor identifier (nullable for First Market's own inventory), category, image references, description, quantity available, vendor-set price, status, posting tier, artificial-intelligence flag summary</w:t>
            </w:r>
          </w:p>
        </w:tc>
      </w:tr>
      <w:tr>
        <w:tc>
          <w:tcPr>
            <w:tcW w:type="dxa" w:w="3000"/>
            <w:tcMar>
              <w:top w:type="dxa" w:w="80"/>
              <w:left w:type="dxa" w:w="100"/>
              <w:bottom w:type="dxa" w:w="80"/>
              <w:right w:type="dxa" w:w="100"/>
            </w:tcMar>
          </w:tcPr>
          <w:p>
            <w:r>
              <w:rPr>
                <w:b w:val="false"/>
                <w:bCs w:val="false"/>
              </w:rPr>
              <w:t xml:space="preserve">Open Savings Balance</w:t>
            </w:r>
          </w:p>
        </w:tc>
        <w:tc>
          <w:tcPr>
            <w:tcW w:type="dxa" w:w="6360"/>
            <w:tcMar>
              <w:top w:type="dxa" w:w="80"/>
              <w:left w:type="dxa" w:w="100"/>
              <w:bottom w:type="dxa" w:w="80"/>
              <w:right w:type="dxa" w:w="100"/>
            </w:tcMar>
          </w:tcPr>
          <w:p>
            <w:r>
              <w:rPr>
                <w:b w:val="false"/>
                <w:bCs w:val="false"/>
              </w:rPr>
              <w:t xml:space="preserve">identifier, customer identifier, current balance</w:t>
            </w:r>
          </w:p>
        </w:tc>
      </w:tr>
      <w:tr>
        <w:tc>
          <w:tcPr>
            <w:tcW w:type="dxa" w:w="3000"/>
            <w:shd w:fill="F2F2F2" w:val="clear"/>
            <w:tcMar>
              <w:top w:type="dxa" w:w="80"/>
              <w:left w:type="dxa" w:w="100"/>
              <w:bottom w:type="dxa" w:w="80"/>
              <w:right w:type="dxa" w:w="100"/>
            </w:tcMar>
          </w:tcPr>
          <w:p>
            <w:r>
              <w:rPr>
                <w:b w:val="false"/>
                <w:bCs w:val="false"/>
              </w:rPr>
              <w:t xml:space="preserve">Product Target Plan</w:t>
            </w:r>
          </w:p>
        </w:tc>
        <w:tc>
          <w:tcPr>
            <w:tcW w:type="dxa" w:w="6360"/>
            <w:shd w:fill="F2F2F2" w:val="clear"/>
            <w:tcMar>
              <w:top w:type="dxa" w:w="80"/>
              <w:left w:type="dxa" w:w="100"/>
              <w:bottom w:type="dxa" w:w="80"/>
              <w:right w:type="dxa" w:w="100"/>
            </w:tcMar>
          </w:tcPr>
          <w:p>
            <w:r>
              <w:rPr>
                <w:b w:val="false"/>
                <w:bCs w:val="false"/>
              </w:rPr>
              <w:t xml:space="preserve">identifier, customer identifier, product identifier, target price, payment mode, cadence, amount saved, status, created at, completed at</w:t>
            </w:r>
          </w:p>
        </w:tc>
      </w:tr>
      <w:tr>
        <w:tc>
          <w:tcPr>
            <w:tcW w:type="dxa" w:w="3000"/>
            <w:tcMar>
              <w:top w:type="dxa" w:w="80"/>
              <w:left w:type="dxa" w:w="100"/>
              <w:bottom w:type="dxa" w:w="80"/>
              <w:right w:type="dxa" w:w="100"/>
            </w:tcMar>
          </w:tcPr>
          <w:p>
            <w:r>
              <w:rPr>
                <w:b w:val="false"/>
                <w:bCs w:val="false"/>
              </w:rPr>
              <w:t xml:space="preserve">Wallet Transaction</w:t>
            </w:r>
          </w:p>
        </w:tc>
        <w:tc>
          <w:tcPr>
            <w:tcW w:type="dxa" w:w="6360"/>
            <w:tcMar>
              <w:top w:type="dxa" w:w="80"/>
              <w:left w:type="dxa" w:w="100"/>
              <w:bottom w:type="dxa" w:w="80"/>
              <w:right w:type="dxa" w:w="100"/>
            </w:tcMar>
          </w:tcPr>
          <w:p>
            <w:r>
              <w:rPr>
                <w:b w:val="false"/>
                <w:bCs w:val="false"/>
              </w:rPr>
              <w:t xml:space="preserve">identifier, customer identifier, type (deposit), amount, Paystack reference, receipt number, channel used, created at</w:t>
            </w:r>
          </w:p>
        </w:tc>
      </w:tr>
      <w:tr>
        <w:tc>
          <w:tcPr>
            <w:tcW w:type="dxa" w:w="3000"/>
            <w:shd w:fill="F2F2F2" w:val="clear"/>
            <w:tcMar>
              <w:top w:type="dxa" w:w="80"/>
              <w:left w:type="dxa" w:w="100"/>
              <w:bottom w:type="dxa" w:w="80"/>
              <w:right w:type="dxa" w:w="100"/>
            </w:tcMar>
          </w:tcPr>
          <w:p>
            <w:r>
              <w:rPr>
                <w:b w:val="false"/>
                <w:bCs w:val="false"/>
              </w:rPr>
              <w:t xml:space="preserve">Order</w:t>
            </w:r>
          </w:p>
        </w:tc>
        <w:tc>
          <w:tcPr>
            <w:tcW w:type="dxa" w:w="6360"/>
            <w:shd w:fill="F2F2F2" w:val="clear"/>
            <w:tcMar>
              <w:top w:type="dxa" w:w="80"/>
              <w:left w:type="dxa" w:w="100"/>
              <w:bottom w:type="dxa" w:w="80"/>
              <w:right w:type="dxa" w:w="100"/>
            </w:tcMar>
          </w:tcPr>
          <w:p>
            <w:r>
              <w:rPr>
                <w:b w:val="false"/>
                <w:bCs w:val="false"/>
              </w:rPr>
              <w:t xml:space="preserve">identifier, plan identifier, delivery address, state, local government area, status, confirmed by administrator at</w:t>
            </w:r>
          </w:p>
        </w:tc>
      </w:tr>
      <w:tr>
        <w:tc>
          <w:tcPr>
            <w:tcW w:type="dxa" w:w="3000"/>
            <w:tcMar>
              <w:top w:type="dxa" w:w="80"/>
              <w:left w:type="dxa" w:w="100"/>
              <w:bottom w:type="dxa" w:w="80"/>
              <w:right w:type="dxa" w:w="100"/>
            </w:tcMar>
          </w:tcPr>
          <w:p>
            <w:r>
              <w:rPr>
                <w:b w:val="false"/>
                <w:bCs w:val="false"/>
              </w:rPr>
              <w:t xml:space="preserve">Referral</w:t>
            </w:r>
          </w:p>
        </w:tc>
        <w:tc>
          <w:tcPr>
            <w:tcW w:type="dxa" w:w="6360"/>
            <w:tcMar>
              <w:top w:type="dxa" w:w="80"/>
              <w:left w:type="dxa" w:w="100"/>
              <w:bottom w:type="dxa" w:w="80"/>
              <w:right w:type="dxa" w:w="100"/>
            </w:tcMar>
          </w:tcPr>
          <w:p>
            <w:r>
              <w:rPr>
                <w:b w:val="false"/>
                <w:bCs w:val="false"/>
              </w:rPr>
              <w:t xml:space="preserve">identifier, referrer identifier, referred identifier, status, reward credited at</w:t>
            </w:r>
          </w:p>
        </w:tc>
      </w:tr>
      <w:tr>
        <w:tc>
          <w:tcPr>
            <w:tcW w:type="dxa" w:w="3000"/>
            <w:shd w:fill="F2F2F2" w:val="clear"/>
            <w:tcMar>
              <w:top w:type="dxa" w:w="80"/>
              <w:left w:type="dxa" w:w="100"/>
              <w:bottom w:type="dxa" w:w="80"/>
              <w:right w:type="dxa" w:w="100"/>
            </w:tcMar>
          </w:tcPr>
          <w:p>
            <w:r>
              <w:rPr>
                <w:b w:val="false"/>
                <w:bCs w:val="false"/>
              </w:rPr>
              <w:t xml:space="preserve">Redirection Audit Log</w:t>
            </w:r>
          </w:p>
        </w:tc>
        <w:tc>
          <w:tcPr>
            <w:tcW w:type="dxa" w:w="6360"/>
            <w:shd w:fill="F2F2F2" w:val="clear"/>
            <w:tcMar>
              <w:top w:type="dxa" w:w="80"/>
              <w:left w:type="dxa" w:w="100"/>
              <w:bottom w:type="dxa" w:w="80"/>
              <w:right w:type="dxa" w:w="100"/>
            </w:tcMar>
          </w:tcPr>
          <w:p>
            <w:r>
              <w:rPr>
                <w:b w:val="false"/>
                <w:bCs w:val="false"/>
              </w:rPr>
              <w:t xml:space="preserve">identifier, plan identifier, source, destination product identifier, balance at redirection, timestamp</w:t>
            </w:r>
          </w:p>
        </w:tc>
      </w:tr>
      <w:tr>
        <w:tc>
          <w:tcPr>
            <w:tcW w:type="dxa" w:w="3000"/>
            <w:tcMar>
              <w:top w:type="dxa" w:w="80"/>
              <w:left w:type="dxa" w:w="100"/>
              <w:bottom w:type="dxa" w:w="80"/>
              <w:right w:type="dxa" w:w="100"/>
            </w:tcMar>
          </w:tcPr>
          <w:p>
            <w:r>
              <w:rPr>
                <w:b w:val="false"/>
                <w:bCs w:val="false"/>
              </w:rPr>
              <w:t xml:space="preserve">Artificial Intelligence Review Log</w:t>
            </w:r>
          </w:p>
        </w:tc>
        <w:tc>
          <w:tcPr>
            <w:tcW w:type="dxa" w:w="6360"/>
            <w:tcMar>
              <w:top w:type="dxa" w:w="80"/>
              <w:left w:type="dxa" w:w="100"/>
              <w:bottom w:type="dxa" w:w="80"/>
              <w:right w:type="dxa" w:w="100"/>
            </w:tcMar>
          </w:tcPr>
          <w:p>
            <w:r>
              <w:rPr>
                <w:b w:val="false"/>
                <w:bCs w:val="false"/>
              </w:rPr>
              <w:t xml:space="preserve">identifier, product identifier, flag type, flag reason, administrator decision, timestamp</w:t>
            </w:r>
          </w:p>
        </w:tc>
      </w:tr>
      <w:tr>
        <w:tc>
          <w:tcPr>
            <w:tcW w:type="dxa" w:w="3000"/>
            <w:shd w:fill="F2F2F2" w:val="clear"/>
            <w:tcMar>
              <w:top w:type="dxa" w:w="80"/>
              <w:left w:type="dxa" w:w="100"/>
              <w:bottom w:type="dxa" w:w="80"/>
              <w:right w:type="dxa" w:w="100"/>
            </w:tcMar>
          </w:tcPr>
          <w:p>
            <w:r>
              <w:rPr>
                <w:b w:val="false"/>
                <w:bCs w:val="false"/>
              </w:rPr>
              <w:t xml:space="preserve">Support Ticket</w:t>
            </w:r>
          </w:p>
        </w:tc>
        <w:tc>
          <w:tcPr>
            <w:tcW w:type="dxa" w:w="6360"/>
            <w:shd w:fill="F2F2F2" w:val="clear"/>
            <w:tcMar>
              <w:top w:type="dxa" w:w="80"/>
              <w:left w:type="dxa" w:w="100"/>
              <w:bottom w:type="dxa" w:w="80"/>
              <w:right w:type="dxa" w:w="100"/>
            </w:tcMar>
          </w:tcPr>
          <w:p>
            <w:r>
              <w:rPr>
                <w:b w:val="false"/>
                <w:bCs w:val="false"/>
              </w:rPr>
              <w:t xml:space="preserve">identifier, customer identifier, channel (chat, hotline, complaint), assigned support agent identifier, status, created at</w:t>
            </w:r>
          </w:p>
        </w:tc>
      </w:tr>
    </w:tbl>
    <w:p>
      <w:r>
        <w:br w:type="page"/>
      </w:r>
    </w:p>
    <w:p>
      <w:pPr>
        <w:pStyle w:val="Heading1"/>
      </w:pPr>
      <w:r>
        <w:t xml:space="preserve">10. Technology Stack</w:t>
      </w:r>
    </w:p>
    <w:p>
      <w:pPr>
        <w:spacing w:after="150"/>
      </w:pPr>
      <w:r>
        <w:t xml:space="preserve">This build is web-based only; native mobile applications are deferred to Phase 3 (Module 20) and will reuse the same backend Application Programming Interface, so the choice below is made with that reuse in mind rather than for the web build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shd w:fill="1B2A4A" w:val="clear"/>
            <w:tcMar>
              <w:top w:type="dxa" w:w="80"/>
              <w:left w:type="dxa" w:w="100"/>
              <w:bottom w:type="dxa" w:w="80"/>
              <w:right w:type="dxa" w:w="100"/>
            </w:tcMar>
          </w:tcPr>
          <w:p>
            <w:r>
              <w:rPr>
                <w:b/>
                <w:bCs/>
                <w:color w:val="FFFFFF"/>
              </w:rPr>
              <w:t xml:space="preserve">Layer</w:t>
            </w:r>
          </w:p>
        </w:tc>
        <w:tc>
          <w:tcPr>
            <w:tcW w:type="dxa" w:w="3400"/>
            <w:shd w:fill="1B2A4A" w:val="clear"/>
            <w:tcMar>
              <w:top w:type="dxa" w:w="80"/>
              <w:left w:type="dxa" w:w="100"/>
              <w:bottom w:type="dxa" w:w="80"/>
              <w:right w:type="dxa" w:w="100"/>
            </w:tcMar>
          </w:tcPr>
          <w:p>
            <w:r>
              <w:rPr>
                <w:b/>
                <w:bCs/>
                <w:color w:val="FFFFFF"/>
              </w:rPr>
              <w:t xml:space="preserve">Choice</w:t>
            </w:r>
          </w:p>
        </w:tc>
        <w:tc>
          <w:tcPr>
            <w:tcW w:type="dxa" w:w="3760"/>
            <w:shd w:fill="1B2A4A" w:val="clear"/>
            <w:tcMar>
              <w:top w:type="dxa" w:w="80"/>
              <w:left w:type="dxa" w:w="100"/>
              <w:bottom w:type="dxa" w:w="80"/>
              <w:right w:type="dxa" w:w="100"/>
            </w:tcMar>
          </w:tcPr>
          <w:p>
            <w:r>
              <w:rPr>
                <w:b/>
                <w:bCs/>
                <w:color w:val="FFFFFF"/>
              </w:rPr>
              <w:t xml:space="preserve">Reason</w:t>
            </w:r>
          </w:p>
        </w:tc>
      </w:tr>
      <w:tr>
        <w:tc>
          <w:tcPr>
            <w:tcW w:type="dxa" w:w="2200"/>
            <w:tcMar>
              <w:top w:type="dxa" w:w="80"/>
              <w:left w:type="dxa" w:w="100"/>
              <w:bottom w:type="dxa" w:w="80"/>
              <w:right w:type="dxa" w:w="100"/>
            </w:tcMar>
          </w:tcPr>
          <w:p>
            <w:r>
              <w:rPr>
                <w:b w:val="false"/>
                <w:bCs w:val="false"/>
              </w:rPr>
              <w:t xml:space="preserve">Backend</w:t>
            </w:r>
          </w:p>
        </w:tc>
        <w:tc>
          <w:tcPr>
            <w:tcW w:type="dxa" w:w="3400"/>
            <w:tcMar>
              <w:top w:type="dxa" w:w="80"/>
              <w:left w:type="dxa" w:w="100"/>
              <w:bottom w:type="dxa" w:w="80"/>
              <w:right w:type="dxa" w:w="100"/>
            </w:tcMar>
          </w:tcPr>
          <w:p>
            <w:r>
              <w:rPr>
                <w:b w:val="false"/>
                <w:bCs w:val="false"/>
              </w:rPr>
              <w:t xml:space="preserve">Laravel (Hypertext Preprocessor)</w:t>
            </w:r>
          </w:p>
        </w:tc>
        <w:tc>
          <w:tcPr>
            <w:tcW w:type="dxa" w:w="3760"/>
            <w:tcMar>
              <w:top w:type="dxa" w:w="80"/>
              <w:left w:type="dxa" w:w="100"/>
              <w:bottom w:type="dxa" w:w="80"/>
              <w:right w:type="dxa" w:w="100"/>
            </w:tcMar>
          </w:tcPr>
          <w:p>
            <w:r>
              <w:rPr>
                <w:b w:val="false"/>
                <w:bCs w:val="false"/>
              </w:rPr>
              <w:t xml:space="preserve">Matches the team's existing experience, which the client specifically asked to be weighed — and Laravel is a mature, actively-maintained framework with strong built-in security defaults (encryption, cross-site request forgery protection, rate limiting).</w:t>
            </w:r>
          </w:p>
        </w:tc>
      </w:tr>
      <w:tr>
        <w:tc>
          <w:tcPr>
            <w:tcW w:type="dxa" w:w="2200"/>
            <w:shd w:fill="F2F2F2" w:val="clear"/>
            <w:tcMar>
              <w:top w:type="dxa" w:w="80"/>
              <w:left w:type="dxa" w:w="100"/>
              <w:bottom w:type="dxa" w:w="80"/>
              <w:right w:type="dxa" w:w="100"/>
            </w:tcMar>
          </w:tcPr>
          <w:p>
            <w:r>
              <w:rPr>
                <w:b w:val="false"/>
                <w:bCs w:val="false"/>
              </w:rPr>
              <w:t xml:space="preserve">Frontend framework</w:t>
            </w:r>
          </w:p>
        </w:tc>
        <w:tc>
          <w:tcPr>
            <w:tcW w:type="dxa" w:w="3400"/>
            <w:shd w:fill="F2F2F2" w:val="clear"/>
            <w:tcMar>
              <w:top w:type="dxa" w:w="80"/>
              <w:left w:type="dxa" w:w="100"/>
              <w:bottom w:type="dxa" w:w="80"/>
              <w:right w:type="dxa" w:w="100"/>
            </w:tcMar>
          </w:tcPr>
          <w:p>
            <w:r>
              <w:rPr>
                <w:b w:val="false"/>
                <w:bCs w:val="false"/>
              </w:rPr>
              <w:t xml:space="preserve">Inertia.js with Vue 3, served through Laravel</w:t>
            </w:r>
          </w:p>
        </w:tc>
        <w:tc>
          <w:tcPr>
            <w:tcW w:type="dxa" w:w="3760"/>
            <w:shd w:fill="F2F2F2" w:val="clear"/>
            <w:tcMar>
              <w:top w:type="dxa" w:w="80"/>
              <w:left w:type="dxa" w:w="100"/>
              <w:bottom w:type="dxa" w:w="80"/>
              <w:right w:type="dxa" w:w="100"/>
            </w:tcMar>
          </w:tcPr>
          <w:p>
            <w:r>
              <w:rPr>
                <w:b w:val="false"/>
                <w:bCs w:val="false"/>
              </w:rPr>
              <w:t xml:space="preserve">Gives a modern, application-like web interface without maintaining a fully separate Application Programming Interface project for the web layer alone, while still exposing clean endpoints underneath for future reuse.</w:t>
            </w:r>
          </w:p>
        </w:tc>
      </w:tr>
      <w:tr>
        <w:tc>
          <w:tcPr>
            <w:tcW w:type="dxa" w:w="2200"/>
            <w:tcMar>
              <w:top w:type="dxa" w:w="80"/>
              <w:left w:type="dxa" w:w="100"/>
              <w:bottom w:type="dxa" w:w="80"/>
              <w:right w:type="dxa" w:w="100"/>
            </w:tcMar>
          </w:tcPr>
          <w:p>
            <w:r>
              <w:rPr>
                <w:b w:val="false"/>
                <w:bCs w:val="false"/>
              </w:rPr>
              <w:t xml:space="preserve">Styling</w:t>
            </w:r>
          </w:p>
        </w:tc>
        <w:tc>
          <w:tcPr>
            <w:tcW w:type="dxa" w:w="3400"/>
            <w:tcMar>
              <w:top w:type="dxa" w:w="80"/>
              <w:left w:type="dxa" w:w="100"/>
              <w:bottom w:type="dxa" w:w="80"/>
              <w:right w:type="dxa" w:w="100"/>
            </w:tcMar>
          </w:tcPr>
          <w:p>
            <w:r>
              <w:rPr>
                <w:b w:val="false"/>
                <w:bCs w:val="false"/>
              </w:rPr>
              <w:t xml:space="preserve">Tailwind Cascading Style Sheets</w:t>
            </w:r>
          </w:p>
        </w:tc>
        <w:tc>
          <w:tcPr>
            <w:tcW w:type="dxa" w:w="3760"/>
            <w:tcMar>
              <w:top w:type="dxa" w:w="80"/>
              <w:left w:type="dxa" w:w="100"/>
              <w:bottom w:type="dxa" w:w="80"/>
              <w:right w:type="dxa" w:w="100"/>
            </w:tcMar>
          </w:tcPr>
          <w:p>
            <w:r>
              <w:rPr>
                <w:b w:val="false"/>
                <w:bCs w:val="false"/>
              </w:rPr>
              <w:t xml:space="preserve">Fast to build with, consistent design system, small production footprint.</w:t>
            </w:r>
          </w:p>
        </w:tc>
      </w:tr>
      <w:tr>
        <w:tc>
          <w:tcPr>
            <w:tcW w:type="dxa" w:w="2200"/>
            <w:shd w:fill="F2F2F2" w:val="clear"/>
            <w:tcMar>
              <w:top w:type="dxa" w:w="80"/>
              <w:left w:type="dxa" w:w="100"/>
              <w:bottom w:type="dxa" w:w="80"/>
              <w:right w:type="dxa" w:w="100"/>
            </w:tcMar>
          </w:tcPr>
          <w:p>
            <w:r>
              <w:rPr>
                <w:b w:val="false"/>
                <w:bCs w:val="false"/>
              </w:rPr>
              <w:t xml:space="preserve">Database</w:t>
            </w:r>
          </w:p>
        </w:tc>
        <w:tc>
          <w:tcPr>
            <w:tcW w:type="dxa" w:w="3400"/>
            <w:shd w:fill="F2F2F2" w:val="clear"/>
            <w:tcMar>
              <w:top w:type="dxa" w:w="80"/>
              <w:left w:type="dxa" w:w="100"/>
              <w:bottom w:type="dxa" w:w="80"/>
              <w:right w:type="dxa" w:w="100"/>
            </w:tcMar>
          </w:tcPr>
          <w:p>
            <w:r>
              <w:rPr>
                <w:b w:val="false"/>
                <w:bCs w:val="false"/>
              </w:rPr>
              <w:t xml:space="preserve">PostgreSQL</w:t>
            </w:r>
          </w:p>
        </w:tc>
        <w:tc>
          <w:tcPr>
            <w:tcW w:type="dxa" w:w="3760"/>
            <w:shd w:fill="F2F2F2" w:val="clear"/>
            <w:tcMar>
              <w:top w:type="dxa" w:w="80"/>
              <w:left w:type="dxa" w:w="100"/>
              <w:bottom w:type="dxa" w:w="80"/>
              <w:right w:type="dxa" w:w="100"/>
            </w:tcMar>
          </w:tcPr>
          <w:p>
            <w:r>
              <w:rPr>
                <w:b w:val="false"/>
                <w:bCs w:val="false"/>
              </w:rPr>
              <w:t xml:space="preserve">Enforces the referential integrity a savings and wallet ledger needs; handles the relational structure between plans, transactions, and orders cleanly.</w:t>
            </w:r>
          </w:p>
        </w:tc>
      </w:tr>
      <w:tr>
        <w:tc>
          <w:tcPr>
            <w:tcW w:type="dxa" w:w="2200"/>
            <w:tcMar>
              <w:top w:type="dxa" w:w="80"/>
              <w:left w:type="dxa" w:w="100"/>
              <w:bottom w:type="dxa" w:w="80"/>
              <w:right w:type="dxa" w:w="100"/>
            </w:tcMar>
          </w:tcPr>
          <w:p>
            <w:r>
              <w:rPr>
                <w:b w:val="false"/>
                <w:bCs w:val="false"/>
              </w:rPr>
              <w:t xml:space="preserve">Queue and cache</w:t>
            </w:r>
          </w:p>
        </w:tc>
        <w:tc>
          <w:tcPr>
            <w:tcW w:type="dxa" w:w="3400"/>
            <w:tcMar>
              <w:top w:type="dxa" w:w="80"/>
              <w:left w:type="dxa" w:w="100"/>
              <w:bottom w:type="dxa" w:w="80"/>
              <w:right w:type="dxa" w:w="100"/>
            </w:tcMar>
          </w:tcPr>
          <w:p>
            <w:r>
              <w:rPr>
                <w:b w:val="false"/>
                <w:bCs w:val="false"/>
              </w:rPr>
              <w:t xml:space="preserve">Redis</w:t>
            </w:r>
          </w:p>
        </w:tc>
        <w:tc>
          <w:tcPr>
            <w:tcW w:type="dxa" w:w="3760"/>
            <w:tcMar>
              <w:top w:type="dxa" w:w="80"/>
              <w:left w:type="dxa" w:w="100"/>
              <w:bottom w:type="dxa" w:w="80"/>
              <w:right w:type="dxa" w:w="100"/>
            </w:tcMar>
          </w:tcPr>
          <w:p>
            <w:r>
              <w:rPr>
                <w:b w:val="false"/>
                <w:bCs w:val="false"/>
              </w:rPr>
              <w:t xml:space="preserve">Backs the scheduler jobs (automatic debit, notifications) and caches frequently-read data such as the product catalog.</w:t>
            </w:r>
          </w:p>
        </w:tc>
      </w:tr>
      <w:tr>
        <w:tc>
          <w:tcPr>
            <w:tcW w:type="dxa" w:w="2200"/>
            <w:shd w:fill="F2F2F2" w:val="clear"/>
            <w:tcMar>
              <w:top w:type="dxa" w:w="80"/>
              <w:left w:type="dxa" w:w="100"/>
              <w:bottom w:type="dxa" w:w="80"/>
              <w:right w:type="dxa" w:w="100"/>
            </w:tcMar>
          </w:tcPr>
          <w:p>
            <w:r>
              <w:rPr>
                <w:b w:val="false"/>
                <w:bCs w:val="false"/>
              </w:rPr>
              <w:t xml:space="preserve">Application Programming Interface authentication</w:t>
            </w:r>
          </w:p>
        </w:tc>
        <w:tc>
          <w:tcPr>
            <w:tcW w:type="dxa" w:w="3400"/>
            <w:shd w:fill="F2F2F2" w:val="clear"/>
            <w:tcMar>
              <w:top w:type="dxa" w:w="80"/>
              <w:left w:type="dxa" w:w="100"/>
              <w:bottom w:type="dxa" w:w="80"/>
              <w:right w:type="dxa" w:w="100"/>
            </w:tcMar>
          </w:tcPr>
          <w:p>
            <w:r>
              <w:rPr>
                <w:b w:val="false"/>
                <w:bCs w:val="false"/>
              </w:rPr>
              <w:t xml:space="preserve">Laravel Sanctum</w:t>
            </w:r>
          </w:p>
        </w:tc>
        <w:tc>
          <w:tcPr>
            <w:tcW w:type="dxa" w:w="3760"/>
            <w:shd w:fill="F2F2F2" w:val="clear"/>
            <w:tcMar>
              <w:top w:type="dxa" w:w="80"/>
              <w:left w:type="dxa" w:w="100"/>
              <w:bottom w:type="dxa" w:w="80"/>
              <w:right w:type="dxa" w:w="100"/>
            </w:tcMar>
          </w:tcPr>
          <w:p>
            <w:r>
              <w:rPr>
                <w:b w:val="false"/>
                <w:bCs w:val="false"/>
              </w:rPr>
              <w:t xml:space="preserve">Session-based authentication for the web application today; the same token-based mode is ready for the Phase 3 native mobile application without backend changes.</w:t>
            </w:r>
          </w:p>
        </w:tc>
      </w:tr>
      <w:tr>
        <w:tc>
          <w:tcPr>
            <w:tcW w:type="dxa" w:w="2200"/>
            <w:tcMar>
              <w:top w:type="dxa" w:w="80"/>
              <w:left w:type="dxa" w:w="100"/>
              <w:bottom w:type="dxa" w:w="80"/>
              <w:right w:type="dxa" w:w="100"/>
            </w:tcMar>
          </w:tcPr>
          <w:p>
            <w:r>
              <w:rPr>
                <w:b w:val="false"/>
                <w:bCs w:val="false"/>
              </w:rPr>
              <w:t xml:space="preserve">Hosting</w:t>
            </w:r>
          </w:p>
        </w:tc>
        <w:tc>
          <w:tcPr>
            <w:tcW w:type="dxa" w:w="3400"/>
            <w:tcMar>
              <w:top w:type="dxa" w:w="80"/>
              <w:left w:type="dxa" w:w="100"/>
              <w:bottom w:type="dxa" w:w="80"/>
              <w:right w:type="dxa" w:w="100"/>
            </w:tcMar>
          </w:tcPr>
          <w:p>
            <w:r>
              <w:rPr>
                <w:b w:val="false"/>
                <w:bCs w:val="false"/>
              </w:rPr>
              <w:t xml:space="preserve">A Linux-based cloud server with managed PostgreSQL and Redis</w:t>
            </w:r>
          </w:p>
        </w:tc>
        <w:tc>
          <w:tcPr>
            <w:tcW w:type="dxa" w:w="3760"/>
            <w:tcMar>
              <w:top w:type="dxa" w:w="80"/>
              <w:left w:type="dxa" w:w="100"/>
              <w:bottom w:type="dxa" w:w="80"/>
              <w:right w:type="dxa" w:w="100"/>
            </w:tcMar>
          </w:tcPr>
          <w:p>
            <w:r>
              <w:rPr>
                <w:b w:val="false"/>
                <w:bCs w:val="false"/>
              </w:rPr>
              <w:t xml:space="preserve">Standard, secure, and well-supported deployment target for a Laravel application at this scale.</w:t>
            </w:r>
          </w:p>
        </w:tc>
      </w:tr>
    </w:tbl>
    <w:p>
      <w:pPr>
        <w:spacing w:before="200"/>
      </w:pPr>
    </w:p>
    <w:p>
      <w:pPr>
        <w:spacing w:after="150"/>
      </w:pPr>
      <w:r>
        <w:t xml:space="preserve">This is presented as a working recommendation rather than a locked decision — if the team would rather use Laravel's own Blade templates with Livewire instead of Inertia and Vue, that is an equally secure and slightly simpler single-language alternative, at some cost to how modern the interface feels.</w:t>
      </w:r>
    </w:p>
    <w:p>
      <w:r>
        <w:br w:type="page"/>
      </w:r>
    </w:p>
    <w:p>
      <w:pPr>
        <w:pStyle w:val="Heading1"/>
      </w:pPr>
      <w:r>
        <w:t xml:space="preserve">11. External Integrations and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shd w:fill="1B2A4A" w:val="clear"/>
            <w:tcMar>
              <w:top w:type="dxa" w:w="80"/>
              <w:left w:type="dxa" w:w="100"/>
              <w:bottom w:type="dxa" w:w="80"/>
              <w:right w:type="dxa" w:w="100"/>
            </w:tcMar>
          </w:tcPr>
          <w:p>
            <w:r>
              <w:rPr>
                <w:b/>
                <w:bCs/>
                <w:color w:val="FFFFFF"/>
              </w:rPr>
              <w:t xml:space="preserve">Service</w:t>
            </w:r>
          </w:p>
        </w:tc>
        <w:tc>
          <w:tcPr>
            <w:tcW w:type="dxa" w:w="3200"/>
            <w:shd w:fill="1B2A4A" w:val="clear"/>
            <w:tcMar>
              <w:top w:type="dxa" w:w="80"/>
              <w:left w:type="dxa" w:w="100"/>
              <w:bottom w:type="dxa" w:w="80"/>
              <w:right w:type="dxa" w:w="100"/>
            </w:tcMar>
          </w:tcPr>
          <w:p>
            <w:r>
              <w:rPr>
                <w:b/>
                <w:bCs/>
                <w:color w:val="FFFFFF"/>
              </w:rPr>
              <w:t xml:space="preserve">Provider</w:t>
            </w:r>
          </w:p>
        </w:tc>
        <w:tc>
          <w:tcPr>
            <w:tcW w:type="dxa" w:w="3560"/>
            <w:shd w:fill="1B2A4A" w:val="clear"/>
            <w:tcMar>
              <w:top w:type="dxa" w:w="80"/>
              <w:left w:type="dxa" w:w="100"/>
              <w:bottom w:type="dxa" w:w="80"/>
              <w:right w:type="dxa" w:w="100"/>
            </w:tcMar>
          </w:tcPr>
          <w:p>
            <w:r>
              <w:rPr>
                <w:b/>
                <w:bCs/>
                <w:color w:val="FFFFFF"/>
              </w:rPr>
              <w:t xml:space="preserve">Used For</w:t>
            </w:r>
          </w:p>
        </w:tc>
      </w:tr>
      <w:tr>
        <w:tc>
          <w:tcPr>
            <w:tcW w:type="dxa" w:w="2600"/>
            <w:tcMar>
              <w:top w:type="dxa" w:w="80"/>
              <w:left w:type="dxa" w:w="100"/>
              <w:bottom w:type="dxa" w:w="80"/>
              <w:right w:type="dxa" w:w="100"/>
            </w:tcMar>
          </w:tcPr>
          <w:p>
            <w:r>
              <w:rPr>
                <w:b w:val="false"/>
                <w:bCs w:val="false"/>
              </w:rPr>
              <w:t xml:space="preserve">Payment processing</w:t>
            </w:r>
          </w:p>
        </w:tc>
        <w:tc>
          <w:tcPr>
            <w:tcW w:type="dxa" w:w="3200"/>
            <w:tcMar>
              <w:top w:type="dxa" w:w="80"/>
              <w:left w:type="dxa" w:w="100"/>
              <w:bottom w:type="dxa" w:w="80"/>
              <w:right w:type="dxa" w:w="100"/>
            </w:tcMar>
          </w:tcPr>
          <w:p>
            <w:r>
              <w:rPr>
                <w:b w:val="false"/>
                <w:bCs w:val="false"/>
              </w:rPr>
              <w:t xml:space="preserve">Paystack</w:t>
            </w:r>
          </w:p>
        </w:tc>
        <w:tc>
          <w:tcPr>
            <w:tcW w:type="dxa" w:w="3560"/>
            <w:tcMar>
              <w:top w:type="dxa" w:w="80"/>
              <w:left w:type="dxa" w:w="100"/>
              <w:bottom w:type="dxa" w:w="80"/>
              <w:right w:type="dxa" w:w="100"/>
            </w:tcMar>
          </w:tcPr>
          <w:p>
            <w:r>
              <w:rPr>
                <w:b w:val="false"/>
                <w:bCs w:val="false"/>
              </w:rPr>
              <w:t xml:space="preserve">Card, bank transfer, and Unstructured Supplementary Service Data payments; reusable payment authorization for scheduled automatic debit.</w:t>
            </w:r>
          </w:p>
        </w:tc>
      </w:tr>
      <w:tr>
        <w:tc>
          <w:tcPr>
            <w:tcW w:type="dxa" w:w="2600"/>
            <w:shd w:fill="F2F2F2" w:val="clear"/>
            <w:tcMar>
              <w:top w:type="dxa" w:w="80"/>
              <w:left w:type="dxa" w:w="100"/>
              <w:bottom w:type="dxa" w:w="80"/>
              <w:right w:type="dxa" w:w="100"/>
            </w:tcMar>
          </w:tcPr>
          <w:p>
            <w:r>
              <w:rPr>
                <w:b w:val="false"/>
                <w:bCs w:val="false"/>
              </w:rPr>
              <w:t xml:space="preserve">Bank Verification Number check</w:t>
            </w:r>
          </w:p>
        </w:tc>
        <w:tc>
          <w:tcPr>
            <w:tcW w:type="dxa" w:w="3200"/>
            <w:shd w:fill="F2F2F2" w:val="clear"/>
            <w:tcMar>
              <w:top w:type="dxa" w:w="80"/>
              <w:left w:type="dxa" w:w="100"/>
              <w:bottom w:type="dxa" w:w="80"/>
              <w:right w:type="dxa" w:w="100"/>
            </w:tcMar>
          </w:tcPr>
          <w:p>
            <w:r>
              <w:rPr>
                <w:b w:val="false"/>
                <w:bCs w:val="false"/>
              </w:rPr>
              <w:t xml:space="preserve">Paystack Identity Verification</w:t>
            </w:r>
          </w:p>
        </w:tc>
        <w:tc>
          <w:tcPr>
            <w:tcW w:type="dxa" w:w="3560"/>
            <w:shd w:fill="F2F2F2" w:val="clear"/>
            <w:tcMar>
              <w:top w:type="dxa" w:w="80"/>
              <w:left w:type="dxa" w:w="100"/>
              <w:bottom w:type="dxa" w:w="80"/>
              <w:right w:type="dxa" w:w="100"/>
            </w:tcMar>
          </w:tcPr>
          <w:p>
            <w:r>
              <w:rPr>
                <w:b w:val="false"/>
                <w:bCs w:val="false"/>
              </w:rPr>
              <w:t xml:space="preserve">Confirms a customer or vendor's Bank Verification Number directly, without a separate provider.</w:t>
            </w:r>
          </w:p>
        </w:tc>
      </w:tr>
      <w:tr>
        <w:tc>
          <w:tcPr>
            <w:tcW w:type="dxa" w:w="2600"/>
            <w:tcMar>
              <w:top w:type="dxa" w:w="80"/>
              <w:left w:type="dxa" w:w="100"/>
              <w:bottom w:type="dxa" w:w="80"/>
              <w:right w:type="dxa" w:w="100"/>
            </w:tcMar>
          </w:tcPr>
          <w:p>
            <w:r>
              <w:rPr>
                <w:b w:val="false"/>
                <w:bCs w:val="false"/>
              </w:rPr>
              <w:t xml:space="preserve">National Identification Number check</w:t>
            </w:r>
          </w:p>
        </w:tc>
        <w:tc>
          <w:tcPr>
            <w:tcW w:type="dxa" w:w="3200"/>
            <w:tcMar>
              <w:top w:type="dxa" w:w="80"/>
              <w:left w:type="dxa" w:w="100"/>
              <w:bottom w:type="dxa" w:w="80"/>
              <w:right w:type="dxa" w:w="100"/>
            </w:tcMar>
          </w:tcPr>
          <w:p>
            <w:r>
              <w:rPr>
                <w:b w:val="false"/>
                <w:bCs w:val="false"/>
              </w:rPr>
              <w:t xml:space="preserve">A dedicated Nigerian identity verification provider, such as Youverify, Smile Identity, or Prembly</w:t>
            </w:r>
          </w:p>
        </w:tc>
        <w:tc>
          <w:tcPr>
            <w:tcW w:type="dxa" w:w="3560"/>
            <w:tcMar>
              <w:top w:type="dxa" w:w="80"/>
              <w:left w:type="dxa" w:w="100"/>
              <w:bottom w:type="dxa" w:w="80"/>
              <w:right w:type="dxa" w:w="100"/>
            </w:tcMar>
          </w:tcPr>
          <w:p>
            <w:r>
              <w:rPr>
                <w:b w:val="false"/>
                <w:bCs w:val="false"/>
              </w:rPr>
              <w:t xml:space="preserve">Paystack does not verify National Identification Number directly, so a dedicated provider handles this check against the National Identity Management Commission database.</w:t>
            </w:r>
          </w:p>
        </w:tc>
      </w:tr>
      <w:tr>
        <w:tc>
          <w:tcPr>
            <w:tcW w:type="dxa" w:w="2600"/>
            <w:shd w:fill="F2F2F2" w:val="clear"/>
            <w:tcMar>
              <w:top w:type="dxa" w:w="80"/>
              <w:left w:type="dxa" w:w="100"/>
              <w:bottom w:type="dxa" w:w="80"/>
              <w:right w:type="dxa" w:w="100"/>
            </w:tcMar>
          </w:tcPr>
          <w:p>
            <w:r>
              <w:rPr>
                <w:b w:val="false"/>
                <w:bCs w:val="false"/>
              </w:rPr>
              <w:t xml:space="preserve">Text message and one-time passcode delivery</w:t>
            </w:r>
          </w:p>
        </w:tc>
        <w:tc>
          <w:tcPr>
            <w:tcW w:type="dxa" w:w="3200"/>
            <w:shd w:fill="F2F2F2" w:val="clear"/>
            <w:tcMar>
              <w:top w:type="dxa" w:w="80"/>
              <w:left w:type="dxa" w:w="100"/>
              <w:bottom w:type="dxa" w:w="80"/>
              <w:right w:type="dxa" w:w="100"/>
            </w:tcMar>
          </w:tcPr>
          <w:p>
            <w:r>
              <w:rPr>
                <w:b w:val="false"/>
                <w:bCs w:val="false"/>
              </w:rPr>
              <w:t xml:space="preserve">A Nigeria-focused messaging provider, such as Termii or Africa's Talking</w:t>
            </w:r>
          </w:p>
        </w:tc>
        <w:tc>
          <w:tcPr>
            <w:tcW w:type="dxa" w:w="3560"/>
            <w:shd w:fill="F2F2F2" w:val="clear"/>
            <w:tcMar>
              <w:top w:type="dxa" w:w="80"/>
              <w:left w:type="dxa" w:w="100"/>
              <w:bottom w:type="dxa" w:w="80"/>
              <w:right w:type="dxa" w:w="100"/>
            </w:tcMar>
          </w:tcPr>
          <w:p>
            <w:r>
              <w:rPr>
                <w:b w:val="false"/>
                <w:bCs w:val="false"/>
              </w:rPr>
              <w:t xml:space="preserve">Registration verification and payment reminders.</w:t>
            </w:r>
          </w:p>
        </w:tc>
      </w:tr>
      <w:tr>
        <w:tc>
          <w:tcPr>
            <w:tcW w:type="dxa" w:w="2600"/>
            <w:tcMar>
              <w:top w:type="dxa" w:w="80"/>
              <w:left w:type="dxa" w:w="100"/>
              <w:bottom w:type="dxa" w:w="80"/>
              <w:right w:type="dxa" w:w="100"/>
            </w:tcMar>
          </w:tcPr>
          <w:p>
            <w:r>
              <w:rPr>
                <w:b w:val="false"/>
                <w:bCs w:val="false"/>
              </w:rPr>
              <w:t xml:space="preserve">Email delivery</w:t>
            </w:r>
          </w:p>
        </w:tc>
        <w:tc>
          <w:tcPr>
            <w:tcW w:type="dxa" w:w="3200"/>
            <w:tcMar>
              <w:top w:type="dxa" w:w="80"/>
              <w:left w:type="dxa" w:w="100"/>
              <w:bottom w:type="dxa" w:w="80"/>
              <w:right w:type="dxa" w:w="100"/>
            </w:tcMar>
          </w:tcPr>
          <w:p>
            <w:r>
              <w:rPr>
                <w:b w:val="false"/>
                <w:bCs w:val="false"/>
              </w:rPr>
              <w:t xml:space="preserve">A transactional email service, such as SendGrid or Postmark</w:t>
            </w:r>
          </w:p>
        </w:tc>
        <w:tc>
          <w:tcPr>
            <w:tcW w:type="dxa" w:w="3560"/>
            <w:tcMar>
              <w:top w:type="dxa" w:w="80"/>
              <w:left w:type="dxa" w:w="100"/>
              <w:bottom w:type="dxa" w:w="80"/>
              <w:right w:type="dxa" w:w="100"/>
            </w:tcMar>
          </w:tcPr>
          <w:p>
            <w:r>
              <w:rPr>
                <w:b w:val="false"/>
                <w:bCs w:val="false"/>
              </w:rPr>
              <w:t xml:space="preserve">Verification emails, receipts, and notifications.</w:t>
            </w:r>
          </w:p>
        </w:tc>
      </w:tr>
      <w:tr>
        <w:tc>
          <w:tcPr>
            <w:tcW w:type="dxa" w:w="2600"/>
            <w:shd w:fill="F2F2F2" w:val="clear"/>
            <w:tcMar>
              <w:top w:type="dxa" w:w="80"/>
              <w:left w:type="dxa" w:w="100"/>
              <w:bottom w:type="dxa" w:w="80"/>
              <w:right w:type="dxa" w:w="100"/>
            </w:tcMar>
          </w:tcPr>
          <w:p>
            <w:r>
              <w:rPr>
                <w:b w:val="false"/>
                <w:bCs w:val="false"/>
              </w:rPr>
              <w:t xml:space="preserve">Image and document storage</w:t>
            </w:r>
          </w:p>
        </w:tc>
        <w:tc>
          <w:tcPr>
            <w:tcW w:type="dxa" w:w="3200"/>
            <w:shd w:fill="F2F2F2" w:val="clear"/>
            <w:tcMar>
              <w:top w:type="dxa" w:w="80"/>
              <w:left w:type="dxa" w:w="100"/>
              <w:bottom w:type="dxa" w:w="80"/>
              <w:right w:type="dxa" w:w="100"/>
            </w:tcMar>
          </w:tcPr>
          <w:p>
            <w:r>
              <w:rPr>
                <w:b w:val="false"/>
                <w:bCs w:val="false"/>
              </w:rPr>
              <w:t xml:space="preserve">Cloudinary or a cloud storage bucket</w:t>
            </w:r>
          </w:p>
        </w:tc>
        <w:tc>
          <w:tcPr>
            <w:tcW w:type="dxa" w:w="3560"/>
            <w:shd w:fill="F2F2F2" w:val="clear"/>
            <w:tcMar>
              <w:top w:type="dxa" w:w="80"/>
              <w:left w:type="dxa" w:w="100"/>
              <w:bottom w:type="dxa" w:w="80"/>
              <w:right w:type="dxa" w:w="100"/>
            </w:tcMar>
          </w:tcPr>
          <w:p>
            <w:r>
              <w:rPr>
                <w:b w:val="false"/>
                <w:bCs w:val="false"/>
              </w:rPr>
              <w:t xml:space="preserve">Product images and Corporate Affairs Commission documents.</w:t>
            </w:r>
          </w:p>
        </w:tc>
      </w:tr>
      <w:tr>
        <w:tc>
          <w:tcPr>
            <w:tcW w:type="dxa" w:w="2600"/>
            <w:tcMar>
              <w:top w:type="dxa" w:w="80"/>
              <w:left w:type="dxa" w:w="100"/>
              <w:bottom w:type="dxa" w:w="80"/>
              <w:right w:type="dxa" w:w="100"/>
            </w:tcMar>
          </w:tcPr>
          <w:p>
            <w:r>
              <w:rPr>
                <w:b w:val="false"/>
                <w:bCs w:val="false"/>
              </w:rPr>
              <w:t xml:space="preserve">Address lookup</w:t>
            </w:r>
          </w:p>
        </w:tc>
        <w:tc>
          <w:tcPr>
            <w:tcW w:type="dxa" w:w="3200"/>
            <w:tcMar>
              <w:top w:type="dxa" w:w="80"/>
              <w:left w:type="dxa" w:w="100"/>
              <w:bottom w:type="dxa" w:w="80"/>
              <w:right w:type="dxa" w:w="100"/>
            </w:tcMar>
          </w:tcPr>
          <w:p>
            <w:r>
              <w:rPr>
                <w:b w:val="false"/>
                <w:bCs w:val="false"/>
              </w:rPr>
              <w:t xml:space="preserve">Google Maps Places Application Programming Interface</w:t>
            </w:r>
          </w:p>
        </w:tc>
        <w:tc>
          <w:tcPr>
            <w:tcW w:type="dxa" w:w="3560"/>
            <w:tcMar>
              <w:top w:type="dxa" w:w="80"/>
              <w:left w:type="dxa" w:w="100"/>
              <w:bottom w:type="dxa" w:w="80"/>
              <w:right w:type="dxa" w:w="100"/>
            </w:tcMar>
          </w:tcPr>
          <w:p>
            <w:r>
              <w:rPr>
                <w:b w:val="false"/>
                <w:bCs w:val="false"/>
              </w:rPr>
              <w:t xml:space="preserve">Delivery address entry and validation.</w:t>
            </w:r>
          </w:p>
        </w:tc>
      </w:tr>
      <w:tr>
        <w:tc>
          <w:tcPr>
            <w:tcW w:type="dxa" w:w="2600"/>
            <w:shd w:fill="F2F2F2" w:val="clear"/>
            <w:tcMar>
              <w:top w:type="dxa" w:w="80"/>
              <w:left w:type="dxa" w:w="100"/>
              <w:bottom w:type="dxa" w:w="80"/>
              <w:right w:type="dxa" w:w="100"/>
            </w:tcMar>
          </w:tcPr>
          <w:p>
            <w:r>
              <w:rPr>
                <w:b w:val="false"/>
                <w:bCs w:val="false"/>
              </w:rPr>
              <w:t xml:space="preserve">Artificial intelligence services</w:t>
            </w:r>
          </w:p>
        </w:tc>
        <w:tc>
          <w:tcPr>
            <w:tcW w:type="dxa" w:w="3200"/>
            <w:shd w:fill="F2F2F2" w:val="clear"/>
            <w:tcMar>
              <w:top w:type="dxa" w:w="80"/>
              <w:left w:type="dxa" w:w="100"/>
              <w:bottom w:type="dxa" w:w="80"/>
              <w:right w:type="dxa" w:w="100"/>
            </w:tcMar>
          </w:tcPr>
          <w:p>
            <w:r>
              <w:rPr>
                <w:b w:val="false"/>
                <w:bCs w:val="false"/>
              </w:rPr>
              <w:t xml:space="preserve">Anthropic Claude or OpenAI Application Programming Interface</w:t>
            </w:r>
          </w:p>
        </w:tc>
        <w:tc>
          <w:tcPr>
            <w:tcW w:type="dxa" w:w="3560"/>
            <w:shd w:fill="F2F2F2" w:val="clear"/>
            <w:tcMar>
              <w:top w:type="dxa" w:w="80"/>
              <w:left w:type="dxa" w:w="100"/>
              <w:bottom w:type="dxa" w:w="80"/>
              <w:right w:type="dxa" w:w="100"/>
            </w:tcMar>
          </w:tcPr>
          <w:p>
            <w:r>
              <w:rPr>
                <w:b w:val="false"/>
                <w:bCs w:val="false"/>
              </w:rPr>
              <w:t xml:space="preserve">Powers the Listing Review Assistant, chatbot, and savings assistant described in Module 19.</w:t>
            </w:r>
          </w:p>
        </w:tc>
      </w:tr>
      <w:tr>
        <w:tc>
          <w:tcPr>
            <w:tcW w:type="dxa" w:w="2600"/>
            <w:tcMar>
              <w:top w:type="dxa" w:w="80"/>
              <w:left w:type="dxa" w:w="100"/>
              <w:bottom w:type="dxa" w:w="80"/>
              <w:right w:type="dxa" w:w="100"/>
            </w:tcMar>
          </w:tcPr>
          <w:p>
            <w:r>
              <w:rPr>
                <w:b w:val="false"/>
                <w:bCs w:val="false"/>
              </w:rPr>
              <w:t xml:space="preserve">Browser push notifications</w:t>
            </w:r>
          </w:p>
        </w:tc>
        <w:tc>
          <w:tcPr>
            <w:tcW w:type="dxa" w:w="3200"/>
            <w:tcMar>
              <w:top w:type="dxa" w:w="80"/>
              <w:left w:type="dxa" w:w="100"/>
              <w:bottom w:type="dxa" w:w="80"/>
              <w:right w:type="dxa" w:w="100"/>
            </w:tcMar>
          </w:tcPr>
          <w:p>
            <w:r>
              <w:rPr>
                <w:b w:val="false"/>
                <w:bCs w:val="false"/>
              </w:rPr>
              <w:t xml:space="preserve">Web Push Application Programming Interface, or a service such as OneSignal</w:t>
            </w:r>
          </w:p>
        </w:tc>
        <w:tc>
          <w:tcPr>
            <w:tcW w:type="dxa" w:w="3560"/>
            <w:tcMar>
              <w:top w:type="dxa" w:w="80"/>
              <w:left w:type="dxa" w:w="100"/>
              <w:bottom w:type="dxa" w:w="80"/>
              <w:right w:type="dxa" w:w="100"/>
            </w:tcMar>
          </w:tcPr>
          <w:p>
            <w:r>
              <w:rPr>
                <w:b w:val="false"/>
                <w:bCs w:val="false"/>
              </w:rPr>
              <w:t xml:space="preserve">Used in place of a native mobile push service while the build is web-only.</w:t>
            </w:r>
          </w:p>
        </w:tc>
      </w:tr>
    </w:tbl>
    <w:p>
      <w:r>
        <w:br w:type="page"/>
      </w:r>
    </w:p>
    <w:p>
      <w:pPr>
        <w:pStyle w:val="Heading1"/>
      </w:pPr>
      <w:r>
        <w:t xml:space="preserve">12. Non-Functional Requirements</w:t>
      </w:r>
    </w:p>
    <w:p>
      <w:pPr>
        <w:pStyle w:val="Heading2"/>
      </w:pPr>
      <w:r>
        <w:t xml:space="preserve">12.1 Security</w:t>
      </w:r>
    </w:p>
    <w:p>
      <w:pPr>
        <w:pStyle w:val="ListParagraph"/>
        <w:numPr>
          <w:ilvl w:val="0"/>
          <w:numId w:val="2"/>
        </w:numPr>
        <w:spacing w:after="60"/>
      </w:pPr>
      <w:r>
        <w:t xml:space="preserve">Encryption at rest for Bank Verification Number, National Identification Number, and other personal data; encrypted connections for all Application Programming Interface traffic.</w:t>
      </w:r>
    </w:p>
    <w:p>
      <w:pPr>
        <w:pStyle w:val="ListParagraph"/>
        <w:numPr>
          <w:ilvl w:val="0"/>
          <w:numId w:val="2"/>
        </w:numPr>
        <w:spacing w:after="60"/>
      </w:pPr>
      <w:r>
        <w:t xml:space="preserve">No withdrawal endpoint shall exist anywhere in the backend, enforced architecturally rather than only hidden from the interface.</w:t>
      </w:r>
    </w:p>
    <w:p>
      <w:pPr>
        <w:pStyle w:val="ListParagraph"/>
        <w:numPr>
          <w:ilvl w:val="0"/>
          <w:numId w:val="2"/>
        </w:numPr>
        <w:spacing w:after="60"/>
      </w:pPr>
      <w:r>
        <w:t xml:space="preserve">Role-based access control separating Customer, Vendor, and every Administrator sub-role at the database query layer.</w:t>
      </w:r>
    </w:p>
    <w:p>
      <w:pPr>
        <w:pStyle w:val="Heading2"/>
      </w:pPr>
      <w:r>
        <w:t xml:space="preserve">12.2 Performance and Scalability</w:t>
      </w:r>
    </w:p>
    <w:p>
      <w:pPr>
        <w:pStyle w:val="ListParagraph"/>
        <w:numPr>
          <w:ilvl w:val="0"/>
          <w:numId w:val="2"/>
        </w:numPr>
        <w:spacing w:after="60"/>
      </w:pPr>
      <w:r>
        <w:t xml:space="preserve">Dashboard and Product Tracker reads should target a response time under five hundred milliseconds under normal load.</w:t>
      </w:r>
    </w:p>
    <w:p>
      <w:pPr>
        <w:pStyle w:val="ListParagraph"/>
        <w:numPr>
          <w:ilvl w:val="0"/>
          <w:numId w:val="2"/>
        </w:numPr>
        <w:spacing w:after="60"/>
      </w:pPr>
      <w:r>
        <w:t xml:space="preserve">Notification and automatic-debit scheduler jobs should run through the queue, not synchronously, to tolerate payment-provider latency.</w:t>
      </w:r>
    </w:p>
    <w:p>
      <w:pPr>
        <w:pStyle w:val="Heading2"/>
      </w:pPr>
      <w:r>
        <w:t xml:space="preserve">12.3 Localization</w:t>
      </w:r>
    </w:p>
    <w:p>
      <w:pPr>
        <w:pStyle w:val="ListParagraph"/>
        <w:numPr>
          <w:ilvl w:val="0"/>
          <w:numId w:val="2"/>
        </w:numPr>
        <w:spacing w:after="60"/>
      </w:pPr>
      <w:r>
        <w:t xml:space="preserve">Currency formatting in Naira throughout; multi-language support planned for Phase 2, so interface text should be externalized to translation files from the start rather than written directly into the code.</w:t>
      </w:r>
    </w:p>
    <w:p>
      <w:pPr>
        <w:pStyle w:val="Heading2"/>
      </w:pPr>
      <w:r>
        <w:t xml:space="preserve">12.4 Compliance</w:t>
      </w:r>
    </w:p>
    <w:p>
      <w:pPr>
        <w:pStyle w:val="ListParagraph"/>
        <w:numPr>
          <w:ilvl w:val="0"/>
          <w:numId w:val="2"/>
        </w:numPr>
        <w:spacing w:after="60"/>
      </w:pPr>
      <w:r>
        <w:t xml:space="preserve">Bank Verification Number and National Identification Number verification flows should follow standard Nigerian identity-verification practice, even though First Market is explicitly not a bank or lender.</w:t>
      </w:r>
    </w:p>
    <w:p>
      <w:pPr>
        <w:pStyle w:val="Heading2"/>
      </w:pPr>
      <w:r>
        <w:t xml:space="preserve">12.5 Availability</w:t>
      </w:r>
    </w:p>
    <w:p>
      <w:pPr>
        <w:pStyle w:val="ListParagraph"/>
        <w:numPr>
          <w:ilvl w:val="0"/>
          <w:numId w:val="2"/>
        </w:numPr>
        <w:spacing w:after="60"/>
      </w:pPr>
      <w:r>
        <w:t xml:space="preserve">Payment confirmation and order-status paths are the most trust-sensitive parts of the system and should be prioritized for monitoring and alerting ahead of lower-stakes modules such as Wishlist or Rewards.</w:t>
      </w:r>
    </w:p>
    <w:p>
      <w:r>
        <w:br w:type="page"/>
      </w:r>
    </w:p>
    <w:p>
      <w:pPr>
        <w:pStyle w:val="Heading1"/>
      </w:pPr>
      <w:r>
        <w:t xml:space="preserve">13. Pages by Role</w:t>
      </w:r>
    </w:p>
    <w:p>
      <w:pPr>
        <w:pStyle w:val="Heading2"/>
      </w:pPr>
      <w:r>
        <w:t xml:space="preserve">13.1 Public Website (no login)</w:t>
      </w:r>
    </w:p>
    <w:p>
      <w:pPr>
        <w:pStyle w:val="ListParagraph"/>
        <w:numPr>
          <w:ilvl w:val="0"/>
          <w:numId w:val="2"/>
        </w:numPr>
        <w:spacing w:after="60"/>
      </w:pPr>
      <w:r>
        <w:t xml:space="preserve">Home, About Us, How It Works, Marketplace Preview, Become a Vendor, Contact Us, Frequently Asked Questions, Terms of Service, Privacy Policy.</w:t>
      </w:r>
    </w:p>
    <w:p>
      <w:pPr>
        <w:pStyle w:val="Heading2"/>
      </w:pPr>
      <w:r>
        <w:t xml:space="preserve">13.2 Customer Web Application</w:t>
      </w:r>
    </w:p>
    <w:p>
      <w:pPr>
        <w:pStyle w:val="ListParagraph"/>
        <w:numPr>
          <w:ilvl w:val="0"/>
          <w:numId w:val="2"/>
        </w:numPr>
        <w:spacing w:after="60"/>
      </w:pPr>
      <w:r>
        <w:t xml:space="preserve">Registration and Login, Dashboard, Product Catalog and Search, Product Details, Start a Plan (Open Savings or Product Target), Wallet (Add Money through Paystack, Transactions, Receipts), Product Tracker, Orders, Delivery Tracking, Notifications, Support Center (Frequently Asked Questions, WhatsApp, Complaint, Hotline Request), Profile and Settings.</w:t>
      </w:r>
    </w:p>
    <w:p>
      <w:pPr>
        <w:pStyle w:val="ListParagraph"/>
        <w:numPr>
          <w:ilvl w:val="0"/>
          <w:numId w:val="2"/>
        </w:numPr>
        <w:spacing w:after="60"/>
      </w:pPr>
      <w:r>
        <w:t xml:space="preserve">Phase 2 additions: Wishlist, Rewards and Badges, Referral, Live Chat.</w:t>
      </w:r>
    </w:p>
    <w:p>
      <w:pPr>
        <w:pStyle w:val="Heading2"/>
      </w:pPr>
      <w:r>
        <w:t xml:space="preserve">13.3 Vendor Web Portal</w:t>
      </w:r>
    </w:p>
    <w:p>
      <w:pPr>
        <w:pStyle w:val="ListParagraph"/>
        <w:numPr>
          <w:ilvl w:val="0"/>
          <w:numId w:val="2"/>
        </w:numPr>
        <w:spacing w:after="60"/>
      </w:pPr>
      <w:r>
        <w:t xml:space="preserve">Registration and Onboarding, Vendor Dashboard, Add or Edit Product Listing, Listings Pending Approval, Approved Listings, Earnings, Support.</w:t>
      </w:r>
    </w:p>
    <w:p>
      <w:pPr>
        <w:pStyle w:val="ListParagraph"/>
        <w:numPr>
          <w:ilvl w:val="0"/>
          <w:numId w:val="2"/>
        </w:numPr>
        <w:spacing w:after="60"/>
      </w:pPr>
      <w:r>
        <w:t xml:space="preserve">Phase 2 addition: Ratings page.</w:t>
      </w:r>
    </w:p>
    <w:p>
      <w:pPr>
        <w:pStyle w:val="Heading2"/>
      </w:pPr>
      <w:r>
        <w:t xml:space="preserve">13.4 Administrator Web Dashboard</w:t>
      </w:r>
    </w:p>
    <w:p>
      <w:pPr>
        <w:pStyle w:val="ListParagraph"/>
        <w:numPr>
          <w:ilvl w:val="0"/>
          <w:numId w:val="2"/>
        </w:numPr>
        <w:spacing w:after="60"/>
      </w:pPr>
      <w:r>
        <w:t xml:space="preserve">Login (role-based landing page), Overview and Analytics, User Management, Vendor Management and Approvals, Product Approval Queue with artificial-intelligence flags, Payment Confirmation, Order Management, Delivery Status Management, Vendor Fee Settings, Reports.</w:t>
      </w:r>
    </w:p>
    <w:p>
      <w:pPr>
        <w:pStyle w:val="ListParagraph"/>
        <w:numPr>
          <w:ilvl w:val="0"/>
          <w:numId w:val="2"/>
        </w:numPr>
        <w:spacing w:after="60"/>
      </w:pPr>
      <w:r>
        <w:t xml:space="preserve">Support Agent view: Hotline and Chat Ticket Queue, Customer Order and Plan Lookup (read-only, no payment card details).</w:t>
      </w:r>
    </w:p>
    <w:p>
      <w:pPr>
        <w:pStyle w:val="ListParagraph"/>
        <w:numPr>
          <w:ilvl w:val="0"/>
          <w:numId w:val="2"/>
        </w:numPr>
        <w:spacing w:after="60"/>
      </w:pPr>
      <w:r>
        <w:t xml:space="preserve">Logistics Personnel view: Delivery Status Update screen only.</w:t>
      </w:r>
    </w:p>
    <w:p>
      <w:pPr>
        <w:pStyle w:val="ListParagraph"/>
        <w:numPr>
          <w:ilvl w:val="0"/>
          <w:numId w:val="2"/>
        </w:numPr>
        <w:spacing w:after="60"/>
      </w:pPr>
      <w:r>
        <w:t xml:space="preserve">Finance Officer view: Paystack Settlement Reconciliation.</w:t>
      </w:r>
    </w:p>
    <w:p>
      <w:pPr>
        <w:pStyle w:val="ListParagraph"/>
        <w:numPr>
          <w:ilvl w:val="0"/>
          <w:numId w:val="2"/>
        </w:numPr>
        <w:spacing w:after="60"/>
      </w:pPr>
      <w:r>
        <w:t xml:space="preserve">Super Administrator addition: Role and Permission Management, Platform-Wide Settings.</w:t>
      </w:r>
    </w:p>
    <w:p>
      <w:pPr>
        <w:spacing w:before="300"/>
      </w:pPr>
    </w:p>
    <w:p>
      <w:pPr>
        <w:jc w:val="center"/>
      </w:pPr>
      <w:r>
        <w:rPr>
          <w:i/>
          <w:iCs/>
          <w:color w:val="4A4A4A"/>
          <w:sz w:val="20"/>
          <w:szCs w:val="20"/>
        </w:rPr>
        <w:t xml:space="preserve">End of Document — First Market Software Requirements Specification, Version 2.0</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1B2A4A"/>
      <w:sz w:val="32"/>
      <w:szCs w:val="32"/>
    </w:rPr>
  </w:style>
  <w:style w:type="paragraph" w:styleId="Heading2">
    <w:name w:val="Heading 2"/>
    <w:basedOn w:val="Normal"/>
    <w:next w:val="Normal"/>
    <w:qFormat/>
    <w:pPr>
      <w:spacing w:after="150" w:before="300"/>
      <w:outlineLvl w:val="1"/>
    </w:pPr>
    <w:rPr>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2026-07-13T04:35:54.947Z</dcterms:created>
  <dcterms:modified xsi:type="dcterms:W3CDTF">2026-07-13T04:35:54.958Z</dcterms:modified>
</cp:coreProperties>
</file>

<file path=docProps/custom.xml><?xml version="1.0" encoding="utf-8"?>
<Properties xmlns="http://schemas.openxmlformats.org/officeDocument/2006/custom-properties" xmlns:vt="http://schemas.openxmlformats.org/officeDocument/2006/docPropsVTypes"/>
</file>