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40"/>
      </w:pPr>
      <w:r>
        <w:rPr>
          <w:rFonts w:ascii="Montserrat" w:cs="Montserrat" w:eastAsia="Montserrat" w:hAnsi="Montserrat"/>
          <w:b/>
          <w:bCs/>
          <w:color w:val="1A3C5E"/>
          <w:sz w:val="64"/>
          <w:szCs w:val="64"/>
        </w:rPr>
        <w:t xml:space="preserve">IoT Communication</w:t>
      </w:r>
    </w:p>
    <w:p>
      <w:pPr>
        <w:spacing w:before="0" w:after="40"/>
      </w:pPr>
      <w:r>
        <w:rPr>
          <w:rFonts w:ascii="Montserrat" w:cs="Montserrat" w:eastAsia="Montserrat" w:hAnsi="Montserrat"/>
          <w:b/>
          <w:bCs/>
          <w:color w:val="1A3C5E"/>
          <w:sz w:val="64"/>
          <w:szCs w:val="64"/>
        </w:rPr>
        <w:t xml:space="preserve">and Data Bridge Layer</w:t>
      </w:r>
    </w:p>
    <w:p>
      <w:pPr>
        <w:pBdr>
          <w:bottom w:val="single" w:color="2E86AB" w:sz="12" w:space="8"/>
        </w:pBdr>
        <w:spacing w:before="20" w:after="200"/>
      </w:pPr>
      <w:r>
        <w:rPr>
          <w:rFonts w:ascii="Montserrat" w:cs="Montserrat" w:eastAsia="Montserrat" w:hAnsi="Montserrat"/>
          <w:sz w:val="22"/>
          <w:szCs w:val="22"/>
        </w:rPr>
        <w:t xml:space="preserve"/>
      </w:r>
    </w:p>
    <w:p>
      <w:pPr>
        <w:spacing w:before="80" w:after="40"/>
      </w:pPr>
      <w:r>
        <w:rPr>
          <w:rFonts w:ascii="Montserrat" w:cs="Montserrat" w:eastAsia="Montserrat" w:hAnsi="Montserrat"/>
          <w:b/>
          <w:bCs/>
          <w:color w:val="2E86AB"/>
          <w:sz w:val="28"/>
          <w:szCs w:val="28"/>
        </w:rPr>
        <w:t xml:space="preserve">Hardware &amp; Software Requirements Document</w:t>
      </w:r>
    </w:p>
    <w:p>
      <w:pPr>
        <w:spacing w:before="20" w:after="600"/>
      </w:pPr>
      <w:r>
        <w:rPr>
          <w:rFonts w:ascii="Montserrat" w:cs="Montserrat" w:eastAsia="Montserrat" w:hAnsi="Montserrat"/>
          <w:color w:val="5D6D7E"/>
          <w:sz w:val="22"/>
          <w:szCs w:val="22"/>
        </w:rPr>
        <w:t xml:space="preserve">Earthquake Monitoring and Warning System</w:t>
      </w:r>
    </w:p>
    <w:p>
      <w:pPr>
        <w:pBdr>
          <w:bottom w:val="single" w:color="2E86AB" w:sz="8" w:space="6"/>
        </w:pBdr>
        <w:spacing w:before="400" w:after="200"/>
      </w:pPr>
      <w:r>
        <w:rPr>
          <w:rFonts w:ascii="Montserrat" w:cs="Montserrat" w:eastAsia="Montserrat" w:hAnsi="Montserrat"/>
          <w:b/>
          <w:bCs/>
          <w:color w:val="1A3C5E"/>
          <w:sz w:val="36"/>
          <w:szCs w:val="36"/>
        </w:rPr>
        <w:t xml:space="preserve">Overview</w:t>
      </w:r>
    </w:p>
    <w:p>
      <w:pPr>
        <w:spacing w:before="60" w:after="80"/>
      </w:pPr>
      <w:r>
        <w:rPr>
          <w:rFonts w:ascii="Montserrat" w:cs="Montserrat" w:eastAsia="Montserrat" w:hAnsi="Montserrat"/>
          <w:color w:val="2C3E50"/>
          <w:sz w:val="22"/>
          <w:szCs w:val="22"/>
        </w:rPr>
        <w:t xml:space="preserve">The IoT Communication and Data Bridge Layer is responsible for reliable bidirectional MQTT communication between the Sensor Station and the Main Control &amp; Alert Station, while also forwarding critical earthquake data to the Firebase Realtime Database.</w:t>
      </w:r>
    </w:p>
    <w:p>
      <w:pPr>
        <w:spacing w:before="60" w:after="60"/>
      </w:pPr>
      <w:r>
        <w:t xml:space="preserve"/>
      </w:r>
    </w:p>
    <w:p>
      <w:pPr>
        <w:spacing w:before="60" w:after="80"/>
      </w:pPr>
      <w:r>
        <w:rPr>
          <w:rFonts w:ascii="Montserrat" w:cs="Montserrat" w:eastAsia="Montserrat" w:hAnsi="Montserrat"/>
          <w:color w:val="2C3E50"/>
          <w:sz w:val="22"/>
          <w:szCs w:val="22"/>
        </w:rPr>
        <w:t xml:space="preserve">This layer acts as the central data bridge of the entire Earthquake Monitoring and Warning System. It uses two NodeMCU V3 ESP8266 development boards and the MQTT protocol over Wi-Fi to ensure low-latency data transfer. When a seismic event is detected, the earthquake flag and intensity value are transmitted instantly to the Main Station for local alarm activation and to the Firebase Realtime Database for mobile/web notifications and statistical logging.</w:t>
      </w:r>
    </w:p>
    <w:p>
      <w:pPr>
        <w:pBdr>
          <w:bottom w:val="single" w:color="2E86AB" w:sz="8" w:space="6"/>
        </w:pBdr>
        <w:spacing w:before="400" w:after="200"/>
      </w:pPr>
      <w:r>
        <w:rPr>
          <w:rFonts w:ascii="Montserrat" w:cs="Montserrat" w:eastAsia="Montserrat" w:hAnsi="Montserrat"/>
          <w:b/>
          <w:bCs/>
          <w:color w:val="1A3C5E"/>
          <w:sz w:val="36"/>
          <w:szCs w:val="36"/>
        </w:rPr>
        <w:t xml:space="preserve">Hardware Requirements (HRD)</w:t>
      </w:r>
    </w:p>
    <w:p>
      <w:pPr>
        <w:spacing w:before="60" w:after="80"/>
      </w:pPr>
      <w:r>
        <w:rPr>
          <w:rFonts w:ascii="Montserrat" w:cs="Montserrat" w:eastAsia="Montserrat" w:hAnsi="Montserrat"/>
          <w:color w:val="2C3E50"/>
          <w:sz w:val="22"/>
          <w:szCs w:val="22"/>
        </w:rPr>
        <w:t xml:space="preserve">The IoT Communication and Data Bridge Layer requires two identical microcontroller platforms to establish Wi-Fi-based communication between the Sensor Station and the Main Control &amp; Alert Station. The components below are utilized specifically for this layer.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900"/>
        <w:gridCol w:w="2660"/>
      </w:tblGrid>
      <w:tr>
        <w:trPr>
          <w:tblHeader/>
        </w:trPr>
        <w:tc>
          <w:tcPr>
            <w:tcW w:type="dxa" w:w="2600"/>
            <w:tcBorders>
              <w:top w:val="single" w:color="C8DCE9" w:sz="1"/>
              <w:left w:val="single" w:color="C8DCE9" w:sz="1"/>
              <w:bottom w:val="single" w:color="C8DCE9" w:sz="1"/>
              <w:right w:val="single" w:color="C8DCE9" w:sz="1"/>
            </w:tcBorders>
            <w:shd w:fill="1A3C5E" w:val="clear"/>
            <w:tcMar>
              <w:top w:type="dxa" w:w="100"/>
              <w:left w:type="dxa" w:w="150"/>
              <w:bottom w:type="dxa" w:w="100"/>
              <w:right w:type="dxa" w:w="150"/>
            </w:tcMar>
            <w:vAlign w:val="center"/>
          </w:tcPr>
          <w:p>
            <w:pPr>
              <w:jc w:val="left"/>
            </w:pPr>
            <w:r>
              <w:rPr>
                <w:rFonts w:ascii="Montserrat" w:cs="Montserrat" w:eastAsia="Montserrat" w:hAnsi="Montserrat"/>
                <w:b/>
                <w:bCs/>
                <w:color w:val="FFFFFF"/>
                <w:sz w:val="20"/>
                <w:szCs w:val="20"/>
              </w:rPr>
              <w:t xml:space="preserve">Component</w:t>
            </w:r>
          </w:p>
        </w:tc>
        <w:tc>
          <w:tcPr>
            <w:tcW w:type="dxa" w:w="3200"/>
            <w:tcBorders>
              <w:top w:val="single" w:color="C8DCE9" w:sz="1"/>
              <w:left w:val="single" w:color="C8DCE9" w:sz="1"/>
              <w:bottom w:val="single" w:color="C8DCE9" w:sz="1"/>
              <w:right w:val="single" w:color="C8DCE9" w:sz="1"/>
            </w:tcBorders>
            <w:shd w:fill="1A3C5E" w:val="clear"/>
            <w:tcMar>
              <w:top w:type="dxa" w:w="100"/>
              <w:left w:type="dxa" w:w="150"/>
              <w:bottom w:type="dxa" w:w="100"/>
              <w:right w:type="dxa" w:w="150"/>
            </w:tcMar>
            <w:vAlign w:val="center"/>
          </w:tcPr>
          <w:p>
            <w:pPr>
              <w:jc w:val="left"/>
            </w:pPr>
            <w:r>
              <w:rPr>
                <w:rFonts w:ascii="Montserrat" w:cs="Montserrat" w:eastAsia="Montserrat" w:hAnsi="Montserrat"/>
                <w:b/>
                <w:bCs/>
                <w:color w:val="FFFFFF"/>
                <w:sz w:val="20"/>
                <w:szCs w:val="20"/>
              </w:rPr>
              <w:t xml:space="preserve">Description</w:t>
            </w:r>
          </w:p>
        </w:tc>
        <w:tc>
          <w:tcPr>
            <w:tcW w:type="dxa" w:w="900"/>
            <w:tcBorders>
              <w:top w:val="single" w:color="C8DCE9" w:sz="1"/>
              <w:left w:val="single" w:color="C8DCE9" w:sz="1"/>
              <w:bottom w:val="single" w:color="C8DCE9" w:sz="1"/>
              <w:right w:val="single" w:color="C8DCE9" w:sz="1"/>
            </w:tcBorders>
            <w:shd w:fill="1A3C5E" w:val="clear"/>
            <w:tcMar>
              <w:top w:type="dxa" w:w="100"/>
              <w:left w:type="dxa" w:w="150"/>
              <w:bottom w:type="dxa" w:w="100"/>
              <w:right w:type="dxa" w:w="150"/>
            </w:tcMar>
            <w:vAlign w:val="center"/>
          </w:tcPr>
          <w:p>
            <w:pPr>
              <w:jc w:val="left"/>
            </w:pPr>
            <w:r>
              <w:rPr>
                <w:rFonts w:ascii="Montserrat" w:cs="Montserrat" w:eastAsia="Montserrat" w:hAnsi="Montserrat"/>
                <w:b/>
                <w:bCs/>
                <w:color w:val="FFFFFF"/>
                <w:sz w:val="20"/>
                <w:szCs w:val="20"/>
              </w:rPr>
              <w:t xml:space="preserve">Qty</w:t>
            </w:r>
          </w:p>
        </w:tc>
        <w:tc>
          <w:tcPr>
            <w:tcW w:type="dxa" w:w="2660"/>
            <w:tcBorders>
              <w:top w:val="single" w:color="C8DCE9" w:sz="1"/>
              <w:left w:val="single" w:color="C8DCE9" w:sz="1"/>
              <w:bottom w:val="single" w:color="C8DCE9" w:sz="1"/>
              <w:right w:val="single" w:color="C8DCE9" w:sz="1"/>
            </w:tcBorders>
            <w:shd w:fill="1A3C5E" w:val="clear"/>
            <w:tcMar>
              <w:top w:type="dxa" w:w="100"/>
              <w:left w:type="dxa" w:w="150"/>
              <w:bottom w:type="dxa" w:w="100"/>
              <w:right w:type="dxa" w:w="150"/>
            </w:tcMar>
            <w:vAlign w:val="center"/>
          </w:tcPr>
          <w:p>
            <w:pPr>
              <w:jc w:val="left"/>
            </w:pPr>
            <w:r>
              <w:rPr>
                <w:rFonts w:ascii="Montserrat" w:cs="Montserrat" w:eastAsia="Montserrat" w:hAnsi="Montserrat"/>
                <w:b/>
                <w:bCs/>
                <w:color w:val="FFFFFF"/>
                <w:sz w:val="20"/>
                <w:szCs w:val="20"/>
              </w:rPr>
              <w:t xml:space="preserve">Purpose</w:t>
            </w:r>
          </w:p>
        </w:tc>
      </w:tr>
      <w:tr>
        <w:tc>
          <w:tcPr>
            <w:tcW w:type="dxa" w:w="260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bCs/>
                <w:color w:val="2C3E50"/>
                <w:sz w:val="20"/>
                <w:szCs w:val="20"/>
              </w:rPr>
              <w:t xml:space="preserve">Microcontroller</w:t>
            </w:r>
          </w:p>
        </w:tc>
        <w:tc>
          <w:tcPr>
            <w:tcW w:type="dxa" w:w="320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NodeMCU V3 ESP8266 ESP-12E (CH340)</w:t>
            </w:r>
          </w:p>
        </w:tc>
        <w:tc>
          <w:tcPr>
            <w:tcW w:type="dxa" w:w="90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2</w:t>
            </w:r>
          </w:p>
        </w:tc>
        <w:tc>
          <w:tcPr>
            <w:tcW w:type="dxa" w:w="266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Sensor Station &amp; Main Station</w:t>
            </w:r>
          </w:p>
        </w:tc>
      </w:tr>
      <w:tr>
        <w:tc>
          <w:tcPr>
            <w:tcW w:type="dxa" w:w="260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bCs/>
                <w:color w:val="2C3E50"/>
                <w:sz w:val="20"/>
                <w:szCs w:val="20"/>
              </w:rPr>
              <w:t xml:space="preserve">Breadboard</w:t>
            </w:r>
          </w:p>
        </w:tc>
        <w:tc>
          <w:tcPr>
            <w:tcW w:type="dxa" w:w="320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Medium Size Breadboard</w:t>
            </w:r>
          </w:p>
        </w:tc>
        <w:tc>
          <w:tcPr>
            <w:tcW w:type="dxa" w:w="90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2</w:t>
            </w:r>
          </w:p>
        </w:tc>
        <w:tc>
          <w:tcPr>
            <w:tcW w:type="dxa" w:w="266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Prototyping &amp; stable connections</w:t>
            </w:r>
          </w:p>
        </w:tc>
      </w:tr>
      <w:tr>
        <w:tc>
          <w:tcPr>
            <w:tcW w:type="dxa" w:w="260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bCs/>
                <w:color w:val="2C3E50"/>
                <w:sz w:val="20"/>
                <w:szCs w:val="20"/>
              </w:rPr>
              <w:t xml:space="preserve">Jumper Cables (M-F)</w:t>
            </w:r>
          </w:p>
        </w:tc>
        <w:tc>
          <w:tcPr>
            <w:tcW w:type="dxa" w:w="320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40-pin Male-to-Female, 200 mm</w:t>
            </w:r>
          </w:p>
        </w:tc>
        <w:tc>
          <w:tcPr>
            <w:tcW w:type="dxa" w:w="90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1 set</w:t>
            </w:r>
          </w:p>
        </w:tc>
        <w:tc>
          <w:tcPr>
            <w:tcW w:type="dxa" w:w="266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GPIO connections &amp; power distribution</w:t>
            </w:r>
          </w:p>
        </w:tc>
      </w:tr>
      <w:tr>
        <w:tc>
          <w:tcPr>
            <w:tcW w:type="dxa" w:w="260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bCs/>
                <w:color w:val="2C3E50"/>
                <w:sz w:val="20"/>
                <w:szCs w:val="20"/>
              </w:rPr>
              <w:t xml:space="preserve">Jumper Cables (M-M)</w:t>
            </w:r>
          </w:p>
        </w:tc>
        <w:tc>
          <w:tcPr>
            <w:tcW w:type="dxa" w:w="320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40-pin Male-to-Male, 200 mm</w:t>
            </w:r>
          </w:p>
        </w:tc>
        <w:tc>
          <w:tcPr>
            <w:tcW w:type="dxa" w:w="90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1 set</w:t>
            </w:r>
          </w:p>
        </w:tc>
        <w:tc>
          <w:tcPr>
            <w:tcW w:type="dxa" w:w="266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Breadboard wiring between components</w:t>
            </w:r>
          </w:p>
        </w:tc>
      </w:tr>
    </w:tbl>
    <w:p>
      <w:pPr>
        <w:spacing w:before="60" w:after="60"/>
      </w:pPr>
      <w:r>
        <w:t xml:space="preserve"/>
      </w:r>
    </w:p>
    <w:p>
      <w:pPr>
        <w:spacing w:before="200" w:after="80"/>
      </w:pPr>
      <w:r>
        <w:rPr>
          <w:rFonts w:ascii="Montserrat" w:cs="Montserrat" w:eastAsia="Montserrat" w:hAnsi="Montserrat"/>
          <w:b/>
          <w:bCs/>
          <w:color w:val="1A3C5E"/>
          <w:sz w:val="24"/>
          <w:szCs w:val="24"/>
        </w:rPr>
        <w:t xml:space="preserve">Power and Stability Requirements</w:t>
      </w:r>
    </w:p>
    <w:p>
      <w:pPr>
        <w:pStyle w:val="ListParagraph"/>
        <w:numPr>
          <w:ilvl w:val="0"/>
          <w:numId w:val="2"/>
        </w:numPr>
        <w:spacing w:before="40" w:after="40"/>
      </w:pPr>
      <w:r>
        <w:rPr>
          <w:rFonts w:ascii="Montserrat" w:cs="Montserrat" w:eastAsia="Montserrat" w:hAnsi="Montserrat"/>
          <w:color w:val="2C3E50"/>
          <w:sz w:val="22"/>
          <w:szCs w:val="22"/>
        </w:rPr>
        <w:t xml:space="preserve">Each NodeMCU must be supplied with a stable 5V / 3.3V power source capable of supporting continuous Wi-Fi operation.</w:t>
      </w:r>
    </w:p>
    <w:p>
      <w:pPr>
        <w:pStyle w:val="ListParagraph"/>
        <w:numPr>
          <w:ilvl w:val="0"/>
          <w:numId w:val="2"/>
        </w:numPr>
        <w:spacing w:before="40" w:after="40"/>
      </w:pPr>
      <w:r>
        <w:rPr>
          <w:rFonts w:ascii="Montserrat" w:cs="Montserrat" w:eastAsia="Montserrat" w:hAnsi="Montserrat"/>
          <w:color w:val="2C3E50"/>
          <w:sz w:val="22"/>
          <w:szCs w:val="22"/>
        </w:rPr>
        <w:t xml:space="preserve">The built-in Wi-Fi antenna on each NodeMCU is sufficient for home or laboratory environments; no external antenna is required.</w:t>
      </w:r>
    </w:p>
    <w:p>
      <w:pPr>
        <w:spacing w:before="60" w:after="60"/>
      </w:pPr>
      <w:r>
        <w:t xml:space="preserve"/>
      </w:r>
    </w:p>
    <w:p>
      <w:pPr>
        <w:spacing w:before="60" w:after="80"/>
      </w:pPr>
      <w:r>
        <w:rPr>
          <w:rFonts w:ascii="Montserrat" w:cs="Montserrat" w:eastAsia="Montserrat" w:hAnsi="Montserrat"/>
          <w:color w:val="2C3E50"/>
          <w:sz w:val="22"/>
          <w:szCs w:val="22"/>
        </w:rPr>
        <w:t xml:space="preserve">All hardware listed above is directly taken from the project component list and is sufficient for implementing the full IoT bridge functionality.</w:t>
      </w:r>
    </w:p>
    <w:p>
      <w:pPr>
        <w:pBdr>
          <w:bottom w:val="single" w:color="2E86AB" w:sz="8" w:space="6"/>
        </w:pBdr>
        <w:spacing w:before="400" w:after="200"/>
      </w:pPr>
      <w:r>
        <w:rPr>
          <w:rFonts w:ascii="Montserrat" w:cs="Montserrat" w:eastAsia="Montserrat" w:hAnsi="Montserrat"/>
          <w:b/>
          <w:bCs/>
          <w:color w:val="1A3C5E"/>
          <w:sz w:val="36"/>
          <w:szCs w:val="36"/>
        </w:rPr>
        <w:t xml:space="preserve">Software Requirements (SRS)</w:t>
      </w:r>
    </w:p>
    <w:p>
      <w:pPr>
        <w:spacing w:before="320" w:after="120"/>
      </w:pPr>
      <w:r>
        <w:rPr>
          <w:rFonts w:ascii="Montserrat" w:cs="Montserrat" w:eastAsia="Montserrat" w:hAnsi="Montserrat"/>
          <w:b/>
          <w:bCs/>
          <w:color w:val="2E86AB"/>
          <w:sz w:val="28"/>
          <w:szCs w:val="28"/>
        </w:rPr>
        <w:t xml:space="preserve">1. Functional Requirements</w:t>
      </w:r>
    </w:p>
    <w:p>
      <w:pPr>
        <w:spacing w:before="60" w:after="80"/>
      </w:pPr>
      <w:r>
        <w:rPr>
          <w:rFonts w:ascii="Montserrat" w:cs="Montserrat" w:eastAsia="Montserrat" w:hAnsi="Montserrat"/>
          <w:color w:val="2C3E50"/>
          <w:sz w:val="22"/>
          <w:szCs w:val="22"/>
        </w:rPr>
        <w:t xml:space="preserve">The IoT Communication and Data Bridge Layer shall provide the following functional capabilities:</w:t>
      </w:r>
    </w:p>
    <w:p>
      <w:pPr>
        <w:spacing w:before="60" w:after="60"/>
      </w:pPr>
      <w:r>
        <w:t xml:space="preserve"/>
      </w:r>
    </w:p>
    <w:p>
      <w:pPr>
        <w:pStyle w:val="ListParagraph"/>
        <w:numPr>
          <w:ilvl w:val="0"/>
          <w:numId w:val="3"/>
        </w:numPr>
        <w:spacing w:before="60" w:after="60"/>
      </w:pPr>
      <w:r>
        <w:rPr>
          <w:rFonts w:ascii="Montserrat" w:cs="Montserrat" w:eastAsia="Montserrat" w:hAnsi="Montserrat"/>
          <w:b/>
          <w:bCs/>
          <w:color w:val="2C3E50"/>
          <w:sz w:val="22"/>
          <w:szCs w:val="22"/>
        </w:rPr>
        <w:t xml:space="preserve">Data Reception from Sensor Station  </w:t>
      </w:r>
      <w:r>
        <w:rPr>
          <w:rFonts w:ascii="Montserrat" w:cs="Montserrat" w:eastAsia="Montserrat" w:hAnsi="Montserrat"/>
          <w:color w:val="2C3E50"/>
          <w:sz w:val="22"/>
          <w:szCs w:val="22"/>
        </w:rPr>
        <w:t xml:space="preserve">The layer shall receive seismic data packets sent from the Sensor Station in JSON format via MQTT protocol.</w:t>
      </w:r>
    </w:p>
    <w:p>
      <w:pPr>
        <w:pStyle w:val="ListParagraph"/>
        <w:numPr>
          <w:ilvl w:val="0"/>
          <w:numId w:val="3"/>
        </w:numPr>
        <w:spacing w:before="60" w:after="60"/>
      </w:pPr>
      <w:r>
        <w:rPr>
          <w:rFonts w:ascii="Montserrat" w:cs="Montserrat" w:eastAsia="Montserrat" w:hAnsi="Montserrat"/>
          <w:b/>
          <w:bCs/>
          <w:color w:val="2C3E50"/>
          <w:sz w:val="22"/>
          <w:szCs w:val="22"/>
        </w:rPr>
        <w:t xml:space="preserve">Real-time Data Forwarding  </w:t>
      </w:r>
      <w:r>
        <w:rPr>
          <w:rFonts w:ascii="Montserrat" w:cs="Montserrat" w:eastAsia="Montserrat" w:hAnsi="Montserrat"/>
          <w:color w:val="2C3E50"/>
          <w:sz w:val="22"/>
          <w:szCs w:val="22"/>
        </w:rPr>
        <w:t xml:space="preserve">Upon receiving a data packet, the layer shall instantly forward the same packet to:</w:t>
      </w:r>
    </w:p>
    <w:p>
      <w:pPr>
        <w:pStyle w:val="ListParagraph"/>
        <w:numPr>
          <w:ilvl w:val="0"/>
          <w:numId w:val="4"/>
        </w:numPr>
        <w:spacing w:before="30" w:after="30"/>
      </w:pPr>
      <w:r>
        <w:rPr>
          <w:rFonts w:ascii="Montserrat" w:cs="Montserrat" w:eastAsia="Montserrat" w:hAnsi="Montserrat"/>
          <w:b/>
          <w:bCs/>
          <w:color w:val="2C3E50"/>
          <w:sz w:val="21"/>
          <w:szCs w:val="21"/>
        </w:rPr>
        <w:t xml:space="preserve">Local alarm: </w:t>
      </w:r>
      <w:r>
        <w:rPr>
          <w:rFonts w:ascii="Montserrat" w:cs="Montserrat" w:eastAsia="Montserrat" w:hAnsi="Montserrat"/>
          <w:color w:val="5D6D7E"/>
          <w:sz w:val="21"/>
          <w:szCs w:val="21"/>
        </w:rPr>
        <w:t xml:space="preserve">The Main Control &amp; Alert Station for local alarm activation.</w:t>
      </w:r>
    </w:p>
    <w:p>
      <w:pPr>
        <w:pStyle w:val="ListParagraph"/>
        <w:numPr>
          <w:ilvl w:val="0"/>
          <w:numId w:val="4"/>
        </w:numPr>
        <w:spacing w:before="30" w:after="30"/>
      </w:pPr>
      <w:r>
        <w:rPr>
          <w:rFonts w:ascii="Montserrat" w:cs="Montserrat" w:eastAsia="Montserrat" w:hAnsi="Montserrat"/>
          <w:b/>
          <w:bCs/>
          <w:color w:val="2C3E50"/>
          <w:sz w:val="21"/>
          <w:szCs w:val="21"/>
        </w:rPr>
        <w:t xml:space="preserve">Cloud: </w:t>
      </w:r>
      <w:r>
        <w:rPr>
          <w:rFonts w:ascii="Montserrat" w:cs="Montserrat" w:eastAsia="Montserrat" w:hAnsi="Montserrat"/>
          <w:color w:val="5D6D7E"/>
          <w:sz w:val="21"/>
          <w:szCs w:val="21"/>
        </w:rPr>
        <w:t xml:space="preserve">The Firebase Cloud platform for mobile/web notifications and statistical logging.</w:t>
      </w:r>
    </w:p>
    <w:p>
      <w:pPr>
        <w:pStyle w:val="ListParagraph"/>
        <w:numPr>
          <w:ilvl w:val="0"/>
          <w:numId w:val="3"/>
        </w:numPr>
        <w:spacing w:before="60" w:after="60"/>
      </w:pPr>
      <w:r>
        <w:rPr>
          <w:rFonts w:ascii="Montserrat" w:cs="Montserrat" w:eastAsia="Montserrat" w:hAnsi="Montserrat"/>
          <w:b/>
          <w:bCs/>
          <w:color w:val="2C3E50"/>
          <w:sz w:val="22"/>
          <w:szCs w:val="22"/>
        </w:rPr>
        <w:t xml:space="preserve">Earthquake Alarm Prioritization  </w:t>
      </w:r>
      <w:r>
        <w:rPr>
          <w:rFonts w:ascii="Montserrat" w:cs="Montserrat" w:eastAsia="Montserrat" w:hAnsi="Montserrat"/>
          <w:color w:val="2C3E50"/>
          <w:sz w:val="22"/>
          <w:szCs w:val="22"/>
        </w:rPr>
        <w:t xml:space="preserve">When the "DEPREM" flag is set in the incoming packet, the layer shall transmit this alarm message with the highest priority to ensure minimum latency for both local buzzer/LED activation and cloud-based push notifications.</w:t>
      </w:r>
    </w:p>
    <w:p>
      <w:pPr>
        <w:pStyle w:val="ListParagraph"/>
        <w:numPr>
          <w:ilvl w:val="0"/>
          <w:numId w:val="3"/>
        </w:numPr>
        <w:spacing w:before="60" w:after="60"/>
      </w:pPr>
      <w:r>
        <w:rPr>
          <w:rFonts w:ascii="Montserrat" w:cs="Montserrat" w:eastAsia="Montserrat" w:hAnsi="Montserrat"/>
          <w:b/>
          <w:bCs/>
          <w:color w:val="2C3E50"/>
          <w:sz w:val="22"/>
          <w:szCs w:val="22"/>
        </w:rPr>
        <w:t xml:space="preserve">Bidirectional Communication Support  </w:t>
      </w:r>
      <w:r>
        <w:rPr>
          <w:rFonts w:ascii="Montserrat" w:cs="Montserrat" w:eastAsia="Montserrat" w:hAnsi="Montserrat"/>
          <w:color w:val="2C3E50"/>
          <w:sz w:val="22"/>
          <w:szCs w:val="22"/>
        </w:rPr>
        <w:t xml:space="preserve">The layer shall support bidirectional messaging, allowing the Main Station to send commands (e.g., "acknowledge", "silence alarm", "request historical data") back to the Sensor Station when necessary.</w:t>
      </w:r>
    </w:p>
    <w:p>
      <w:pPr>
        <w:pStyle w:val="ListParagraph"/>
        <w:numPr>
          <w:ilvl w:val="0"/>
          <w:numId w:val="3"/>
        </w:numPr>
        <w:spacing w:before="60" w:after="60"/>
      </w:pPr>
      <w:r>
        <w:rPr>
          <w:rFonts w:ascii="Montserrat" w:cs="Montserrat" w:eastAsia="Montserrat" w:hAnsi="Montserrat"/>
          <w:b/>
          <w:bCs/>
          <w:color w:val="2C3E50"/>
          <w:sz w:val="22"/>
          <w:szCs w:val="22"/>
        </w:rPr>
        <w:t xml:space="preserve">Scalability for Multiple Sensors  </w:t>
      </w:r>
      <w:r>
        <w:rPr>
          <w:rFonts w:ascii="Montserrat" w:cs="Montserrat" w:eastAsia="Montserrat" w:hAnsi="Montserrat"/>
          <w:color w:val="2C3E50"/>
          <w:sz w:val="22"/>
          <w:szCs w:val="22"/>
        </w:rPr>
        <w:t xml:space="preserve">The communication structure shall be designed to support future expansion, allowing multiple sensor stations to publish data to the same MQTT broker without requiring major code changes.</w:t>
      </w:r>
    </w:p>
    <w:p>
      <w:pPr>
        <w:pStyle w:val="ListParagraph"/>
        <w:numPr>
          <w:ilvl w:val="0"/>
          <w:numId w:val="3"/>
        </w:numPr>
        <w:spacing w:before="60" w:after="60"/>
      </w:pPr>
      <w:r>
        <w:rPr>
          <w:rFonts w:ascii="Montserrat" w:cs="Montserrat" w:eastAsia="Montserrat" w:hAnsi="Montserrat"/>
          <w:b/>
          <w:bCs/>
          <w:color w:val="2C3E50"/>
          <w:sz w:val="22"/>
          <w:szCs w:val="22"/>
        </w:rPr>
        <w:t xml:space="preserve">Cloud Integration  </w:t>
      </w:r>
      <w:r>
        <w:rPr>
          <w:rFonts w:ascii="Montserrat" w:cs="Montserrat" w:eastAsia="Montserrat" w:hAnsi="Montserrat"/>
          <w:color w:val="2C3E50"/>
          <w:sz w:val="22"/>
          <w:szCs w:val="22"/>
        </w:rPr>
        <w:t xml:space="preserve">The layer shall publish earthquake intensity (PGA/Richter value), timestamp, and alarm status to Firebase Realtime Database / Firestore for real-time dashboard visualization and e-mail/SMS notification services.</w:t>
      </w:r>
    </w:p>
    <w:p>
      <w:pPr>
        <w:spacing w:before="320" w:after="120"/>
      </w:pPr>
      <w:r>
        <w:rPr>
          <w:rFonts w:ascii="Montserrat" w:cs="Montserrat" w:eastAsia="Montserrat" w:hAnsi="Montserrat"/>
          <w:b/>
          <w:bCs/>
          <w:color w:val="2E86AB"/>
          <w:sz w:val="28"/>
          <w:szCs w:val="28"/>
        </w:rPr>
        <w:t xml:space="preserve">2. Non-Functional Requirements</w:t>
      </w:r>
    </w:p>
    <w:p>
      <w:pPr>
        <w:spacing w:before="60" w:after="80"/>
      </w:pPr>
      <w:r>
        <w:rPr>
          <w:rFonts w:ascii="Montserrat" w:cs="Montserrat" w:eastAsia="Montserrat" w:hAnsi="Montserrat"/>
          <w:color w:val="2C3E50"/>
          <w:sz w:val="22"/>
          <w:szCs w:val="22"/>
        </w:rPr>
        <w:t xml:space="preserve">The following table summarises the non-functional requirements of the IoT Communication and Data Bridge Layer: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8DCE9" w:sz="1"/>
              <w:left w:val="single" w:color="C8DCE9" w:sz="1"/>
              <w:bottom w:val="single" w:color="C8DCE9" w:sz="1"/>
              <w:right w:val="single" w:color="C8DCE9" w:sz="1"/>
            </w:tcBorders>
            <w:shd w:fill="1A3C5E" w:val="clear"/>
            <w:tcMar>
              <w:top w:type="dxa" w:w="100"/>
              <w:left w:type="dxa" w:w="150"/>
              <w:bottom w:type="dxa" w:w="100"/>
              <w:right w:type="dxa" w:w="150"/>
            </w:tcMar>
            <w:vAlign w:val="center"/>
          </w:tcPr>
          <w:p>
            <w:pPr>
              <w:jc w:val="left"/>
            </w:pPr>
            <w:r>
              <w:rPr>
                <w:rFonts w:ascii="Montserrat" w:cs="Montserrat" w:eastAsia="Montserrat" w:hAnsi="Montserrat"/>
                <w:b/>
                <w:bCs/>
                <w:color w:val="FFFFFF"/>
                <w:sz w:val="20"/>
                <w:szCs w:val="20"/>
              </w:rPr>
              <w:t xml:space="preserve">Requirement</w:t>
            </w:r>
          </w:p>
        </w:tc>
        <w:tc>
          <w:tcPr>
            <w:tcW w:type="dxa" w:w="6560"/>
            <w:tcBorders>
              <w:top w:val="single" w:color="C8DCE9" w:sz="1"/>
              <w:left w:val="single" w:color="C8DCE9" w:sz="1"/>
              <w:bottom w:val="single" w:color="C8DCE9" w:sz="1"/>
              <w:right w:val="single" w:color="C8DCE9" w:sz="1"/>
            </w:tcBorders>
            <w:shd w:fill="1A3C5E" w:val="clear"/>
            <w:tcMar>
              <w:top w:type="dxa" w:w="100"/>
              <w:left w:type="dxa" w:w="150"/>
              <w:bottom w:type="dxa" w:w="100"/>
              <w:right w:type="dxa" w:w="150"/>
            </w:tcMar>
            <w:vAlign w:val="center"/>
          </w:tcPr>
          <w:p>
            <w:pPr>
              <w:jc w:val="left"/>
            </w:pPr>
            <w:r>
              <w:rPr>
                <w:rFonts w:ascii="Montserrat" w:cs="Montserrat" w:eastAsia="Montserrat" w:hAnsi="Montserrat"/>
                <w:b/>
                <w:bCs/>
                <w:color w:val="FFFFFF"/>
                <w:sz w:val="20"/>
                <w:szCs w:val="20"/>
              </w:rPr>
              <w:t xml:space="preserve">Specification</w:t>
            </w:r>
          </w:p>
        </w:tc>
      </w:tr>
      <w:tr>
        <w:tc>
          <w:tcPr>
            <w:tcW w:type="dxa" w:w="280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bCs/>
                <w:color w:val="2C3E50"/>
                <w:sz w:val="20"/>
                <w:szCs w:val="20"/>
              </w:rPr>
              <w:t xml:space="preserve">Performance &amp; Latency</w:t>
            </w:r>
          </w:p>
        </w:tc>
        <w:tc>
          <w:tcPr>
            <w:tcW w:type="dxa" w:w="656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Max end-to-end latency ≤ 2 seconds under normal Wi-Fi conditions</w:t>
            </w:r>
          </w:p>
        </w:tc>
      </w:tr>
      <w:tr>
        <w:tc>
          <w:tcPr>
            <w:tcW w:type="dxa" w:w="280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bCs/>
                <w:color w:val="2C3E50"/>
                <w:sz w:val="20"/>
                <w:szCs w:val="20"/>
              </w:rPr>
              <w:t xml:space="preserve">Reliability &amp; Availability</w:t>
            </w:r>
          </w:p>
        </w:tc>
        <w:tc>
          <w:tcPr>
            <w:tcW w:type="dxa" w:w="656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Auto-reconnect to Wi-Fi within 5 sec; packet loss &lt; 1% under stable network</w:t>
            </w:r>
          </w:p>
        </w:tc>
      </w:tr>
      <w:tr>
        <w:tc>
          <w:tcPr>
            <w:tcW w:type="dxa" w:w="280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bCs/>
                <w:color w:val="2C3E50"/>
                <w:sz w:val="20"/>
                <w:szCs w:val="20"/>
              </w:rPr>
              <w:t xml:space="preserve">Fault Tolerance</w:t>
            </w:r>
          </w:p>
        </w:tc>
        <w:tc>
          <w:tcPr>
            <w:tcW w:type="dxa" w:w="656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Hardware Watchdog Timer on both NodeMCUs; auto-reset on software lock-up</w:t>
            </w:r>
          </w:p>
        </w:tc>
      </w:tr>
      <w:tr>
        <w:tc>
          <w:tcPr>
            <w:tcW w:type="dxa" w:w="280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bCs/>
                <w:color w:val="2C3E50"/>
                <w:sz w:val="20"/>
                <w:szCs w:val="20"/>
              </w:rPr>
              <w:t xml:space="preserve">Scalability</w:t>
            </w:r>
          </w:p>
        </w:tc>
        <w:tc>
          <w:tcPr>
            <w:tcW w:type="dxa" w:w="656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MQTT architecture supports up to 5 additional sensor stations without core code changes</w:t>
            </w:r>
          </w:p>
        </w:tc>
      </w:tr>
      <w:tr>
        <w:tc>
          <w:tcPr>
            <w:tcW w:type="dxa" w:w="280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bCs/>
                <w:color w:val="2C3E50"/>
                <w:sz w:val="20"/>
                <w:szCs w:val="20"/>
              </w:rPr>
              <w:t xml:space="preserve">Power Consumption</w:t>
            </w:r>
          </w:p>
        </w:tc>
        <w:tc>
          <w:tcPr>
            <w:tcW w:type="dxa" w:w="656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Modem-sleep / Light-sleep mode when idle; ≤ 20–80 mA active; no deep-sleep</w:t>
            </w:r>
          </w:p>
        </w:tc>
      </w:tr>
      <w:tr>
        <w:tc>
          <w:tcPr>
            <w:tcW w:type="dxa" w:w="280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bCs/>
                <w:color w:val="2C3E50"/>
                <w:sz w:val="20"/>
                <w:szCs w:val="20"/>
              </w:rPr>
              <w:t xml:space="preserve">Security</w:t>
            </w:r>
          </w:p>
        </w:tc>
        <w:tc>
          <w:tcPr>
            <w:tcW w:type="dxa" w:w="656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MQTT basic auth (username/password); Firebase API key + database security rules</w:t>
            </w:r>
          </w:p>
        </w:tc>
      </w:tr>
      <w:tr>
        <w:tc>
          <w:tcPr>
            <w:tcW w:type="dxa" w:w="280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bCs/>
                <w:color w:val="2C3E50"/>
                <w:sz w:val="20"/>
                <w:szCs w:val="20"/>
              </w:rPr>
              <w:t xml:space="preserve">Maintainability</w:t>
            </w:r>
          </w:p>
        </w:tc>
        <w:tc>
          <w:tcPr>
            <w:tcW w:type="dxa" w:w="656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Modular, well-commented code with consistent JSON key naming conventions</w:t>
            </w:r>
          </w:p>
        </w:tc>
      </w:tr>
    </w:tbl>
    <w:p>
      <w:pPr>
        <w:spacing w:before="320" w:after="120"/>
      </w:pPr>
      <w:r>
        <w:rPr>
          <w:rFonts w:ascii="Montserrat" w:cs="Montserrat" w:eastAsia="Montserrat" w:hAnsi="Montserrat"/>
          <w:b/>
          <w:bCs/>
          <w:color w:val="2E86AB"/>
          <w:sz w:val="28"/>
          <w:szCs w:val="28"/>
        </w:rPr>
        <w:t xml:space="preserve">3. Communication Protocols and Data Formats</w:t>
      </w:r>
    </w:p>
    <w:p>
      <w:pPr>
        <w:spacing w:before="200" w:after="80"/>
      </w:pPr>
      <w:r>
        <w:rPr>
          <w:rFonts w:ascii="Montserrat" w:cs="Montserrat" w:eastAsia="Montserrat" w:hAnsi="Montserrat"/>
          <w:b/>
          <w:bCs/>
          <w:color w:val="1A3C5E"/>
          <w:sz w:val="24"/>
          <w:szCs w:val="24"/>
        </w:rPr>
        <w:t xml:space="preserve">Communication Protocol</w:t>
      </w:r>
    </w:p>
    <w:p>
      <w:pPr>
        <w:pStyle w:val="ListParagraph"/>
        <w:numPr>
          <w:ilvl w:val="0"/>
          <w:numId w:val="2"/>
        </w:numPr>
        <w:spacing w:before="40" w:after="40"/>
      </w:pPr>
      <w:r>
        <w:rPr>
          <w:rFonts w:ascii="Montserrat" w:cs="Montserrat" w:eastAsia="Montserrat" w:hAnsi="Montserrat"/>
          <w:color w:val="2C3E50"/>
          <w:sz w:val="22"/>
          <w:szCs w:val="22"/>
        </w:rPr>
        <w:t xml:space="preserve">MQTT (Message Queuing Telemetry Transport) shall be the primary communication method between Sensor Station and Main Station.</w:t>
      </w:r>
    </w:p>
    <w:p>
      <w:pPr>
        <w:pStyle w:val="ListParagraph"/>
        <w:numPr>
          <w:ilvl w:val="0"/>
          <w:numId w:val="2"/>
        </w:numPr>
        <w:spacing w:before="40" w:after="40"/>
      </w:pPr>
      <w:r>
        <w:rPr>
          <w:rFonts w:ascii="Montserrat" w:cs="Montserrat" w:eastAsia="Montserrat" w:hAnsi="Montserrat"/>
          <w:color w:val="2C3E50"/>
          <w:sz w:val="22"/>
          <w:szCs w:val="22"/>
        </w:rPr>
        <w:t xml:space="preserve">A public MQTT broker (e.g. HiveMQ broker.hivemq.com) will serve as the central message broker for low-latency data exchange.</w:t>
      </w:r>
    </w:p>
    <w:p>
      <w:pPr>
        <w:pStyle w:val="ListParagraph"/>
        <w:numPr>
          <w:ilvl w:val="0"/>
          <w:numId w:val="2"/>
        </w:numPr>
        <w:spacing w:before="40" w:after="40"/>
      </w:pPr>
      <w:r>
        <w:rPr>
          <w:rFonts w:ascii="Montserrat" w:cs="Montserrat" w:eastAsia="Montserrat" w:hAnsi="Montserrat"/>
          <w:color w:val="2C3E50"/>
          <w:sz w:val="22"/>
          <w:szCs w:val="22"/>
        </w:rPr>
        <w:t xml:space="preserve">The Main Station NodeMCU will additionally forward critical data to Firebase Realtime Database using the FirebaseClient library (HTTP/WebSocket).</w:t>
      </w:r>
    </w:p>
    <w:p>
      <w:pPr>
        <w:spacing w:before="60" w:after="60"/>
      </w:pPr>
      <w:r>
        <w:t xml:space="preserve"/>
      </w:r>
    </w:p>
    <w:p>
      <w:pPr>
        <w:spacing w:before="200" w:after="80"/>
      </w:pPr>
      <w:r>
        <w:rPr>
          <w:rFonts w:ascii="Montserrat" w:cs="Montserrat" w:eastAsia="Montserrat" w:hAnsi="Montserrat"/>
          <w:b/>
          <w:bCs/>
          <w:color w:val="1A3C5E"/>
          <w:sz w:val="24"/>
          <w:szCs w:val="24"/>
        </w:rPr>
        <w:t xml:space="preserve">Data Format</w:t>
      </w:r>
    </w:p>
    <w:p>
      <w:pPr>
        <w:spacing w:before="60" w:after="80"/>
      </w:pPr>
      <w:r>
        <w:rPr>
          <w:rFonts w:ascii="Montserrat" w:cs="Montserrat" w:eastAsia="Montserrat" w:hAnsi="Montserrat"/>
          <w:color w:val="2C3E50"/>
          <w:sz w:val="22"/>
          <w:szCs w:val="22"/>
        </w:rPr>
        <w:t xml:space="preserve">All messages shall be transmitted in JSON format. JSON provides a lightweight, human-readable, and easily parseable structure suitable for resource-constrained ESP8266 devices.</w:t>
      </w:r>
    </w:p>
    <w:p>
      <w:pPr>
        <w:spacing w:before="60" w:after="60"/>
      </w:pPr>
      <w:r>
        <w:t xml:space="preserve"/>
      </w:r>
    </w:p>
    <w:p>
      <w:pPr>
        <w:spacing w:before="200" w:after="80"/>
      </w:pPr>
      <w:r>
        <w:rPr>
          <w:rFonts w:ascii="Montserrat" w:cs="Montserrat" w:eastAsia="Montserrat" w:hAnsi="Montserrat"/>
          <w:b/>
          <w:bCs/>
          <w:color w:val="1A3C5E"/>
          <w:sz w:val="24"/>
          <w:szCs w:val="24"/>
        </w:rPr>
        <w:t xml:space="preserve">MQTT Topic Structure</w:t>
      </w:r>
    </w:p>
    <w:p>
      <w:pPr>
        <w:spacing w:before="60" w:after="80"/>
      </w:pPr>
      <w:r>
        <w:rPr>
          <w:rFonts w:ascii="Montserrat" w:cs="Montserrat" w:eastAsia="Montserrat" w:hAnsi="Montserrat"/>
          <w:color w:val="2C3E50"/>
          <w:sz w:val="22"/>
          <w:szCs w:val="22"/>
        </w:rPr>
        <w:t xml:space="preserve">The following standardized, hierarchical MQTT topics shall be used: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rPr>
          <w:tblHeader/>
        </w:trPr>
        <w:tc>
          <w:tcPr>
            <w:tcW w:type="dxa" w:w="2500"/>
            <w:tcBorders>
              <w:top w:val="single" w:color="C8DCE9" w:sz="1"/>
              <w:left w:val="single" w:color="C8DCE9" w:sz="1"/>
              <w:bottom w:val="single" w:color="C8DCE9" w:sz="1"/>
              <w:right w:val="single" w:color="C8DCE9" w:sz="1"/>
            </w:tcBorders>
            <w:shd w:fill="1A3C5E" w:val="clear"/>
            <w:tcMar>
              <w:top w:type="dxa" w:w="100"/>
              <w:left w:type="dxa" w:w="150"/>
              <w:bottom w:type="dxa" w:w="100"/>
              <w:right w:type="dxa" w:w="150"/>
            </w:tcMar>
            <w:vAlign w:val="center"/>
          </w:tcPr>
          <w:p>
            <w:pPr>
              <w:jc w:val="left"/>
            </w:pPr>
            <w:r>
              <w:rPr>
                <w:rFonts w:ascii="Montserrat" w:cs="Montserrat" w:eastAsia="Montserrat" w:hAnsi="Montserrat"/>
                <w:b/>
                <w:bCs/>
                <w:color w:val="FFFFFF"/>
                <w:sz w:val="20"/>
                <w:szCs w:val="20"/>
              </w:rPr>
              <w:t xml:space="preserve">MQTT Topic</w:t>
            </w:r>
          </w:p>
        </w:tc>
        <w:tc>
          <w:tcPr>
            <w:tcW w:type="dxa" w:w="2000"/>
            <w:tcBorders>
              <w:top w:val="single" w:color="C8DCE9" w:sz="1"/>
              <w:left w:val="single" w:color="C8DCE9" w:sz="1"/>
              <w:bottom w:val="single" w:color="C8DCE9" w:sz="1"/>
              <w:right w:val="single" w:color="C8DCE9" w:sz="1"/>
            </w:tcBorders>
            <w:shd w:fill="1A3C5E" w:val="clear"/>
            <w:tcMar>
              <w:top w:type="dxa" w:w="100"/>
              <w:left w:type="dxa" w:w="150"/>
              <w:bottom w:type="dxa" w:w="100"/>
              <w:right w:type="dxa" w:w="150"/>
            </w:tcMar>
            <w:vAlign w:val="center"/>
          </w:tcPr>
          <w:p>
            <w:pPr>
              <w:jc w:val="left"/>
            </w:pPr>
            <w:r>
              <w:rPr>
                <w:rFonts w:ascii="Montserrat" w:cs="Montserrat" w:eastAsia="Montserrat" w:hAnsi="Montserrat"/>
                <w:b/>
                <w:bCs/>
                <w:color w:val="FFFFFF"/>
                <w:sz w:val="20"/>
                <w:szCs w:val="20"/>
              </w:rPr>
              <w:t xml:space="preserve">Publisher</w:t>
            </w:r>
          </w:p>
        </w:tc>
        <w:tc>
          <w:tcPr>
            <w:tcW w:type="dxa" w:w="2000"/>
            <w:tcBorders>
              <w:top w:val="single" w:color="C8DCE9" w:sz="1"/>
              <w:left w:val="single" w:color="C8DCE9" w:sz="1"/>
              <w:bottom w:val="single" w:color="C8DCE9" w:sz="1"/>
              <w:right w:val="single" w:color="C8DCE9" w:sz="1"/>
            </w:tcBorders>
            <w:shd w:fill="1A3C5E" w:val="clear"/>
            <w:tcMar>
              <w:top w:type="dxa" w:w="100"/>
              <w:left w:type="dxa" w:w="150"/>
              <w:bottom w:type="dxa" w:w="100"/>
              <w:right w:type="dxa" w:w="150"/>
            </w:tcMar>
            <w:vAlign w:val="center"/>
          </w:tcPr>
          <w:p>
            <w:pPr>
              <w:jc w:val="left"/>
            </w:pPr>
            <w:r>
              <w:rPr>
                <w:rFonts w:ascii="Montserrat" w:cs="Montserrat" w:eastAsia="Montserrat" w:hAnsi="Montserrat"/>
                <w:b/>
                <w:bCs/>
                <w:color w:val="FFFFFF"/>
                <w:sz w:val="20"/>
                <w:szCs w:val="20"/>
              </w:rPr>
              <w:t xml:space="preserve">Subscriber</w:t>
            </w:r>
          </w:p>
        </w:tc>
        <w:tc>
          <w:tcPr>
            <w:tcW w:type="dxa" w:w="2860"/>
            <w:tcBorders>
              <w:top w:val="single" w:color="C8DCE9" w:sz="1"/>
              <w:left w:val="single" w:color="C8DCE9" w:sz="1"/>
              <w:bottom w:val="single" w:color="C8DCE9" w:sz="1"/>
              <w:right w:val="single" w:color="C8DCE9" w:sz="1"/>
            </w:tcBorders>
            <w:shd w:fill="1A3C5E" w:val="clear"/>
            <w:tcMar>
              <w:top w:type="dxa" w:w="100"/>
              <w:left w:type="dxa" w:w="150"/>
              <w:bottom w:type="dxa" w:w="100"/>
              <w:right w:type="dxa" w:w="150"/>
            </w:tcMar>
            <w:vAlign w:val="center"/>
          </w:tcPr>
          <w:p>
            <w:pPr>
              <w:jc w:val="left"/>
            </w:pPr>
            <w:r>
              <w:rPr>
                <w:rFonts w:ascii="Montserrat" w:cs="Montserrat" w:eastAsia="Montserrat" w:hAnsi="Montserrat"/>
                <w:b/>
                <w:bCs/>
                <w:color w:val="FFFFFF"/>
                <w:sz w:val="20"/>
                <w:szCs w:val="20"/>
              </w:rPr>
              <w:t xml:space="preserve">Data / Purpose</w:t>
            </w:r>
          </w:p>
        </w:tc>
      </w:tr>
      <w:tr>
        <w:tc>
          <w:tcPr>
            <w:tcW w:type="dxa" w:w="250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bCs/>
                <w:color w:val="2C3E50"/>
                <w:sz w:val="20"/>
                <w:szCs w:val="20"/>
              </w:rPr>
              <w:t xml:space="preserve">sensors/{device_id}/data</w:t>
            </w:r>
          </w:p>
        </w:tc>
        <w:tc>
          <w:tcPr>
            <w:tcW w:type="dxa" w:w="200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Sensor Station</w:t>
            </w:r>
          </w:p>
        </w:tc>
        <w:tc>
          <w:tcPr>
            <w:tcW w:type="dxa" w:w="200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Main Station NodeMCU</w:t>
            </w:r>
          </w:p>
        </w:tc>
        <w:tc>
          <w:tcPr>
            <w:tcW w:type="dxa" w:w="286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Raw seismic data (PGA, flag, timestamp, accel)</w:t>
            </w:r>
          </w:p>
        </w:tc>
      </w:tr>
      <w:tr>
        <w:tc>
          <w:tcPr>
            <w:tcW w:type="dxa" w:w="250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bCs/>
                <w:color w:val="2C3E50"/>
                <w:sz w:val="20"/>
                <w:szCs w:val="20"/>
              </w:rPr>
              <w:t xml:space="preserve">alerts/main</w:t>
            </w:r>
          </w:p>
        </w:tc>
        <w:tc>
          <w:tcPr>
            <w:tcW w:type="dxa" w:w="200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Main Station NodeMCU (Bridge)</w:t>
            </w:r>
          </w:p>
        </w:tc>
        <w:tc>
          <w:tcPr>
            <w:tcW w:type="dxa" w:w="200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Main Control &amp; Alert Station</w:t>
            </w:r>
          </w:p>
        </w:tc>
        <w:tc>
          <w:tcPr>
            <w:tcW w:type="dxa" w:w="286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Forwarded earthquake packet for local alarm</w:t>
            </w:r>
          </w:p>
        </w:tc>
      </w:tr>
      <w:tr>
        <w:tc>
          <w:tcPr>
            <w:tcW w:type="dxa" w:w="250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bCs/>
                <w:color w:val="2C3E50"/>
                <w:sz w:val="20"/>
                <w:szCs w:val="20"/>
              </w:rPr>
              <w:t xml:space="preserve">cloud/earthquake_events</w:t>
            </w:r>
          </w:p>
        </w:tc>
        <w:tc>
          <w:tcPr>
            <w:tcW w:type="dxa" w:w="200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Main Station NodeMCU</w:t>
            </w:r>
          </w:p>
        </w:tc>
        <w:tc>
          <w:tcPr>
            <w:tcW w:type="dxa" w:w="200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Firebase Realtime Database</w:t>
            </w:r>
          </w:p>
        </w:tc>
        <w:tc>
          <w:tcPr>
            <w:tcW w:type="dxa" w:w="286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Critical data for cloud storage &amp; notifications</w:t>
            </w:r>
          </w:p>
        </w:tc>
      </w:tr>
      <w:tr>
        <w:tc>
          <w:tcPr>
            <w:tcW w:type="dxa" w:w="250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bCs/>
                <w:color w:val="2C3E50"/>
                <w:sz w:val="20"/>
                <w:szCs w:val="20"/>
              </w:rPr>
              <w:t xml:space="preserve">commands/main</w:t>
            </w:r>
          </w:p>
        </w:tc>
        <w:tc>
          <w:tcPr>
            <w:tcW w:type="dxa" w:w="200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Main Station Logic</w:t>
            </w:r>
          </w:p>
        </w:tc>
        <w:tc>
          <w:tcPr>
            <w:tcW w:type="dxa" w:w="200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Sensor Station</w:t>
            </w:r>
          </w:p>
        </w:tc>
        <w:tc>
          <w:tcPr>
            <w:tcW w:type="dxa" w:w="286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Commands: acknowledge, silence_alarm, test</w:t>
            </w:r>
          </w:p>
        </w:tc>
      </w:tr>
    </w:tbl>
    <w:p>
      <w:pPr>
        <w:spacing w:before="60" w:after="60"/>
      </w:pPr>
      <w:r>
        <w:t xml:space="preserve"/>
      </w:r>
    </w:p>
    <w:p>
      <w:pPr>
        <w:spacing w:before="200" w:after="80"/>
      </w:pPr>
      <w:r>
        <w:rPr>
          <w:rFonts w:ascii="Montserrat" w:cs="Montserrat" w:eastAsia="Montserrat" w:hAnsi="Montserrat"/>
          <w:b/>
          <w:bCs/>
          <w:color w:val="1A3C5E"/>
          <w:sz w:val="24"/>
          <w:szCs w:val="24"/>
        </w:rPr>
        <w:t xml:space="preserve">JSON Payload Example  (Sensor Station → Main Station NodeMCU)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CE9" w:sz="1"/>
              <w:left w:val="single" w:color="C8DCE9" w:sz="1"/>
              <w:bottom w:val="single" w:color="C8DCE9" w:sz="1"/>
              <w:right w:val="single" w:color="C8DCE9" w:sz="1"/>
            </w:tcBorders>
            <w:shd w:fill="1E2B3C" w:val="clear"/>
            <w:tcMar>
              <w:top w:type="dxa" w:w="120"/>
              <w:left w:type="dxa" w:w="200"/>
              <w:bottom w:type="dxa" w:w="120"/>
              <w:right w:type="dxa" w:w="200"/>
            </w:tcMar>
          </w:tcPr>
          <w:p>
            <w:pPr>
              <w:spacing w:before="20" w:after="20"/>
            </w:pPr>
            <w:r>
              <w:rPr>
                <w:rFonts w:ascii="Courier New" w:cs="Courier New" w:eastAsia="Courier New" w:hAnsi="Courier New"/>
                <w:color w:val="A8D8EA"/>
                <w:sz w:val="18"/>
                <w:szCs w:val="18"/>
              </w:rPr>
              <w:t xml:space="preserve">{</w:t>
            </w:r>
          </w:p>
          <w:p>
            <w:pPr>
              <w:spacing w:before="20" w:after="20"/>
            </w:pPr>
            <w:r>
              <w:rPr>
                <w:rFonts w:ascii="Courier New" w:cs="Courier New" w:eastAsia="Courier New" w:hAnsi="Courier New"/>
                <w:color w:val="A8D8EA"/>
                <w:sz w:val="18"/>
                <w:szCs w:val="18"/>
              </w:rPr>
              <w:t xml:space="preserve">  "device_id":    "SENSOR_01",</w:t>
            </w:r>
          </w:p>
          <w:p>
            <w:pPr>
              <w:spacing w:before="20" w:after="20"/>
            </w:pPr>
            <w:r>
              <w:rPr>
                <w:rFonts w:ascii="Courier New" w:cs="Courier New" w:eastAsia="Courier New" w:hAnsi="Courier New"/>
                <w:color w:val="A8D8EA"/>
                <w:sz w:val="18"/>
                <w:szCs w:val="18"/>
              </w:rPr>
              <w:t xml:space="preserve">  "timestamp":   "2026-03-26T15:30:45",</w:t>
            </w:r>
          </w:p>
          <w:p>
            <w:pPr>
              <w:spacing w:before="20" w:after="20"/>
            </w:pPr>
            <w:r>
              <w:rPr>
                <w:rFonts w:ascii="Courier New" w:cs="Courier New" w:eastAsia="Courier New" w:hAnsi="Courier New"/>
                <w:color w:val="A8D8EA"/>
                <w:sz w:val="18"/>
                <w:szCs w:val="18"/>
              </w:rPr>
              <w:t xml:space="preserve">  "pga":          0.85,</w:t>
            </w:r>
          </w:p>
          <w:p>
            <w:pPr>
              <w:spacing w:before="20" w:after="20"/>
            </w:pPr>
            <w:r>
              <w:rPr>
                <w:rFonts w:ascii="Courier New" w:cs="Courier New" w:eastAsia="Courier New" w:hAnsi="Courier New"/>
                <w:color w:val="A8D8EA"/>
                <w:sz w:val="18"/>
                <w:szCs w:val="18"/>
              </w:rPr>
              <w:t xml:space="preserve">  "richter":      4.2,</w:t>
            </w:r>
          </w:p>
          <w:p>
            <w:pPr>
              <w:spacing w:before="20" w:after="20"/>
            </w:pPr>
            <w:r>
              <w:rPr>
                <w:rFonts w:ascii="Courier New" w:cs="Courier New" w:eastAsia="Courier New" w:hAnsi="Courier New"/>
                <w:color w:val="A8D8EA"/>
                <w:sz w:val="18"/>
                <w:szCs w:val="18"/>
              </w:rPr>
              <w:t xml:space="preserve">  "deprem_flag":  true,</w:t>
            </w:r>
          </w:p>
          <w:p>
            <w:pPr>
              <w:spacing w:before="20" w:after="20"/>
            </w:pPr>
            <w:r>
              <w:rPr>
                <w:rFonts w:ascii="Courier New" w:cs="Courier New" w:eastAsia="Courier New" w:hAnsi="Courier New"/>
                <w:color w:val="A8D8EA"/>
                <w:sz w:val="18"/>
                <w:szCs w:val="18"/>
              </w:rPr>
              <w:t xml:space="preserve">  "accel_x":      0.45,</w:t>
            </w:r>
          </w:p>
          <w:p>
            <w:pPr>
              <w:spacing w:before="20" w:after="20"/>
            </w:pPr>
            <w:r>
              <w:rPr>
                <w:rFonts w:ascii="Courier New" w:cs="Courier New" w:eastAsia="Courier New" w:hAnsi="Courier New"/>
                <w:color w:val="A8D8EA"/>
                <w:sz w:val="18"/>
                <w:szCs w:val="18"/>
              </w:rPr>
              <w:t xml:space="preserve">  "accel_y":     -0.12,</w:t>
            </w:r>
          </w:p>
          <w:p>
            <w:pPr>
              <w:spacing w:before="20" w:after="20"/>
            </w:pPr>
            <w:r>
              <w:rPr>
                <w:rFonts w:ascii="Courier New" w:cs="Courier New" w:eastAsia="Courier New" w:hAnsi="Courier New"/>
                <w:color w:val="A8D8EA"/>
                <w:sz w:val="18"/>
                <w:szCs w:val="18"/>
              </w:rPr>
              <w:t xml:space="preserve">  "accel_z":      9.81</w:t>
            </w:r>
          </w:p>
          <w:p>
            <w:pPr>
              <w:spacing w:before="20" w:after="20"/>
            </w:pPr>
            <w:r>
              <w:rPr>
                <w:rFonts w:ascii="Courier New" w:cs="Courier New" w:eastAsia="Courier New" w:hAnsi="Courier New"/>
                <w:color w:val="A8D8EA"/>
                <w:sz w:val="18"/>
                <w:szCs w:val="18"/>
              </w:rPr>
              <w:t xml:space="preserve">}</w:t>
            </w:r>
          </w:p>
        </w:tc>
      </w:tr>
    </w:tbl>
    <w:p>
      <w:pPr>
        <w:spacing w:before="60" w:after="60"/>
      </w:pPr>
      <w:r>
        <w:t xml:space="preserve"/>
      </w:r>
    </w:p>
    <w:p>
      <w:pPr>
        <w:spacing w:before="60" w:after="80"/>
      </w:pPr>
      <w:r>
        <w:rPr>
          <w:rFonts w:ascii="Montserrat" w:cs="Montserrat" w:eastAsia="Montserrat" w:hAnsi="Montserrat"/>
          <w:i/>
          <w:iCs/>
          <w:color w:val="5D6D7E"/>
          <w:sz w:val="22"/>
          <w:szCs w:val="22"/>
        </w:rPr>
        <w:t xml:space="preserve">Note: The Bridge forwards the same JSON payload to the Main Station and Firebase without modification, ensuring simplicity and minimum latency.</w:t>
      </w:r>
    </w:p>
    <w:p>
      <w:pPr>
        <w:spacing w:before="320" w:after="120"/>
      </w:pPr>
      <w:r>
        <w:rPr>
          <w:rFonts w:ascii="Montserrat" w:cs="Montserrat" w:eastAsia="Montserrat" w:hAnsi="Montserrat"/>
          <w:b/>
          <w:bCs/>
          <w:color w:val="2E86AB"/>
          <w:sz w:val="28"/>
          <w:szCs w:val="28"/>
        </w:rPr>
        <w:t xml:space="preserve">4. Error Handling and Recovery Mechanisms</w:t>
      </w:r>
    </w:p>
    <w:p>
      <w:pPr>
        <w:spacing w:before="60" w:after="80"/>
      </w:pPr>
      <w:r>
        <w:rPr>
          <w:rFonts w:ascii="Montserrat" w:cs="Montserrat" w:eastAsia="Montserrat" w:hAnsi="Montserrat"/>
          <w:color w:val="2C3E50"/>
          <w:sz w:val="22"/>
          <w:szCs w:val="22"/>
        </w:rPr>
        <w:t xml:space="preserve">The IoT Communication and Data Bridge Layer shall include robust error handling and automatic recovery mechanisms to ensure continuous operation: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C8DCE9" w:sz="1"/>
              <w:left w:val="single" w:color="C8DCE9" w:sz="1"/>
              <w:bottom w:val="single" w:color="C8DCE9" w:sz="1"/>
              <w:right w:val="single" w:color="C8DCE9" w:sz="1"/>
            </w:tcBorders>
            <w:shd w:fill="1A3C5E" w:val="clear"/>
            <w:tcMar>
              <w:top w:type="dxa" w:w="100"/>
              <w:left w:type="dxa" w:w="150"/>
              <w:bottom w:type="dxa" w:w="100"/>
              <w:right w:type="dxa" w:w="150"/>
            </w:tcMar>
            <w:vAlign w:val="center"/>
          </w:tcPr>
          <w:p>
            <w:pPr>
              <w:jc w:val="left"/>
            </w:pPr>
            <w:r>
              <w:rPr>
                <w:rFonts w:ascii="Montserrat" w:cs="Montserrat" w:eastAsia="Montserrat" w:hAnsi="Montserrat"/>
                <w:b/>
                <w:bCs/>
                <w:color w:val="FFFFFF"/>
                <w:sz w:val="20"/>
                <w:szCs w:val="20"/>
              </w:rPr>
              <w:t xml:space="preserve">Error Condition</w:t>
            </w:r>
          </w:p>
        </w:tc>
        <w:tc>
          <w:tcPr>
            <w:tcW w:type="dxa" w:w="2500"/>
            <w:tcBorders>
              <w:top w:val="single" w:color="C8DCE9" w:sz="1"/>
              <w:left w:val="single" w:color="C8DCE9" w:sz="1"/>
              <w:bottom w:val="single" w:color="C8DCE9" w:sz="1"/>
              <w:right w:val="single" w:color="C8DCE9" w:sz="1"/>
            </w:tcBorders>
            <w:shd w:fill="1A3C5E" w:val="clear"/>
            <w:tcMar>
              <w:top w:type="dxa" w:w="100"/>
              <w:left w:type="dxa" w:w="150"/>
              <w:bottom w:type="dxa" w:w="100"/>
              <w:right w:type="dxa" w:w="150"/>
            </w:tcMar>
            <w:vAlign w:val="center"/>
          </w:tcPr>
          <w:p>
            <w:pPr>
              <w:jc w:val="left"/>
            </w:pPr>
            <w:r>
              <w:rPr>
                <w:rFonts w:ascii="Montserrat" w:cs="Montserrat" w:eastAsia="Montserrat" w:hAnsi="Montserrat"/>
                <w:b/>
                <w:bCs/>
                <w:color w:val="FFFFFF"/>
                <w:sz w:val="20"/>
                <w:szCs w:val="20"/>
              </w:rPr>
              <w:t xml:space="preserve">Detection Trigger</w:t>
            </w:r>
          </w:p>
        </w:tc>
        <w:tc>
          <w:tcPr>
            <w:tcW w:type="dxa" w:w="4660"/>
            <w:tcBorders>
              <w:top w:val="single" w:color="C8DCE9" w:sz="1"/>
              <w:left w:val="single" w:color="C8DCE9" w:sz="1"/>
              <w:bottom w:val="single" w:color="C8DCE9" w:sz="1"/>
              <w:right w:val="single" w:color="C8DCE9" w:sz="1"/>
            </w:tcBorders>
            <w:shd w:fill="1A3C5E" w:val="clear"/>
            <w:tcMar>
              <w:top w:type="dxa" w:w="100"/>
              <w:left w:type="dxa" w:w="150"/>
              <w:bottom w:type="dxa" w:w="100"/>
              <w:right w:type="dxa" w:w="150"/>
            </w:tcMar>
            <w:vAlign w:val="center"/>
          </w:tcPr>
          <w:p>
            <w:pPr>
              <w:jc w:val="left"/>
            </w:pPr>
            <w:r>
              <w:rPr>
                <w:rFonts w:ascii="Montserrat" w:cs="Montserrat" w:eastAsia="Montserrat" w:hAnsi="Montserrat"/>
                <w:b/>
                <w:bCs/>
                <w:color w:val="FFFFFF"/>
                <w:sz w:val="20"/>
                <w:szCs w:val="20"/>
              </w:rPr>
              <w:t xml:space="preserve">Recovery Action</w:t>
            </w:r>
          </w:p>
        </w:tc>
      </w:tr>
      <w:tr>
        <w:tc>
          <w:tcPr>
            <w:tcW w:type="dxa" w:w="220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bCs/>
                <w:color w:val="2C3E50"/>
                <w:sz w:val="20"/>
                <w:szCs w:val="20"/>
              </w:rPr>
              <w:t xml:space="preserve">Wi-Fi Connection Loss</w:t>
            </w:r>
          </w:p>
        </w:tc>
        <w:tc>
          <w:tcPr>
            <w:tcW w:type="dxa" w:w="250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Monitor continuously</w:t>
            </w:r>
          </w:p>
        </w:tc>
        <w:tc>
          <w:tcPr>
            <w:tcW w:type="dxa" w:w="466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Reconnect every 3 sec (max 10 attempts); restart after 30 sec via Watchdog</w:t>
            </w:r>
          </w:p>
        </w:tc>
      </w:tr>
      <w:tr>
        <w:tc>
          <w:tcPr>
            <w:tcW w:type="dxa" w:w="220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bCs/>
                <w:color w:val="2C3E50"/>
                <w:sz w:val="20"/>
                <w:szCs w:val="20"/>
              </w:rPr>
              <w:t xml:space="preserve">Watchdog Timer</w:t>
            </w:r>
          </w:p>
        </w:tc>
        <w:tc>
          <w:tcPr>
            <w:tcW w:type="dxa" w:w="250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Main loop fed every 4 sec</w:t>
            </w:r>
          </w:p>
        </w:tc>
        <w:tc>
          <w:tcPr>
            <w:tcW w:type="dxa" w:w="466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Auto-reset board; re-establish MQTT connection on restart</w:t>
            </w:r>
          </w:p>
        </w:tc>
      </w:tr>
      <w:tr>
        <w:tc>
          <w:tcPr>
            <w:tcW w:type="dxa" w:w="220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bCs/>
                <w:color w:val="2C3E50"/>
                <w:sz w:val="20"/>
                <w:szCs w:val="20"/>
              </w:rPr>
              <w:t xml:space="preserve">Packet Timeout</w:t>
            </w:r>
          </w:p>
        </w:tc>
        <w:tc>
          <w:tcPr>
            <w:tcW w:type="dxa" w:w="250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No data within 10 sec</w:t>
            </w:r>
          </w:p>
        </w:tc>
        <w:tc>
          <w:tcPr>
            <w:tcW w:type="dxa" w:w="466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Publish sensor_timeout warning to Main Station &amp; cloud; resume on next valid packet</w:t>
            </w:r>
          </w:p>
        </w:tc>
      </w:tr>
      <w:tr>
        <w:tc>
          <w:tcPr>
            <w:tcW w:type="dxa" w:w="220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bCs/>
                <w:color w:val="2C3E50"/>
                <w:sz w:val="20"/>
                <w:szCs w:val="20"/>
              </w:rPr>
              <w:t xml:space="preserve">Invalid JSON</w:t>
            </w:r>
          </w:p>
        </w:tc>
        <w:tc>
          <w:tcPr>
            <w:tcW w:type="dxa" w:w="250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Malformed / unparsable packet received</w:t>
            </w:r>
          </w:p>
        </w:tc>
        <w:tc>
          <w:tcPr>
            <w:tcW w:type="dxa" w:w="466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Discard with log entry; continue listening — no crash</w:t>
            </w:r>
          </w:p>
        </w:tc>
      </w:tr>
      <w:tr>
        <w:tc>
          <w:tcPr>
            <w:tcW w:type="dxa" w:w="220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bCs/>
                <w:color w:val="2C3E50"/>
                <w:sz w:val="20"/>
                <w:szCs w:val="20"/>
              </w:rPr>
              <w:t xml:space="preserve">MQTT / Firebase Disconnect</w:t>
            </w:r>
          </w:p>
        </w:tc>
        <w:tc>
          <w:tcPr>
            <w:tcW w:type="dxa" w:w="250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Broker unreachable</w:t>
            </w:r>
          </w:p>
        </w:tc>
        <w:tc>
          <w:tcPr>
            <w:tcW w:type="dxa" w:w="466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Queue last 5 messages in RAM; reconnect every 5 sec; publish queued msgs in order</w:t>
            </w:r>
          </w:p>
        </w:tc>
      </w:tr>
      <w:tr>
        <w:tc>
          <w:tcPr>
            <w:tcW w:type="dxa" w:w="220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bCs/>
                <w:color w:val="2C3E50"/>
                <w:sz w:val="20"/>
                <w:szCs w:val="20"/>
              </w:rPr>
              <w:t xml:space="preserve">Recovery Logging</w:t>
            </w:r>
          </w:p>
        </w:tc>
        <w:tc>
          <w:tcPr>
            <w:tcW w:type="dxa" w:w="250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Any error or recovery event</w:t>
            </w:r>
          </w:p>
        </w:tc>
        <w:tc>
          <w:tcPr>
            <w:tcW w:type="dxa" w:w="466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Print to Serial monitor; optionally publish to bridge/status MQTT topic</w:t>
            </w:r>
          </w:p>
        </w:tc>
      </w:tr>
    </w:tbl>
    <w:p>
      <w:pPr>
        <w:spacing w:before="60" w:after="60"/>
      </w:pPr>
      <w:r>
        <w:t xml:space="preserve"/>
      </w:r>
    </w:p>
    <w:p>
      <w:pPr>
        <w:spacing w:before="60" w:after="80"/>
      </w:pPr>
      <w:r>
        <w:rPr>
          <w:rFonts w:ascii="Montserrat" w:cs="Montserrat" w:eastAsia="Montserrat" w:hAnsi="Montserrat"/>
          <w:i/>
          <w:iCs/>
          <w:color w:val="2C3E50"/>
          <w:sz w:val="22"/>
          <w:szCs w:val="22"/>
        </w:rPr>
        <w:t xml:space="preserve">These mechanisms guarantee that the system remains operational even under unstable network conditions, which is critical for a real-time earthquake warning system.</w:t>
      </w:r>
    </w:p>
    <w:p>
      <w:pPr>
        <w:spacing w:before="320" w:after="120"/>
      </w:pPr>
      <w:r>
        <w:rPr>
          <w:rFonts w:ascii="Montserrat" w:cs="Montserrat" w:eastAsia="Montserrat" w:hAnsi="Montserrat"/>
          <w:b/>
          <w:bCs/>
          <w:color w:val="2E86AB"/>
          <w:sz w:val="28"/>
          <w:szCs w:val="28"/>
        </w:rPr>
        <w:t xml:space="preserve">5. Interfaces</w:t>
      </w:r>
    </w:p>
    <w:p>
      <w:pPr>
        <w:spacing w:before="60" w:after="80"/>
      </w:pPr>
      <w:r>
        <w:rPr>
          <w:rFonts w:ascii="Montserrat" w:cs="Montserrat" w:eastAsia="Montserrat" w:hAnsi="Montserrat"/>
          <w:color w:val="2C3E50"/>
          <w:sz w:val="22"/>
          <w:szCs w:val="22"/>
        </w:rPr>
        <w:t xml:space="preserve">The IoT Communication and Data Bridge Layer defines the following interfaces to ensure seamless integration with the other layers and the cloud. All interfaces use the PubSubClient library on ESP8266 and follow a consistent JSON schema to minimize parsing errors between layers.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360"/>
      </w:tblGrid>
      <w:tr>
        <w:trPr>
          <w:tblHeader/>
        </w:trPr>
        <w:tc>
          <w:tcPr>
            <w:tcW w:type="dxa" w:w="2400"/>
            <w:tcBorders>
              <w:top w:val="single" w:color="C8DCE9" w:sz="1"/>
              <w:left w:val="single" w:color="C8DCE9" w:sz="1"/>
              <w:bottom w:val="single" w:color="C8DCE9" w:sz="1"/>
              <w:right w:val="single" w:color="C8DCE9" w:sz="1"/>
            </w:tcBorders>
            <w:shd w:fill="1A3C5E" w:val="clear"/>
            <w:tcMar>
              <w:top w:type="dxa" w:w="100"/>
              <w:left w:type="dxa" w:w="150"/>
              <w:bottom w:type="dxa" w:w="100"/>
              <w:right w:type="dxa" w:w="150"/>
            </w:tcMar>
            <w:vAlign w:val="center"/>
          </w:tcPr>
          <w:p>
            <w:pPr>
              <w:jc w:val="left"/>
            </w:pPr>
            <w:r>
              <w:rPr>
                <w:rFonts w:ascii="Montserrat" w:cs="Montserrat" w:eastAsia="Montserrat" w:hAnsi="Montserrat"/>
                <w:b/>
                <w:bCs/>
                <w:color w:val="FFFFFF"/>
                <w:sz w:val="20"/>
                <w:szCs w:val="20"/>
              </w:rPr>
              <w:t xml:space="preserve">Interface</w:t>
            </w:r>
          </w:p>
        </w:tc>
        <w:tc>
          <w:tcPr>
            <w:tcW w:type="dxa" w:w="2000"/>
            <w:tcBorders>
              <w:top w:val="single" w:color="C8DCE9" w:sz="1"/>
              <w:left w:val="single" w:color="C8DCE9" w:sz="1"/>
              <w:bottom w:val="single" w:color="C8DCE9" w:sz="1"/>
              <w:right w:val="single" w:color="C8DCE9" w:sz="1"/>
            </w:tcBorders>
            <w:shd w:fill="1A3C5E" w:val="clear"/>
            <w:tcMar>
              <w:top w:type="dxa" w:w="100"/>
              <w:left w:type="dxa" w:w="150"/>
              <w:bottom w:type="dxa" w:w="100"/>
              <w:right w:type="dxa" w:w="150"/>
            </w:tcMar>
            <w:vAlign w:val="center"/>
          </w:tcPr>
          <w:p>
            <w:pPr>
              <w:jc w:val="left"/>
            </w:pPr>
            <w:r>
              <w:rPr>
                <w:rFonts w:ascii="Montserrat" w:cs="Montserrat" w:eastAsia="Montserrat" w:hAnsi="Montserrat"/>
                <w:b/>
                <w:bCs/>
                <w:color w:val="FFFFFF"/>
                <w:sz w:val="20"/>
                <w:szCs w:val="20"/>
              </w:rPr>
              <w:t xml:space="preserve">Protocol</w:t>
            </w:r>
          </w:p>
        </w:tc>
        <w:tc>
          <w:tcPr>
            <w:tcW w:type="dxa" w:w="1600"/>
            <w:tcBorders>
              <w:top w:val="single" w:color="C8DCE9" w:sz="1"/>
              <w:left w:val="single" w:color="C8DCE9" w:sz="1"/>
              <w:bottom w:val="single" w:color="C8DCE9" w:sz="1"/>
              <w:right w:val="single" w:color="C8DCE9" w:sz="1"/>
            </w:tcBorders>
            <w:shd w:fill="1A3C5E" w:val="clear"/>
            <w:tcMar>
              <w:top w:type="dxa" w:w="100"/>
              <w:left w:type="dxa" w:w="150"/>
              <w:bottom w:type="dxa" w:w="100"/>
              <w:right w:type="dxa" w:w="150"/>
            </w:tcMar>
            <w:vAlign w:val="center"/>
          </w:tcPr>
          <w:p>
            <w:pPr>
              <w:jc w:val="left"/>
            </w:pPr>
            <w:r>
              <w:rPr>
                <w:rFonts w:ascii="Montserrat" w:cs="Montserrat" w:eastAsia="Montserrat" w:hAnsi="Montserrat"/>
                <w:b/>
                <w:bCs/>
                <w:color w:val="FFFFFF"/>
                <w:sz w:val="20"/>
                <w:szCs w:val="20"/>
              </w:rPr>
              <w:t xml:space="preserve">Direction</w:t>
            </w:r>
          </w:p>
        </w:tc>
        <w:tc>
          <w:tcPr>
            <w:tcW w:type="dxa" w:w="3360"/>
            <w:tcBorders>
              <w:top w:val="single" w:color="C8DCE9" w:sz="1"/>
              <w:left w:val="single" w:color="C8DCE9" w:sz="1"/>
              <w:bottom w:val="single" w:color="C8DCE9" w:sz="1"/>
              <w:right w:val="single" w:color="C8DCE9" w:sz="1"/>
            </w:tcBorders>
            <w:shd w:fill="1A3C5E" w:val="clear"/>
            <w:tcMar>
              <w:top w:type="dxa" w:w="100"/>
              <w:left w:type="dxa" w:w="150"/>
              <w:bottom w:type="dxa" w:w="100"/>
              <w:right w:type="dxa" w:w="150"/>
            </w:tcMar>
            <w:vAlign w:val="center"/>
          </w:tcPr>
          <w:p>
            <w:pPr>
              <w:jc w:val="left"/>
            </w:pPr>
            <w:r>
              <w:rPr>
                <w:rFonts w:ascii="Montserrat" w:cs="Montserrat" w:eastAsia="Montserrat" w:hAnsi="Montserrat"/>
                <w:b/>
                <w:bCs/>
                <w:color w:val="FFFFFF"/>
                <w:sz w:val="20"/>
                <w:szCs w:val="20"/>
              </w:rPr>
              <w:t xml:space="preserve">Data</w:t>
            </w:r>
          </w:p>
        </w:tc>
      </w:tr>
      <w:tr>
        <w:tc>
          <w:tcPr>
            <w:tcW w:type="dxa" w:w="240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bCs/>
                <w:color w:val="2C3E50"/>
                <w:sz w:val="20"/>
                <w:szCs w:val="20"/>
              </w:rPr>
              <w:t xml:space="preserve">Sensor Station (Group 1)</w:t>
            </w:r>
          </w:p>
        </w:tc>
        <w:tc>
          <w:tcPr>
            <w:tcW w:type="dxa" w:w="200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MQTT Pub/Sub</w:t>
            </w:r>
          </w:p>
        </w:tc>
        <w:tc>
          <w:tcPr>
            <w:tcW w:type="dxa" w:w="160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One-way →</w:t>
            </w:r>
          </w:p>
        </w:tc>
        <w:tc>
          <w:tcPr>
            <w:tcW w:type="dxa" w:w="336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JSON: PGA, Richter, deprem_flag, accel_x/y/z, timestamp</w:t>
            </w:r>
          </w:p>
        </w:tc>
      </w:tr>
      <w:tr>
        <w:tc>
          <w:tcPr>
            <w:tcW w:type="dxa" w:w="240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bCs/>
                <w:color w:val="2C3E50"/>
                <w:sz w:val="20"/>
                <w:szCs w:val="20"/>
              </w:rPr>
              <w:t xml:space="preserve">Main Control &amp; Alert Station (Group 2)</w:t>
            </w:r>
          </w:p>
        </w:tc>
        <w:tc>
          <w:tcPr>
            <w:tcW w:type="dxa" w:w="200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MQTT Pub/Sub</w:t>
            </w:r>
          </w:p>
        </w:tc>
        <w:tc>
          <w:tcPr>
            <w:tcW w:type="dxa" w:w="160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Bidirectional ↔</w:t>
            </w:r>
          </w:p>
        </w:tc>
        <w:tc>
          <w:tcPr>
            <w:tcW w:type="dxa" w:w="336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Same JSON structure; commands: acknowledge, silence_alarm</w:t>
            </w:r>
          </w:p>
        </w:tc>
      </w:tr>
      <w:tr>
        <w:tc>
          <w:tcPr>
            <w:tcW w:type="dxa" w:w="240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bCs/>
                <w:color w:val="2C3E50"/>
                <w:sz w:val="20"/>
                <w:szCs w:val="20"/>
              </w:rPr>
              <w:t xml:space="preserve">Firebase Cloud</w:t>
            </w:r>
          </w:p>
        </w:tc>
        <w:tc>
          <w:tcPr>
            <w:tcW w:type="dxa" w:w="200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Firebase SDK (HTTP/WebSocket)</w:t>
            </w:r>
          </w:p>
        </w:tc>
        <w:tc>
          <w:tcPr>
            <w:tcW w:type="dxa" w:w="160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One-way →</w:t>
            </w:r>
          </w:p>
        </w:tc>
        <w:tc>
          <w:tcPr>
            <w:tcW w:type="dxa" w:w="336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Earthquake intensity, timestamp, alarm status → /earthquake_events/{id}</w:t>
            </w:r>
          </w:p>
        </w:tc>
      </w:tr>
      <w:tr>
        <w:tc>
          <w:tcPr>
            <w:tcW w:type="dxa" w:w="240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bCs/>
                <w:color w:val="2C3E50"/>
                <w:sz w:val="20"/>
                <w:szCs w:val="20"/>
              </w:rPr>
              <w:t xml:space="preserve">Debug / Monitoring</w:t>
            </w:r>
          </w:p>
        </w:tc>
        <w:tc>
          <w:tcPr>
            <w:tcW w:type="dxa" w:w="200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Serial (USB)</w:t>
            </w:r>
          </w:p>
        </w:tc>
        <w:tc>
          <w:tcPr>
            <w:tcW w:type="dxa" w:w="160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Local only</w:t>
            </w:r>
          </w:p>
        </w:tc>
        <w:tc>
          <w:tcPr>
            <w:tcW w:type="dxa" w:w="336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Real-time debug logs during development and testing</w:t>
            </w:r>
          </w:p>
        </w:tc>
      </w:tr>
    </w:tbl>
    <w:p>
      <w:pPr>
        <w:spacing w:before="320" w:after="120"/>
      </w:pPr>
      <w:r>
        <w:rPr>
          <w:rFonts w:ascii="Montserrat" w:cs="Montserrat" w:eastAsia="Montserrat" w:hAnsi="Montserrat"/>
          <w:b/>
          <w:bCs/>
          <w:color w:val="2E86AB"/>
          <w:sz w:val="28"/>
          <w:szCs w:val="28"/>
        </w:rPr>
        <w:t xml:space="preserve">6. System Flow</w:t>
      </w:r>
    </w:p>
    <w:p>
      <w:pPr>
        <w:spacing w:before="60" w:after="80"/>
      </w:pPr>
      <w:r>
        <w:rPr>
          <w:rFonts w:ascii="Montserrat" w:cs="Montserrat" w:eastAsia="Montserrat" w:hAnsi="Montserrat"/>
          <w:color w:val="2C3E50"/>
          <w:sz w:val="22"/>
          <w:szCs w:val="22"/>
        </w:rPr>
        <w:t xml:space="preserve">The IoT Communication and Data Bridge Layer follows a simple, event-driven data flow to ensure real-time operation: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600"/>
        <w:gridCol w:w="4160"/>
      </w:tblGrid>
      <w:tr>
        <w:trPr>
          <w:tblHeader/>
        </w:trPr>
        <w:tc>
          <w:tcPr>
            <w:tcW w:type="dxa" w:w="600"/>
            <w:tcBorders>
              <w:top w:val="single" w:color="C8DCE9" w:sz="1"/>
              <w:left w:val="single" w:color="C8DCE9" w:sz="1"/>
              <w:bottom w:val="single" w:color="C8DCE9" w:sz="1"/>
              <w:right w:val="single" w:color="C8DCE9" w:sz="1"/>
            </w:tcBorders>
            <w:shd w:fill="1A3C5E" w:val="clear"/>
            <w:tcMar>
              <w:top w:type="dxa" w:w="100"/>
              <w:left w:type="dxa" w:w="150"/>
              <w:bottom w:type="dxa" w:w="100"/>
              <w:right w:type="dxa" w:w="150"/>
            </w:tcMar>
            <w:vAlign w:val="center"/>
          </w:tcPr>
          <w:p>
            <w:pPr>
              <w:jc w:val="left"/>
            </w:pPr>
            <w:r>
              <w:rPr>
                <w:rFonts w:ascii="Montserrat" w:cs="Montserrat" w:eastAsia="Montserrat" w:hAnsi="Montserrat"/>
                <w:b/>
                <w:bCs/>
                <w:color w:val="FFFFFF"/>
                <w:sz w:val="20"/>
                <w:szCs w:val="20"/>
              </w:rPr>
              <w:t xml:space="preserve">#</w:t>
            </w:r>
          </w:p>
        </w:tc>
        <w:tc>
          <w:tcPr>
            <w:tcW w:type="dxa" w:w="2000"/>
            <w:tcBorders>
              <w:top w:val="single" w:color="C8DCE9" w:sz="1"/>
              <w:left w:val="single" w:color="C8DCE9" w:sz="1"/>
              <w:bottom w:val="single" w:color="C8DCE9" w:sz="1"/>
              <w:right w:val="single" w:color="C8DCE9" w:sz="1"/>
            </w:tcBorders>
            <w:shd w:fill="1A3C5E" w:val="clear"/>
            <w:tcMar>
              <w:top w:type="dxa" w:w="100"/>
              <w:left w:type="dxa" w:w="150"/>
              <w:bottom w:type="dxa" w:w="100"/>
              <w:right w:type="dxa" w:w="150"/>
            </w:tcMar>
            <w:vAlign w:val="center"/>
          </w:tcPr>
          <w:p>
            <w:pPr>
              <w:jc w:val="left"/>
            </w:pPr>
            <w:r>
              <w:rPr>
                <w:rFonts w:ascii="Montserrat" w:cs="Montserrat" w:eastAsia="Montserrat" w:hAnsi="Montserrat"/>
                <w:b/>
                <w:bCs/>
                <w:color w:val="FFFFFF"/>
                <w:sz w:val="20"/>
                <w:szCs w:val="20"/>
              </w:rPr>
              <w:t xml:space="preserve">Step</w:t>
            </w:r>
          </w:p>
        </w:tc>
        <w:tc>
          <w:tcPr>
            <w:tcW w:type="dxa" w:w="2600"/>
            <w:tcBorders>
              <w:top w:val="single" w:color="C8DCE9" w:sz="1"/>
              <w:left w:val="single" w:color="C8DCE9" w:sz="1"/>
              <w:bottom w:val="single" w:color="C8DCE9" w:sz="1"/>
              <w:right w:val="single" w:color="C8DCE9" w:sz="1"/>
            </w:tcBorders>
            <w:shd w:fill="1A3C5E" w:val="clear"/>
            <w:tcMar>
              <w:top w:type="dxa" w:w="100"/>
              <w:left w:type="dxa" w:w="150"/>
              <w:bottom w:type="dxa" w:w="100"/>
              <w:right w:type="dxa" w:w="150"/>
            </w:tcMar>
            <w:vAlign w:val="center"/>
          </w:tcPr>
          <w:p>
            <w:pPr>
              <w:jc w:val="left"/>
            </w:pPr>
            <w:r>
              <w:rPr>
                <w:rFonts w:ascii="Montserrat" w:cs="Montserrat" w:eastAsia="Montserrat" w:hAnsi="Montserrat"/>
                <w:b/>
                <w:bCs/>
                <w:color w:val="FFFFFF"/>
                <w:sz w:val="20"/>
                <w:szCs w:val="20"/>
              </w:rPr>
              <w:t xml:space="preserve">Actor</w:t>
            </w:r>
          </w:p>
        </w:tc>
        <w:tc>
          <w:tcPr>
            <w:tcW w:type="dxa" w:w="4160"/>
            <w:tcBorders>
              <w:top w:val="single" w:color="C8DCE9" w:sz="1"/>
              <w:left w:val="single" w:color="C8DCE9" w:sz="1"/>
              <w:bottom w:val="single" w:color="C8DCE9" w:sz="1"/>
              <w:right w:val="single" w:color="C8DCE9" w:sz="1"/>
            </w:tcBorders>
            <w:shd w:fill="1A3C5E" w:val="clear"/>
            <w:tcMar>
              <w:top w:type="dxa" w:w="100"/>
              <w:left w:type="dxa" w:w="150"/>
              <w:bottom w:type="dxa" w:w="100"/>
              <w:right w:type="dxa" w:w="150"/>
            </w:tcMar>
            <w:vAlign w:val="center"/>
          </w:tcPr>
          <w:p>
            <w:pPr>
              <w:jc w:val="left"/>
            </w:pPr>
            <w:r>
              <w:rPr>
                <w:rFonts w:ascii="Montserrat" w:cs="Montserrat" w:eastAsia="Montserrat" w:hAnsi="Montserrat"/>
                <w:b/>
                <w:bCs/>
                <w:color w:val="FFFFFF"/>
                <w:sz w:val="20"/>
                <w:szCs w:val="20"/>
              </w:rPr>
              <w:t xml:space="preserve">Action / Output</w:t>
            </w:r>
          </w:p>
        </w:tc>
      </w:tr>
      <w:tr>
        <w:tc>
          <w:tcPr>
            <w:tcW w:type="dxa" w:w="60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bCs/>
                <w:color w:val="2C3E50"/>
                <w:sz w:val="20"/>
                <w:szCs w:val="20"/>
              </w:rPr>
              <w:t xml:space="preserve">1</w:t>
            </w:r>
          </w:p>
        </w:tc>
        <w:tc>
          <w:tcPr>
            <w:tcW w:type="dxa" w:w="200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bCs/>
                <w:color w:val="2C3E50"/>
                <w:sz w:val="20"/>
                <w:szCs w:val="20"/>
              </w:rPr>
              <w:t xml:space="preserve">Data Acquisition</w:t>
            </w:r>
          </w:p>
        </w:tc>
        <w:tc>
          <w:tcPr>
            <w:tcW w:type="dxa" w:w="260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Sensor Station (Group 1)</w:t>
            </w:r>
          </w:p>
        </w:tc>
        <w:tc>
          <w:tcPr>
            <w:tcW w:type="dxa" w:w="416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Reads MPU6050 continuously; publishes JSON to sensors/{device_id}/data</w:t>
            </w:r>
          </w:p>
        </w:tc>
      </w:tr>
      <w:tr>
        <w:tc>
          <w:tcPr>
            <w:tcW w:type="dxa" w:w="60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bCs/>
                <w:color w:val="2C3E50"/>
                <w:sz w:val="20"/>
                <w:szCs w:val="20"/>
              </w:rPr>
              <w:t xml:space="preserve">2</w:t>
            </w:r>
          </w:p>
        </w:tc>
        <w:tc>
          <w:tcPr>
            <w:tcW w:type="dxa" w:w="200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bCs/>
                <w:color w:val="2C3E50"/>
                <w:sz w:val="20"/>
                <w:szCs w:val="20"/>
              </w:rPr>
              <w:t xml:space="preserve">Data Reception</w:t>
            </w:r>
          </w:p>
        </w:tc>
        <w:tc>
          <w:tcPr>
            <w:tcW w:type="dxa" w:w="260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Main Station NodeMCU (Bridge)</w:t>
            </w:r>
          </w:p>
        </w:tc>
        <w:tc>
          <w:tcPr>
            <w:tcW w:type="dxa" w:w="416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Subscribes to sensors/{device_id}/data; receives valid JSON packet</w:t>
            </w:r>
          </w:p>
        </w:tc>
      </w:tr>
      <w:tr>
        <w:tc>
          <w:tcPr>
            <w:tcW w:type="dxa" w:w="60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bCs/>
                <w:color w:val="2C3E50"/>
                <w:sz w:val="20"/>
                <w:szCs w:val="20"/>
              </w:rPr>
              <w:t xml:space="preserve">3</w:t>
            </w:r>
          </w:p>
        </w:tc>
        <w:tc>
          <w:tcPr>
            <w:tcW w:type="dxa" w:w="200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bCs/>
                <w:color w:val="2C3E50"/>
                <w:sz w:val="20"/>
                <w:szCs w:val="20"/>
              </w:rPr>
              <w:t xml:space="preserve">Local Forwarding</w:t>
            </w:r>
          </w:p>
        </w:tc>
        <w:tc>
          <w:tcPr>
            <w:tcW w:type="dxa" w:w="260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Main Station NodeMCU (Bridge)</w:t>
            </w:r>
          </w:p>
        </w:tc>
        <w:tc>
          <w:tcPr>
            <w:tcW w:type="dxa" w:w="416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Publishes unchanged packet to alerts/main → triggers local alarm logic</w:t>
            </w:r>
          </w:p>
        </w:tc>
      </w:tr>
      <w:tr>
        <w:tc>
          <w:tcPr>
            <w:tcW w:type="dxa" w:w="60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bCs/>
                <w:color w:val="2C3E50"/>
                <w:sz w:val="20"/>
                <w:szCs w:val="20"/>
              </w:rPr>
              <w:t xml:space="preserve">4</w:t>
            </w:r>
          </w:p>
        </w:tc>
        <w:tc>
          <w:tcPr>
            <w:tcW w:type="dxa" w:w="200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bCs/>
                <w:color w:val="2C3E50"/>
                <w:sz w:val="20"/>
                <w:szCs w:val="20"/>
              </w:rPr>
              <w:t xml:space="preserve">Cloud Forwarding</w:t>
            </w:r>
          </w:p>
        </w:tc>
        <w:tc>
          <w:tcPr>
            <w:tcW w:type="dxa" w:w="260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Main Station NodeMCU (Bridge)</w:t>
            </w:r>
          </w:p>
        </w:tc>
        <w:tc>
          <w:tcPr>
            <w:tcW w:type="dxa" w:w="416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Simultaneously writes same data to Firebase Realtime Database</w:t>
            </w:r>
          </w:p>
        </w:tc>
      </w:tr>
      <w:tr>
        <w:tc>
          <w:tcPr>
            <w:tcW w:type="dxa" w:w="60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bCs/>
                <w:color w:val="2C3E50"/>
                <w:sz w:val="20"/>
                <w:szCs w:val="20"/>
              </w:rPr>
              <w:t xml:space="preserve">5</w:t>
            </w:r>
          </w:p>
        </w:tc>
        <w:tc>
          <w:tcPr>
            <w:tcW w:type="dxa" w:w="200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bCs/>
                <w:color w:val="2C3E50"/>
                <w:sz w:val="20"/>
                <w:szCs w:val="20"/>
              </w:rPr>
              <w:t xml:space="preserve">Alarm Prioritization</w:t>
            </w:r>
          </w:p>
        </w:tc>
        <w:tc>
          <w:tcPr>
            <w:tcW w:type="dxa" w:w="260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Bridge / Main Station</w:t>
            </w:r>
          </w:p>
        </w:tc>
        <w:tc>
          <w:tcPr>
            <w:tcW w:type="dxa" w:w="416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If deprem_flag = true → packet sent with highest priority, zero delay</w:t>
            </w:r>
          </w:p>
        </w:tc>
      </w:tr>
      <w:tr>
        <w:tc>
          <w:tcPr>
            <w:tcW w:type="dxa" w:w="60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bCs/>
                <w:color w:val="2C3E50"/>
                <w:sz w:val="20"/>
                <w:szCs w:val="20"/>
              </w:rPr>
              <w:t xml:space="preserve">6</w:t>
            </w:r>
          </w:p>
        </w:tc>
        <w:tc>
          <w:tcPr>
            <w:tcW w:type="dxa" w:w="200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bCs/>
                <w:color w:val="2C3E50"/>
                <w:sz w:val="20"/>
                <w:szCs w:val="20"/>
              </w:rPr>
              <w:t xml:space="preserve">Local Alarm Activation</w:t>
            </w:r>
          </w:p>
        </w:tc>
        <w:tc>
          <w:tcPr>
            <w:tcW w:type="dxa" w:w="260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Main Control &amp; Alert Station (Group 2)</w:t>
            </w:r>
          </w:p>
        </w:tc>
        <w:tc>
          <w:tcPr>
            <w:tcW w:type="dxa" w:w="416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Activates buzzer, LED, LCD; optionally sends commands to commands/main</w:t>
            </w:r>
          </w:p>
        </w:tc>
      </w:tr>
      <w:tr>
        <w:tc>
          <w:tcPr>
            <w:tcW w:type="dxa" w:w="60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bCs/>
                <w:color w:val="2C3E50"/>
                <w:sz w:val="20"/>
                <w:szCs w:val="20"/>
              </w:rPr>
              <w:t xml:space="preserve">7</w:t>
            </w:r>
          </w:p>
        </w:tc>
        <w:tc>
          <w:tcPr>
            <w:tcW w:type="dxa" w:w="200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bCs/>
                <w:color w:val="2C3E50"/>
                <w:sz w:val="20"/>
                <w:szCs w:val="20"/>
              </w:rPr>
              <w:t xml:space="preserve">Cloud Processing</w:t>
            </w:r>
          </w:p>
        </w:tc>
        <w:tc>
          <w:tcPr>
            <w:tcW w:type="dxa" w:w="260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Firebase</w:t>
            </w:r>
          </w:p>
        </w:tc>
        <w:tc>
          <w:tcPr>
            <w:tcW w:type="dxa" w:w="416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Stores data, updates dashboard, triggers push notifications / e-mail alerts</w:t>
            </w:r>
          </w:p>
        </w:tc>
      </w:tr>
    </w:tbl>
    <w:p>
      <w:pPr>
        <w:spacing w:before="320" w:after="120"/>
      </w:pPr>
      <w:r>
        <w:rPr>
          <w:rFonts w:ascii="Montserrat" w:cs="Montserrat" w:eastAsia="Montserrat" w:hAnsi="Montserrat"/>
          <w:b/>
          <w:bCs/>
          <w:color w:val="2E86AB"/>
          <w:sz w:val="28"/>
          <w:szCs w:val="28"/>
        </w:rPr>
        <w:t xml:space="preserve">7. Assumptions and Constraints</w:t>
      </w:r>
    </w:p>
    <w:p>
      <w:pPr>
        <w:spacing w:before="60" w:after="80"/>
      </w:pPr>
      <w:r>
        <w:rPr>
          <w:rFonts w:ascii="Montserrat" w:cs="Montserrat" w:eastAsia="Montserrat" w:hAnsi="Montserrat"/>
          <w:color w:val="2C3E50"/>
          <w:sz w:val="22"/>
          <w:szCs w:val="22"/>
        </w:rPr>
        <w:t xml:space="preserve">The following assumptions and constraints apply to the IoT Communication and Data Bridge Layer: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8DCE9" w:sz="1"/>
              <w:left w:val="single" w:color="C8DCE9" w:sz="1"/>
              <w:bottom w:val="single" w:color="C8DCE9" w:sz="1"/>
              <w:right w:val="single" w:color="C8DCE9" w:sz="1"/>
            </w:tcBorders>
            <w:shd w:fill="1A3C5E" w:val="clear"/>
            <w:tcMar>
              <w:top w:type="dxa" w:w="100"/>
              <w:left w:type="dxa" w:w="150"/>
              <w:bottom w:type="dxa" w:w="100"/>
              <w:right w:type="dxa" w:w="150"/>
            </w:tcMar>
            <w:vAlign w:val="center"/>
          </w:tcPr>
          <w:p>
            <w:pPr>
              <w:jc w:val="left"/>
            </w:pPr>
            <w:r>
              <w:rPr>
                <w:rFonts w:ascii="Montserrat" w:cs="Montserrat" w:eastAsia="Montserrat" w:hAnsi="Montserrat"/>
                <w:b/>
                <w:bCs/>
                <w:color w:val="FFFFFF"/>
                <w:sz w:val="20"/>
                <w:szCs w:val="20"/>
              </w:rPr>
              <w:t xml:space="preserve">Type</w:t>
            </w:r>
          </w:p>
        </w:tc>
        <w:tc>
          <w:tcPr>
            <w:tcW w:type="dxa" w:w="7360"/>
            <w:tcBorders>
              <w:top w:val="single" w:color="C8DCE9" w:sz="1"/>
              <w:left w:val="single" w:color="C8DCE9" w:sz="1"/>
              <w:bottom w:val="single" w:color="C8DCE9" w:sz="1"/>
              <w:right w:val="single" w:color="C8DCE9" w:sz="1"/>
            </w:tcBorders>
            <w:shd w:fill="1A3C5E" w:val="clear"/>
            <w:tcMar>
              <w:top w:type="dxa" w:w="100"/>
              <w:left w:type="dxa" w:w="150"/>
              <w:bottom w:type="dxa" w:w="100"/>
              <w:right w:type="dxa" w:w="150"/>
            </w:tcMar>
            <w:vAlign w:val="center"/>
          </w:tcPr>
          <w:p>
            <w:pPr>
              <w:jc w:val="left"/>
            </w:pPr>
            <w:r>
              <w:rPr>
                <w:rFonts w:ascii="Montserrat" w:cs="Montserrat" w:eastAsia="Montserrat" w:hAnsi="Montserrat"/>
                <w:b/>
                <w:bCs/>
                <w:color w:val="FFFFFF"/>
                <w:sz w:val="20"/>
                <w:szCs w:val="20"/>
              </w:rPr>
              <w:t xml:space="preserve">Description</w:t>
            </w:r>
          </w:p>
        </w:tc>
      </w:tr>
      <w:tr>
        <w:tc>
          <w:tcPr>
            <w:tcW w:type="dxa" w:w="2000"/>
            <w:tcBorders>
              <w:top w:val="single" w:color="C8DCE9" w:sz="1"/>
              <w:left w:val="single" w:color="C8DCE9" w:sz="1"/>
              <w:bottom w:val="single" w:color="C8DCE9" w:sz="1"/>
              <w:right w:val="single" w:color="C8DCE9" w:sz="1"/>
            </w:tcBorders>
            <w:shd w:fill="E8F4FD" w:val="clear"/>
            <w:tcMar>
              <w:top w:type="dxa" w:w="80"/>
              <w:left w:type="dxa" w:w="150"/>
              <w:bottom w:type="dxa" w:w="80"/>
              <w:right w:type="dxa" w:w="150"/>
            </w:tcMar>
            <w:vAlign w:val="center"/>
          </w:tcPr>
          <w:p>
            <w:r>
              <w:rPr>
                <w:rFonts w:ascii="Montserrat" w:cs="Montserrat" w:eastAsia="Montserrat" w:hAnsi="Montserrat"/>
                <w:b/>
                <w:bCs/>
                <w:color w:val="1A5276"/>
                <w:sz w:val="20"/>
                <w:szCs w:val="20"/>
              </w:rPr>
              <w:t xml:space="preserve">Assumption</w:t>
            </w:r>
          </w:p>
        </w:tc>
        <w:tc>
          <w:tcPr>
            <w:tcW w:type="dxa" w:w="736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Stable Wi-Fi with internet access is available in the test/deployment environment.</w:t>
            </w:r>
          </w:p>
        </w:tc>
      </w:tr>
      <w:tr>
        <w:tc>
          <w:tcPr>
            <w:tcW w:type="dxa" w:w="2000"/>
            <w:tcBorders>
              <w:top w:val="single" w:color="C8DCE9" w:sz="1"/>
              <w:left w:val="single" w:color="C8DCE9" w:sz="1"/>
              <w:bottom w:val="single" w:color="C8DCE9" w:sz="1"/>
              <w:right w:val="single" w:color="C8DCE9" w:sz="1"/>
            </w:tcBorders>
            <w:shd w:fill="E8F4FD" w:val="clear"/>
            <w:tcMar>
              <w:top w:type="dxa" w:w="80"/>
              <w:left w:type="dxa" w:w="150"/>
              <w:bottom w:type="dxa" w:w="80"/>
              <w:right w:type="dxa" w:w="150"/>
            </w:tcMar>
            <w:vAlign w:val="center"/>
          </w:tcPr>
          <w:p>
            <w:r>
              <w:rPr>
                <w:rFonts w:ascii="Montserrat" w:cs="Montserrat" w:eastAsia="Montserrat" w:hAnsi="Montserrat"/>
                <w:b/>
                <w:bCs/>
                <w:color w:val="1A5276"/>
                <w:sz w:val="20"/>
                <w:szCs w:val="20"/>
              </w:rPr>
              <w:t xml:space="preserve">Assumption</w:t>
            </w:r>
          </w:p>
        </w:tc>
        <w:tc>
          <w:tcPr>
            <w:tcW w:type="dxa" w:w="736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Firebase project is created and credentials (MQTT username/password &amp; Firebase API key) are available.</w:t>
            </w:r>
          </w:p>
        </w:tc>
      </w:tr>
      <w:tr>
        <w:tc>
          <w:tcPr>
            <w:tcW w:type="dxa" w:w="2000"/>
            <w:tcBorders>
              <w:top w:val="single" w:color="C8DCE9" w:sz="1"/>
              <w:left w:val="single" w:color="C8DCE9" w:sz="1"/>
              <w:bottom w:val="single" w:color="C8DCE9" w:sz="1"/>
              <w:right w:val="single" w:color="C8DCE9" w:sz="1"/>
            </w:tcBorders>
            <w:shd w:fill="E8F4FD" w:val="clear"/>
            <w:tcMar>
              <w:top w:type="dxa" w:w="80"/>
              <w:left w:type="dxa" w:w="150"/>
              <w:bottom w:type="dxa" w:w="80"/>
              <w:right w:type="dxa" w:w="150"/>
            </w:tcMar>
            <w:vAlign w:val="center"/>
          </w:tcPr>
          <w:p>
            <w:r>
              <w:rPr>
                <w:rFonts w:ascii="Montserrat" w:cs="Montserrat" w:eastAsia="Montserrat" w:hAnsi="Montserrat"/>
                <w:b/>
                <w:bCs/>
                <w:color w:val="1A5276"/>
                <w:sz w:val="20"/>
                <w:szCs w:val="20"/>
              </w:rPr>
              <w:t xml:space="preserve">Assumption</w:t>
            </w:r>
          </w:p>
        </w:tc>
        <w:tc>
          <w:tcPr>
            <w:tcW w:type="dxa" w:w="736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Both NodeMCU boards can connect to the same Wi-Fi network simultaneously without interference.</w:t>
            </w:r>
          </w:p>
        </w:tc>
      </w:tr>
      <w:tr>
        <w:tc>
          <w:tcPr>
            <w:tcW w:type="dxa" w:w="2000"/>
            <w:tcBorders>
              <w:top w:val="single" w:color="C8DCE9" w:sz="1"/>
              <w:left w:val="single" w:color="C8DCE9" w:sz="1"/>
              <w:bottom w:val="single" w:color="C8DCE9" w:sz="1"/>
              <w:right w:val="single" w:color="C8DCE9" w:sz="1"/>
            </w:tcBorders>
            <w:shd w:fill="E8F4FD" w:val="clear"/>
            <w:tcMar>
              <w:top w:type="dxa" w:w="80"/>
              <w:left w:type="dxa" w:w="150"/>
              <w:bottom w:type="dxa" w:w="80"/>
              <w:right w:type="dxa" w:w="150"/>
            </w:tcMar>
            <w:vAlign w:val="center"/>
          </w:tcPr>
          <w:p>
            <w:r>
              <w:rPr>
                <w:rFonts w:ascii="Montserrat" w:cs="Montserrat" w:eastAsia="Montserrat" w:hAnsi="Montserrat"/>
                <w:b/>
                <w:bCs/>
                <w:color w:val="1A5276"/>
                <w:sz w:val="20"/>
                <w:szCs w:val="20"/>
              </w:rPr>
              <w:t xml:space="preserve">Assumption</w:t>
            </w:r>
          </w:p>
        </w:tc>
        <w:tc>
          <w:tcPr>
            <w:tcW w:type="dxa" w:w="736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Sensor Station &amp; Main Station are within Wi-Fi range of the home router.</w:t>
            </w:r>
          </w:p>
        </w:tc>
      </w:tr>
      <w:tr>
        <w:tc>
          <w:tcPr>
            <w:tcW w:type="dxa" w:w="2000"/>
            <w:tcBorders>
              <w:top w:val="single" w:color="C8DCE9" w:sz="1"/>
              <w:left w:val="single" w:color="C8DCE9" w:sz="1"/>
              <w:bottom w:val="single" w:color="C8DCE9" w:sz="1"/>
              <w:right w:val="single" w:color="C8DCE9" w:sz="1"/>
            </w:tcBorders>
            <w:shd w:fill="E8F4FD" w:val="clear"/>
            <w:tcMar>
              <w:top w:type="dxa" w:w="80"/>
              <w:left w:type="dxa" w:w="150"/>
              <w:bottom w:type="dxa" w:w="80"/>
              <w:right w:type="dxa" w:w="150"/>
            </w:tcMar>
            <w:vAlign w:val="center"/>
          </w:tcPr>
          <w:p>
            <w:r>
              <w:rPr>
                <w:rFonts w:ascii="Montserrat" w:cs="Montserrat" w:eastAsia="Montserrat" w:hAnsi="Montserrat"/>
                <w:b/>
                <w:bCs/>
                <w:color w:val="1A5276"/>
                <w:sz w:val="20"/>
                <w:szCs w:val="20"/>
              </w:rPr>
              <w:t xml:space="preserve">Assumption</w:t>
            </w:r>
          </w:p>
        </w:tc>
        <w:tc>
          <w:tcPr>
            <w:tcW w:type="dxa" w:w="736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MPU6050 sensor data processing and earthquake flag logic are correctly implemented by Group 1.</w:t>
            </w:r>
          </w:p>
        </w:tc>
      </w:tr>
      <w:tr>
        <w:tc>
          <w:tcPr>
            <w:tcW w:type="dxa" w:w="2000"/>
            <w:tcBorders>
              <w:top w:val="single" w:color="C8DCE9" w:sz="1"/>
              <w:left w:val="single" w:color="C8DCE9" w:sz="1"/>
              <w:bottom w:val="single" w:color="C8DCE9" w:sz="1"/>
              <w:right w:val="single" w:color="C8DCE9" w:sz="1"/>
            </w:tcBorders>
            <w:shd w:fill="FEF9E7" w:val="clear"/>
            <w:tcMar>
              <w:top w:type="dxa" w:w="80"/>
              <w:left w:type="dxa" w:w="150"/>
              <w:bottom w:type="dxa" w:w="80"/>
              <w:right w:type="dxa" w:w="150"/>
            </w:tcMar>
            <w:vAlign w:val="center"/>
          </w:tcPr>
          <w:p>
            <w:r>
              <w:rPr>
                <w:rFonts w:ascii="Montserrat" w:cs="Montserrat" w:eastAsia="Montserrat" w:hAnsi="Montserrat"/>
                <w:b/>
                <w:bCs/>
                <w:color w:val="7D6608"/>
                <w:sz w:val="20"/>
                <w:szCs w:val="20"/>
              </w:rPr>
              <w:t xml:space="preserve">Constraint</w:t>
            </w:r>
          </w:p>
        </w:tc>
        <w:tc>
          <w:tcPr>
            <w:tcW w:type="dxa" w:w="736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Limited to two NodeMCU V3 ESP8266 boards provided in the component list.</w:t>
            </w:r>
          </w:p>
        </w:tc>
      </w:tr>
      <w:tr>
        <w:tc>
          <w:tcPr>
            <w:tcW w:type="dxa" w:w="2000"/>
            <w:tcBorders>
              <w:top w:val="single" w:color="C8DCE9" w:sz="1"/>
              <w:left w:val="single" w:color="C8DCE9" w:sz="1"/>
              <w:bottom w:val="single" w:color="C8DCE9" w:sz="1"/>
              <w:right w:val="single" w:color="C8DCE9" w:sz="1"/>
            </w:tcBorders>
            <w:shd w:fill="FEF9E7" w:val="clear"/>
            <w:tcMar>
              <w:top w:type="dxa" w:w="80"/>
              <w:left w:type="dxa" w:w="150"/>
              <w:bottom w:type="dxa" w:w="80"/>
              <w:right w:type="dxa" w:w="150"/>
            </w:tcMar>
            <w:vAlign w:val="center"/>
          </w:tcPr>
          <w:p>
            <w:r>
              <w:rPr>
                <w:rFonts w:ascii="Montserrat" w:cs="Montserrat" w:eastAsia="Montserrat" w:hAnsi="Montserrat"/>
                <w:b/>
                <w:bCs/>
                <w:color w:val="7D6608"/>
                <w:sz w:val="20"/>
                <w:szCs w:val="20"/>
              </w:rPr>
              <w:t xml:space="preserve">Constraint</w:t>
            </w:r>
          </w:p>
        </w:tc>
        <w:tc>
          <w:tcPr>
            <w:tcW w:type="dxa" w:w="736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No external Wi-Fi modules or Ethernet connections available.</w:t>
            </w:r>
          </w:p>
        </w:tc>
      </w:tr>
      <w:tr>
        <w:tc>
          <w:tcPr>
            <w:tcW w:type="dxa" w:w="2000"/>
            <w:tcBorders>
              <w:top w:val="single" w:color="C8DCE9" w:sz="1"/>
              <w:left w:val="single" w:color="C8DCE9" w:sz="1"/>
              <w:bottom w:val="single" w:color="C8DCE9" w:sz="1"/>
              <w:right w:val="single" w:color="C8DCE9" w:sz="1"/>
            </w:tcBorders>
            <w:shd w:fill="FEF9E7" w:val="clear"/>
            <w:tcMar>
              <w:top w:type="dxa" w:w="80"/>
              <w:left w:type="dxa" w:w="150"/>
              <w:bottom w:type="dxa" w:w="80"/>
              <w:right w:type="dxa" w:w="150"/>
            </w:tcMar>
            <w:vAlign w:val="center"/>
          </w:tcPr>
          <w:p>
            <w:r>
              <w:rPr>
                <w:rFonts w:ascii="Montserrat" w:cs="Montserrat" w:eastAsia="Montserrat" w:hAnsi="Montserrat"/>
                <w:b/>
                <w:bCs/>
                <w:color w:val="7D6608"/>
                <w:sz w:val="20"/>
                <w:szCs w:val="20"/>
              </w:rPr>
              <w:t xml:space="preserve">Constraint</w:t>
            </w:r>
          </w:p>
        </w:tc>
        <w:tc>
          <w:tcPr>
            <w:tcW w:type="dxa" w:w="736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Firebase free-tier quotas (message quota, database size) must be respected during testing.</w:t>
            </w:r>
          </w:p>
        </w:tc>
      </w:tr>
      <w:tr>
        <w:tc>
          <w:tcPr>
            <w:tcW w:type="dxa" w:w="2000"/>
            <w:tcBorders>
              <w:top w:val="single" w:color="C8DCE9" w:sz="1"/>
              <w:left w:val="single" w:color="C8DCE9" w:sz="1"/>
              <w:bottom w:val="single" w:color="C8DCE9" w:sz="1"/>
              <w:right w:val="single" w:color="C8DCE9" w:sz="1"/>
            </w:tcBorders>
            <w:shd w:fill="FEF9E7" w:val="clear"/>
            <w:tcMar>
              <w:top w:type="dxa" w:w="80"/>
              <w:left w:type="dxa" w:w="150"/>
              <w:bottom w:type="dxa" w:w="80"/>
              <w:right w:type="dxa" w:w="150"/>
            </w:tcMar>
            <w:vAlign w:val="center"/>
          </w:tcPr>
          <w:p>
            <w:r>
              <w:rPr>
                <w:rFonts w:ascii="Montserrat" w:cs="Montserrat" w:eastAsia="Montserrat" w:hAnsi="Montserrat"/>
                <w:b/>
                <w:bCs/>
                <w:color w:val="7D6608"/>
                <w:sz w:val="20"/>
                <w:szCs w:val="20"/>
              </w:rPr>
              <w:t xml:space="preserve">Constraint</w:t>
            </w:r>
          </w:p>
        </w:tc>
        <w:tc>
          <w:tcPr>
            <w:tcW w:type="dxa" w:w="7360"/>
            <w:tcBorders>
              <w:top w:val="single" w:color="C8DCE9" w:sz="1"/>
              <w:left w:val="single" w:color="C8DCE9" w:sz="1"/>
              <w:bottom w:val="single" w:color="C8DCE9" w:sz="1"/>
              <w:right w:val="single" w:color="C8DCE9" w:sz="1"/>
            </w:tcBorders>
            <w:shd w:fill="FFFFFF"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Real-time performance depends on Wi-Fi quality; no guarantee during complete internet outages.</w:t>
            </w:r>
          </w:p>
        </w:tc>
      </w:tr>
      <w:tr>
        <w:tc>
          <w:tcPr>
            <w:tcW w:type="dxa" w:w="2000"/>
            <w:tcBorders>
              <w:top w:val="single" w:color="C8DCE9" w:sz="1"/>
              <w:left w:val="single" w:color="C8DCE9" w:sz="1"/>
              <w:bottom w:val="single" w:color="C8DCE9" w:sz="1"/>
              <w:right w:val="single" w:color="C8DCE9" w:sz="1"/>
            </w:tcBorders>
            <w:shd w:fill="FEF9E7" w:val="clear"/>
            <w:tcMar>
              <w:top w:type="dxa" w:w="80"/>
              <w:left w:type="dxa" w:w="150"/>
              <w:bottom w:type="dxa" w:w="80"/>
              <w:right w:type="dxa" w:w="150"/>
            </w:tcMar>
            <w:vAlign w:val="center"/>
          </w:tcPr>
          <w:p>
            <w:r>
              <w:rPr>
                <w:rFonts w:ascii="Montserrat" w:cs="Montserrat" w:eastAsia="Montserrat" w:hAnsi="Montserrat"/>
                <w:b/>
                <w:bCs/>
                <w:color w:val="7D6608"/>
                <w:sz w:val="20"/>
                <w:szCs w:val="20"/>
              </w:rPr>
              <w:t xml:space="preserve">Constraint</w:t>
            </w:r>
          </w:p>
        </w:tc>
        <w:tc>
          <w:tcPr>
            <w:tcW w:type="dxa" w:w="7360"/>
            <w:tcBorders>
              <w:top w:val="single" w:color="C8DCE9" w:sz="1"/>
              <w:left w:val="single" w:color="C8DCE9" w:sz="1"/>
              <w:bottom w:val="single" w:color="C8DCE9" w:sz="1"/>
              <w:right w:val="single" w:color="C8DCE9" w:sz="1"/>
            </w:tcBorders>
            <w:shd w:fill="F0F7FC" w:val="clear"/>
            <w:tcMar>
              <w:top w:type="dxa" w:w="80"/>
              <w:left w:type="dxa" w:w="150"/>
              <w:bottom w:type="dxa" w:w="80"/>
              <w:right w:type="dxa" w:w="150"/>
            </w:tcMar>
            <w:vAlign w:val="center"/>
          </w:tcPr>
          <w:p>
            <w:r>
              <w:rPr>
                <w:rFonts w:ascii="Montserrat" w:cs="Montserrat" w:eastAsia="Montserrat" w:hAnsi="Montserrat"/>
                <w:b w:val="false"/>
                <w:bCs w:val="false"/>
                <w:color w:val="2C3E50"/>
                <w:sz w:val="20"/>
                <w:szCs w:val="20"/>
              </w:rPr>
              <w:t xml:space="preserve">Communication code must run on ESP8266 with ~80 KB RAM; JSON payloads kept small and efficient.</w:t>
            </w:r>
          </w:p>
        </w:tc>
      </w:tr>
    </w:tbl>
    <w:sectPr>
      <w:footerReference w:type="default" r:id="rId6"/>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6"/>
      </w:pBdr>
      <w:spacing w:before="80"/>
      <w:jc w:val="right"/>
    </w:pPr>
    <w:r>
      <w:rPr>
        <w:rFonts w:ascii="Montserrat" w:cs="Montserrat" w:eastAsia="Montserrat" w:hAnsi="Montserrat"/>
        <w:color w:val="5D6D7E"/>
        <w:sz w:val="18"/>
        <w:szCs w:val="18"/>
      </w:rPr>
      <w:t xml:space="preserve">IoT Communication and Data Bridge Layer  |  HRD &amp; SRS  |  Page </w:t>
    </w:r>
    <w:r>
      <w:rPr>
        <w:rFonts w:ascii="Montserrat" w:cs="Montserrat" w:eastAsia="Montserrat" w:hAnsi="Montserrat"/>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2026-03-26T14:04:14.875Z</dcterms:created>
  <dcterms:modified xsi:type="dcterms:W3CDTF">2026-03-26T14:04:14.876Z</dcterms:modified>
</cp:coreProperties>
</file>

<file path=docProps/custom.xml><?xml version="1.0" encoding="utf-8"?>
<Properties xmlns="http://schemas.openxmlformats.org/officeDocument/2006/custom-properties" xmlns:vt="http://schemas.openxmlformats.org/officeDocument/2006/docPropsVTypes"/>
</file>