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2E61" w14:textId="614DF50B" w:rsidR="001A4A74" w:rsidRPr="00CE1019" w:rsidRDefault="00C72219">
      <w:pPr>
        <w:rPr>
          <w:b/>
          <w:bCs/>
          <w:sz w:val="32"/>
          <w:szCs w:val="32"/>
        </w:rPr>
      </w:pPr>
      <w:r w:rsidRPr="00CE1019">
        <w:rPr>
          <w:b/>
          <w:bCs/>
          <w:sz w:val="32"/>
          <w:szCs w:val="32"/>
        </w:rPr>
        <w:t>Percentile Summary Reports</w:t>
      </w:r>
    </w:p>
    <w:tbl>
      <w:tblPr>
        <w:tblpPr w:leftFromText="180" w:rightFromText="180" w:vertAnchor="text" w:horzAnchor="margin" w:tblpXSpec="center" w:tblpY="232"/>
        <w:tblW w:w="10980" w:type="dxa"/>
        <w:tblLook w:val="04A0" w:firstRow="1" w:lastRow="0" w:firstColumn="1" w:lastColumn="0" w:noHBand="0" w:noVBand="1"/>
      </w:tblPr>
      <w:tblGrid>
        <w:gridCol w:w="1028"/>
        <w:gridCol w:w="953"/>
        <w:gridCol w:w="999"/>
        <w:gridCol w:w="1119"/>
        <w:gridCol w:w="1878"/>
        <w:gridCol w:w="1936"/>
        <w:gridCol w:w="1491"/>
        <w:gridCol w:w="1576"/>
      </w:tblGrid>
      <w:tr w:rsidR="00C72219" w:rsidRPr="00C72219" w14:paraId="0C88BDD0" w14:textId="77777777" w:rsidTr="00C72219">
        <w:trPr>
          <w:trHeight w:val="330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1A1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FD5C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sl_no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8135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ssc_p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A123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hsc_p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8E71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degree_p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895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etest_p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EBD1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mba_p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9254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n-GB"/>
                <w14:ligatures w14:val="none"/>
              </w:rPr>
              <w:t>salary</w:t>
            </w:r>
          </w:p>
        </w:tc>
      </w:tr>
      <w:tr w:rsidR="00C72219" w:rsidRPr="00C72219" w14:paraId="035FC2B2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88E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037C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7B59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67.3034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CD35F8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66.33316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C511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66.370186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F019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72.100558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E01C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62.278186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656E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288655.4054</w:t>
            </w:r>
          </w:p>
        </w:tc>
      </w:tr>
      <w:tr w:rsidR="00C72219" w:rsidRPr="00C72219" w14:paraId="2DD52E2C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C8A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BA6E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E069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09F1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62DD1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9732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2B1C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ACB4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265000</w:t>
            </w:r>
          </w:p>
        </w:tc>
      </w:tr>
      <w:tr w:rsidR="00C72219" w:rsidRPr="00C72219" w14:paraId="4C4A483A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1D7B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CED2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383A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D9EB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F9E0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EB65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5A66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56.7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DC13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300000</w:t>
            </w:r>
          </w:p>
        </w:tc>
      </w:tr>
      <w:tr w:rsidR="00C72219" w:rsidRPr="00C72219" w14:paraId="1DC8F251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AC9D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Q1:25%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7F12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54.5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C4BF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C711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60.9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C72EE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1BE9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8C40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57.945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51AF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240000</w:t>
            </w:r>
          </w:p>
        </w:tc>
      </w:tr>
      <w:tr w:rsidR="00C72219" w:rsidRPr="00C72219" w14:paraId="6E132172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CCD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Q2:50%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3B06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F51D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4485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87FF4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1BCF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BE771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A900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265000</w:t>
            </w:r>
          </w:p>
        </w:tc>
      </w:tr>
      <w:tr w:rsidR="00C72219" w:rsidRPr="00C72219" w14:paraId="3F255F9D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FD42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Q3:75%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ECE1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161.5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4ADE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75.7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0728C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759D3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DBBF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83.5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08AB5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66.255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62063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300000</w:t>
            </w:r>
          </w:p>
        </w:tc>
      </w:tr>
      <w:tr w:rsidR="00C72219" w:rsidRPr="00C72219" w14:paraId="46A29CF7" w14:textId="77777777" w:rsidTr="00C72219">
        <w:trPr>
          <w:trHeight w:val="33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E85F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Q4:100%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C524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215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DA930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89.4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07B37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97.7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3D294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283A8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1A2AA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77.89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A3D69" w14:textId="77777777" w:rsidR="00C72219" w:rsidRPr="00C72219" w:rsidRDefault="00C72219" w:rsidP="00C7221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</w:pPr>
            <w:r w:rsidRPr="00C72219">
              <w:rPr>
                <w:rFonts w:ascii="Segoe UI" w:eastAsia="Times New Roman" w:hAnsi="Segoe UI" w:cs="Segoe UI"/>
                <w:color w:val="000000"/>
                <w:kern w:val="0"/>
                <w:lang w:eastAsia="en-GB"/>
                <w14:ligatures w14:val="none"/>
              </w:rPr>
              <w:t>940000</w:t>
            </w:r>
          </w:p>
        </w:tc>
      </w:tr>
    </w:tbl>
    <w:p w14:paraId="56869639" w14:textId="77777777" w:rsidR="00C72219" w:rsidRDefault="00C72219"/>
    <w:p w14:paraId="7C72E23B" w14:textId="77777777" w:rsidR="00CE1019" w:rsidRPr="00CE1019" w:rsidRDefault="00CE1019" w:rsidP="00CE1019">
      <w:pPr>
        <w:rPr>
          <w:b/>
          <w:bCs/>
        </w:rPr>
      </w:pPr>
      <w:r w:rsidRPr="00CE1019">
        <w:rPr>
          <w:b/>
          <w:bCs/>
        </w:rPr>
        <w:t>Key Observations:</w:t>
      </w:r>
    </w:p>
    <w:p w14:paraId="5E5DE5B9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25th Percentile (Q1):</w:t>
      </w:r>
    </w:p>
    <w:p w14:paraId="5342C073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Students in the bottom 25% scored around </w:t>
      </w:r>
      <w:r w:rsidRPr="00CE1019">
        <w:rPr>
          <w:b/>
          <w:bCs/>
        </w:rPr>
        <w:t>60%</w:t>
      </w:r>
      <w:r w:rsidRPr="00CE1019">
        <w:t xml:space="preserve"> in most areas, including secondary and higher secondary percentages, degree, and employability test scores.</w:t>
      </w:r>
    </w:p>
    <w:p w14:paraId="42DDD83D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Salaries in this quartile are approximately </w:t>
      </w:r>
      <w:r w:rsidRPr="00CE1019">
        <w:rPr>
          <w:b/>
          <w:bCs/>
        </w:rPr>
        <w:t>240,000 INR</w:t>
      </w:r>
      <w:r w:rsidRPr="00CE1019">
        <w:t>.</w:t>
      </w:r>
    </w:p>
    <w:p w14:paraId="53BD7B8B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50th Percentile (Q2, Median):</w:t>
      </w:r>
    </w:p>
    <w:p w14:paraId="2739661B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Median academic scores range from </w:t>
      </w:r>
      <w:r w:rsidRPr="00CE1019">
        <w:rPr>
          <w:b/>
          <w:bCs/>
        </w:rPr>
        <w:t>65-67%</w:t>
      </w:r>
      <w:r w:rsidRPr="00CE1019">
        <w:t xml:space="preserve">, while employability test scores rise to </w:t>
      </w:r>
      <w:r w:rsidRPr="00CE1019">
        <w:rPr>
          <w:b/>
          <w:bCs/>
        </w:rPr>
        <w:t>71%</w:t>
      </w:r>
      <w:r w:rsidRPr="00CE1019">
        <w:t>.</w:t>
      </w:r>
    </w:p>
    <w:p w14:paraId="600ECEC8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Median salary is </w:t>
      </w:r>
      <w:r w:rsidRPr="00CE1019">
        <w:rPr>
          <w:b/>
          <w:bCs/>
        </w:rPr>
        <w:t>265,000 INR</w:t>
      </w:r>
      <w:r w:rsidRPr="00CE1019">
        <w:t>, representing the middle value of the distribution.</w:t>
      </w:r>
    </w:p>
    <w:p w14:paraId="331FB89B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75th Percentile (Q3):</w:t>
      </w:r>
    </w:p>
    <w:p w14:paraId="62F9E600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top 25% scored </w:t>
      </w:r>
      <w:r w:rsidRPr="00CE1019">
        <w:rPr>
          <w:b/>
          <w:bCs/>
        </w:rPr>
        <w:t>above 73-75%</w:t>
      </w:r>
      <w:r w:rsidRPr="00CE1019">
        <w:t xml:space="preserve"> in academics and </w:t>
      </w:r>
      <w:r w:rsidRPr="00CE1019">
        <w:rPr>
          <w:b/>
          <w:bCs/>
        </w:rPr>
        <w:t>83.5%</w:t>
      </w:r>
      <w:r w:rsidRPr="00CE1019">
        <w:t xml:space="preserve"> in employability tests.</w:t>
      </w:r>
    </w:p>
    <w:p w14:paraId="27F98A15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Salaries in this quartile reach up to </w:t>
      </w:r>
      <w:r w:rsidRPr="00CE1019">
        <w:rPr>
          <w:b/>
          <w:bCs/>
        </w:rPr>
        <w:t>300,000 INR</w:t>
      </w:r>
      <w:r w:rsidRPr="00CE1019">
        <w:t>.</w:t>
      </w:r>
    </w:p>
    <w:p w14:paraId="2B3319AD" w14:textId="77777777" w:rsidR="00CE1019" w:rsidRPr="00CE1019" w:rsidRDefault="00CE1019" w:rsidP="00CE1019">
      <w:pPr>
        <w:numPr>
          <w:ilvl w:val="0"/>
          <w:numId w:val="1"/>
        </w:numPr>
      </w:pPr>
      <w:r w:rsidRPr="00CE1019">
        <w:rPr>
          <w:b/>
          <w:bCs/>
        </w:rPr>
        <w:t>100th Percentile (Q4):</w:t>
      </w:r>
    </w:p>
    <w:p w14:paraId="626CD7B7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top performers achieved </w:t>
      </w:r>
      <w:r w:rsidRPr="00CE1019">
        <w:rPr>
          <w:b/>
          <w:bCs/>
        </w:rPr>
        <w:t>up to 97.7% in HSC</w:t>
      </w:r>
      <w:r w:rsidRPr="00CE1019">
        <w:t xml:space="preserve">, </w:t>
      </w:r>
      <w:r w:rsidRPr="00CE1019">
        <w:rPr>
          <w:b/>
          <w:bCs/>
        </w:rPr>
        <w:t>91% in their degree</w:t>
      </w:r>
      <w:r w:rsidRPr="00CE1019">
        <w:t xml:space="preserve">, and </w:t>
      </w:r>
      <w:r w:rsidRPr="00CE1019">
        <w:rPr>
          <w:b/>
          <w:bCs/>
        </w:rPr>
        <w:t>98% in employability tests</w:t>
      </w:r>
      <w:r w:rsidRPr="00CE1019">
        <w:t>.</w:t>
      </w:r>
    </w:p>
    <w:p w14:paraId="049C6778" w14:textId="77777777" w:rsidR="00CE1019" w:rsidRPr="00CE1019" w:rsidRDefault="00CE1019" w:rsidP="00CE1019">
      <w:pPr>
        <w:numPr>
          <w:ilvl w:val="1"/>
          <w:numId w:val="1"/>
        </w:numPr>
      </w:pPr>
      <w:r w:rsidRPr="00CE1019">
        <w:t xml:space="preserve">The highest salary in this dataset is </w:t>
      </w:r>
      <w:r w:rsidRPr="00CE1019">
        <w:rPr>
          <w:b/>
          <w:bCs/>
        </w:rPr>
        <w:t>940,000 INR</w:t>
      </w:r>
      <w:r w:rsidRPr="00CE1019">
        <w:t>, indicating significant salary variance between top and lower performers.</w:t>
      </w:r>
    </w:p>
    <w:p w14:paraId="7F3A0DDA" w14:textId="77777777" w:rsidR="00CE1019" w:rsidRPr="00CE1019" w:rsidRDefault="00CE1019" w:rsidP="00CE1019">
      <w:r w:rsidRPr="00CE1019">
        <w:t>This analysis highlights a significant range in both academic performance and salary, especially with a sharp increase at the 100th percentile for both</w:t>
      </w:r>
    </w:p>
    <w:p w14:paraId="5556E476" w14:textId="77777777" w:rsidR="00C72219" w:rsidRDefault="00C72219"/>
    <w:sectPr w:rsidR="00C72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5292F"/>
    <w:multiLevelType w:val="multilevel"/>
    <w:tmpl w:val="4506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57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9"/>
    <w:rsid w:val="001A4A74"/>
    <w:rsid w:val="00476F4D"/>
    <w:rsid w:val="00BC20B9"/>
    <w:rsid w:val="00C72219"/>
    <w:rsid w:val="00CE1019"/>
    <w:rsid w:val="00E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A0E6C"/>
  <w15:chartTrackingRefBased/>
  <w15:docId w15:val="{618CF27B-863D-4122-8EFF-071E537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249</Words>
  <Characters>1132</Characters>
  <Application>Microsoft Office Word</Application>
  <DocSecurity>0</DocSecurity>
  <Lines>283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Yusuff – Retail Logistics</dc:creator>
  <cp:keywords/>
  <dc:description/>
  <cp:lastModifiedBy>Mohamed Yusuff – Retail Logistics</cp:lastModifiedBy>
  <cp:revision>1</cp:revision>
  <dcterms:created xsi:type="dcterms:W3CDTF">2024-10-20T08:13:00Z</dcterms:created>
  <dcterms:modified xsi:type="dcterms:W3CDTF">2024-10-20T09:39:00Z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3436ef05-0bc8-4935-860d-4984e9dc9b93</vt:lpwstr>
  </property>
</Properties>
</file>