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8DD6A">
      <w:pPr>
        <w:spacing w:before="0" w:after="240"/>
        <w:jc w:val="center"/>
      </w:pPr>
      <w:r>
        <w:rPr>
          <w:b/>
          <w:bCs/>
          <w:sz w:val="32"/>
          <w:szCs w:val="32"/>
        </w:rPr>
        <w:t>Verifiable Multi-Agent Coordination under Constrained Autonomy</w:t>
      </w:r>
    </w:p>
    <w:p w14:paraId="65B7F3E4">
      <w:pPr>
        <w:spacing w:after="120"/>
        <w:jc w:val="center"/>
      </w:pPr>
      <w:r>
        <w:rPr>
          <w:i/>
          <w:iCs/>
          <w:sz w:val="22"/>
          <w:szCs w:val="22"/>
        </w:rPr>
        <w:t>A Design for Decentralized Agent Systems with On-Chain Identity, Composable Policy, and Auditable Coordination</w:t>
      </w:r>
    </w:p>
    <w:p w14:paraId="0463DB0D">
      <w:pPr>
        <w:spacing w:after="60"/>
        <w:jc w:val="center"/>
      </w:pPr>
      <w:r>
        <w:rPr>
          <w:sz w:val="22"/>
          <w:szCs w:val="22"/>
        </w:rPr>
        <w:t>Track A — Agent Execution &amp; Policy</w:t>
      </w:r>
    </w:p>
    <w:p w14:paraId="30A04680">
      <w:pPr>
        <w:spacing w:after="60"/>
        <w:jc w:val="center"/>
        <w:rPr>
          <w:sz w:val="22"/>
          <w:szCs w:val="22"/>
        </w:rPr>
      </w:pPr>
      <w:r>
        <w:rPr>
          <w:sz w:val="22"/>
          <w:szCs w:val="22"/>
        </w:rPr>
        <w:t>Draft, 2026-05-13</w:t>
      </w:r>
    </w:p>
    <w:p w14:paraId="5E9F0F2F">
      <w:pPr>
        <w:spacing w:after="60"/>
        <w:jc w:val="center"/>
        <w:rPr>
          <w:rFonts w:hint="default"/>
          <w:sz w:val="22"/>
          <w:szCs w:val="22"/>
          <w:lang w:val="en-US"/>
        </w:rPr>
      </w:pPr>
      <w:r>
        <w:rPr>
          <w:rFonts w:hint="default"/>
          <w:sz w:val="22"/>
          <w:szCs w:val="22"/>
          <w:lang w:val="en-US"/>
        </w:rPr>
        <w:t>[Wallet: 0xf3e4221cc6aa2a4578452672e96401df8265315d]</w:t>
      </w:r>
    </w:p>
    <w:p w14:paraId="6E132E48">
      <w:pPr>
        <w:spacing w:after="240"/>
      </w:pPr>
      <w:bookmarkStart w:id="0" w:name="_GoBack"/>
      <w:bookmarkEnd w:id="0"/>
    </w:p>
    <w:p w14:paraId="18D47522">
      <w:pPr>
        <w:spacing w:after="120" w:line="300" w:lineRule="auto"/>
        <w:ind w:left="360" w:right="360"/>
        <w:jc w:val="both"/>
      </w:pPr>
      <w:r>
        <w:rPr>
          <w:b/>
          <w:bCs/>
          <w:sz w:val="22"/>
          <w:szCs w:val="22"/>
        </w:rPr>
        <w:t xml:space="preserve">Abstract  </w:t>
      </w:r>
      <w:r>
        <w:rPr>
          <w:sz w:val="22"/>
          <w:szCs w:val="22"/>
        </w:rPr>
        <w:t>Existing proposals for blockchain-anchored AI agents focus almost exclusively on single-agent safety: one agent, one wallet, one policy stack, and a per-action audit trail. This paper argues that the safety story for autonomous agents at scale is not single-agent execution but multi-agent coordination, and that the coordination case introduces failure modes — collusion, cascading delegation, and consensus capture — that single-agent frameworks cannot detect by construction. We propose a five-layer architecture in which heterogeneous agents operate under composable policy constraints, exchange signed coordination objects, and anchor identity, delegation, decisions, receipts, and coordination history to a shared neutral substrate. The blockchain layer is positioned narrowly as a coordination and audit fabric rather than an execution layer. We specify the responsibilities of each layer, characterize three coordination-specific failure modes the architecture is designed to make visible, stress-test the design against the 2028 Intelligence Crisis scenario, and enumerate what the proposal does not yet resolve. The intellectual contribution is the coordination layer plus composable policy, not the on-chain primitives in isolation; we frame this as a design paper with deferred empirical validation.</w:t>
      </w:r>
    </w:p>
    <w:p w14:paraId="1B0D47E2">
      <w:pPr>
        <w:pStyle w:val="2"/>
        <w:spacing w:before="360" w:after="180"/>
      </w:pPr>
      <w:r>
        <w:rPr>
          <w:b/>
          <w:bCs/>
          <w:sz w:val="28"/>
          <w:szCs w:val="28"/>
        </w:rPr>
        <w:t>1. Introduction</w:t>
      </w:r>
    </w:p>
    <w:p w14:paraId="44A479C3">
      <w:pPr>
        <w:pStyle w:val="3"/>
        <w:spacing w:before="240" w:after="120"/>
      </w:pPr>
      <w:r>
        <w:rPr>
          <w:b/>
          <w:bCs/>
          <w:sz w:val="24"/>
          <w:szCs w:val="24"/>
        </w:rPr>
        <w:t>1.1 Problem statement</w:t>
      </w:r>
    </w:p>
    <w:p w14:paraId="7C76E26A">
      <w:pPr>
        <w:spacing w:after="120" w:line="320" w:lineRule="auto"/>
        <w:jc w:val="both"/>
      </w:pPr>
      <w:r>
        <w:rPr>
          <w:sz w:val="22"/>
          <w:szCs w:val="22"/>
        </w:rPr>
        <w:t>Autonomous AI agents are increasingly proposed as first-class participants in on-chain economic activity. The current design literature on this topic — including Track A of the present hackathon — focuses on equipping a single agent with the primitives required for safe autonomous execution: a wallet-anchored identity, a policy module that enforces spending caps and counterparty allowlists, session-scoped delegation via account-abstraction standards such as ERC-4337 and EIP-7702, and per-transaction receipts that produce an auditable record of intent and outcome. Reference architectures from Coinbase, MetaMask, and Merit converge on broadly the same stack.</w:t>
      </w:r>
    </w:p>
    <w:p w14:paraId="28C9022E">
      <w:pPr>
        <w:spacing w:after="120" w:line="320" w:lineRule="auto"/>
        <w:jc w:val="both"/>
      </w:pPr>
      <w:r>
        <w:rPr>
          <w:sz w:val="22"/>
          <w:szCs w:val="22"/>
        </w:rPr>
        <w:t>This stack is sufficient for one agent acting in isolation. It is not sufficient for the harder case, which is the case that matters as autonomous systems scale: many agents coordinating, delegating to one another, and reaching joint decisions that bind their respective principals. In the multi-agent case, the relevant safety property is no longer whether any individual agent stayed within its policy. It is whether the group of agents reached an outcome that any of them, or their principals, should be bound by. That is a different problem, and it is the subject of this paper.</w:t>
      </w:r>
    </w:p>
    <w:p w14:paraId="6A3129D7">
      <w:pPr>
        <w:pStyle w:val="3"/>
        <w:spacing w:before="240" w:after="120"/>
      </w:pPr>
      <w:r>
        <w:rPr>
          <w:b/>
          <w:bCs/>
          <w:sz w:val="24"/>
          <w:szCs w:val="24"/>
        </w:rPr>
        <w:t>1.2 Thesis</w:t>
      </w:r>
    </w:p>
    <w:p w14:paraId="07222057">
      <w:pPr>
        <w:spacing w:after="120" w:line="320" w:lineRule="auto"/>
        <w:jc w:val="both"/>
      </w:pPr>
      <w:r>
        <w:rPr>
          <w:sz w:val="22"/>
          <w:szCs w:val="22"/>
        </w:rPr>
        <w:t xml:space="preserve">Autonomous agents can coordinate decisions safely and verifiably in decentralized environments only if identity, delegation, policy, consensus, and auditability are all anchored to a shared neutral substrate. Blockchain is not the contribution; </w:t>
      </w:r>
      <w:r>
        <w:rPr>
          <w:i/>
          <w:iCs/>
          <w:sz w:val="22"/>
          <w:szCs w:val="22"/>
        </w:rPr>
        <w:t>verifiable multi-agent coordination under constrained autonomy</w:t>
      </w:r>
      <w:r>
        <w:rPr>
          <w:sz w:val="22"/>
          <w:szCs w:val="22"/>
        </w:rPr>
        <w:t xml:space="preserve"> is the contribution. Blockchain is the substrate that makes it tractable.</w:t>
      </w:r>
    </w:p>
    <w:p w14:paraId="6A832090">
      <w:pPr>
        <w:pStyle w:val="3"/>
        <w:spacing w:before="240" w:after="120"/>
      </w:pPr>
      <w:r>
        <w:rPr>
          <w:b/>
          <w:bCs/>
          <w:sz w:val="24"/>
          <w:szCs w:val="24"/>
        </w:rPr>
        <w:t>1.3 Three claims, one architecture</w:t>
      </w:r>
    </w:p>
    <w:p w14:paraId="69E5A3EC">
      <w:pPr>
        <w:spacing w:after="120" w:line="320" w:lineRule="auto"/>
        <w:jc w:val="both"/>
      </w:pPr>
      <w:r>
        <w:rPr>
          <w:sz w:val="22"/>
          <w:szCs w:val="22"/>
        </w:rPr>
        <w:t>This paper makes three design claims, each tied to a layer of the proposed architecture and each motivated by a failure mode that single-agent frameworks cannot address.</w:t>
      </w:r>
    </w:p>
    <w:p w14:paraId="3F204275">
      <w:pPr>
        <w:pStyle w:val="16"/>
        <w:numPr>
          <w:ilvl w:val="0"/>
          <w:numId w:val="1"/>
        </w:numPr>
        <w:spacing w:after="80" w:line="300" w:lineRule="auto"/>
      </w:pPr>
      <w:r>
        <w:rPr>
          <w:b/>
          <w:bCs/>
          <w:sz w:val="22"/>
          <w:szCs w:val="22"/>
        </w:rPr>
        <w:t xml:space="preserve">Claim 1. </w:t>
      </w:r>
      <w:r>
        <w:rPr>
          <w:sz w:val="22"/>
          <w:szCs w:val="22"/>
        </w:rPr>
        <w:t>Coordination-level guarantees require a dedicated coordination layer that operates over signed intents, observations, and commitments. Per-transaction receipts alone are insufficient because the harmful object in multi-agent settings is the interaction, not the transaction.</w:t>
      </w:r>
    </w:p>
    <w:p w14:paraId="073C66C4">
      <w:pPr>
        <w:pStyle w:val="16"/>
        <w:numPr>
          <w:ilvl w:val="0"/>
          <w:numId w:val="1"/>
        </w:numPr>
        <w:spacing w:after="80" w:line="300" w:lineRule="auto"/>
      </w:pPr>
      <w:r>
        <w:rPr>
          <w:b/>
          <w:bCs/>
          <w:sz w:val="22"/>
          <w:szCs w:val="22"/>
        </w:rPr>
        <w:t xml:space="preserve">Claim 2. </w:t>
      </w:r>
      <w:r>
        <w:rPr>
          <w:sz w:val="22"/>
          <w:szCs w:val="22"/>
        </w:rPr>
        <w:t>Policy must be composable across delegation hops. An agent two steps removed from a principal must be enforceably bound by the intersection of the principal's original scope and every intermediate delegation. Composition must be verifiable from public records, not from any single agent's internal logs.</w:t>
      </w:r>
    </w:p>
    <w:p w14:paraId="4916C1D2">
      <w:pPr>
        <w:pStyle w:val="16"/>
        <w:numPr>
          <w:ilvl w:val="0"/>
          <w:numId w:val="1"/>
        </w:numPr>
        <w:spacing w:after="80" w:line="300" w:lineRule="auto"/>
      </w:pPr>
      <w:r>
        <w:rPr>
          <w:b/>
          <w:bCs/>
          <w:sz w:val="22"/>
          <w:szCs w:val="22"/>
        </w:rPr>
        <w:t xml:space="preserve">Claim 3. </w:t>
      </w:r>
      <w:r>
        <w:rPr>
          <w:sz w:val="22"/>
          <w:szCs w:val="22"/>
        </w:rPr>
        <w:t>Supervisor authority is a distinct layer with its own consensus requirements. Supervisors validate high-risk escalations and push governance updates, but supervisors themselves operate under bounded, challengeable authority — the architecture cannot collapse into trusted oversight without losing the verifiability property it set out to deliver.</w:t>
      </w:r>
    </w:p>
    <w:p w14:paraId="61F4D502">
      <w:pPr>
        <w:pStyle w:val="3"/>
        <w:spacing w:before="240" w:after="120"/>
      </w:pPr>
      <w:r>
        <w:rPr>
          <w:b/>
          <w:bCs/>
          <w:sz w:val="24"/>
          <w:szCs w:val="24"/>
        </w:rPr>
        <w:t>1.4 Contributions</w:t>
      </w:r>
    </w:p>
    <w:p w14:paraId="55B53587">
      <w:pPr>
        <w:spacing w:after="120" w:line="320" w:lineRule="auto"/>
        <w:jc w:val="both"/>
      </w:pPr>
      <w:r>
        <w:rPr>
          <w:sz w:val="22"/>
          <w:szCs w:val="22"/>
        </w:rPr>
        <w:t>This paper makes four contributions:</w:t>
      </w:r>
    </w:p>
    <w:p w14:paraId="2ECC7DF5">
      <w:pPr>
        <w:pStyle w:val="16"/>
        <w:numPr>
          <w:ilvl w:val="0"/>
          <w:numId w:val="1"/>
        </w:numPr>
        <w:spacing w:after="80" w:line="300" w:lineRule="auto"/>
      </w:pPr>
      <w:r>
        <w:rPr>
          <w:b/>
          <w:bCs/>
          <w:sz w:val="22"/>
          <w:szCs w:val="22"/>
        </w:rPr>
        <w:t xml:space="preserve">1. </w:t>
      </w:r>
      <w:r>
        <w:rPr>
          <w:sz w:val="22"/>
          <w:szCs w:val="22"/>
        </w:rPr>
        <w:t>A layered architecture for multi-agent coordination over a blockchain substrate, with explicit responsibilities for an agent layer, a policy layer, a coordination layer, a substrate layer, and a supervisor layer.</w:t>
      </w:r>
    </w:p>
    <w:p w14:paraId="20EA8FA2">
      <w:pPr>
        <w:pStyle w:val="16"/>
        <w:numPr>
          <w:ilvl w:val="0"/>
          <w:numId w:val="1"/>
        </w:numPr>
        <w:spacing w:after="80" w:line="300" w:lineRule="auto"/>
      </w:pPr>
      <w:r>
        <w:rPr>
          <w:b/>
          <w:bCs/>
          <w:sz w:val="22"/>
          <w:szCs w:val="22"/>
        </w:rPr>
        <w:t xml:space="preserve">2. </w:t>
      </w:r>
      <w:r>
        <w:rPr>
          <w:sz w:val="22"/>
          <w:szCs w:val="22"/>
        </w:rPr>
        <w:t>An identification of three coordination-specific failure modes — collusion, cascading delegation, and consensus capture — that single-agent execution frameworks cannot detect, with a structural account of how the proposed architecture makes each one visible.</w:t>
      </w:r>
    </w:p>
    <w:p w14:paraId="20704D0C">
      <w:pPr>
        <w:pStyle w:val="16"/>
        <w:numPr>
          <w:ilvl w:val="0"/>
          <w:numId w:val="1"/>
        </w:numPr>
        <w:spacing w:after="80" w:line="300" w:lineRule="auto"/>
      </w:pPr>
      <w:r>
        <w:rPr>
          <w:b/>
          <w:bCs/>
          <w:sz w:val="22"/>
          <w:szCs w:val="22"/>
        </w:rPr>
        <w:t xml:space="preserve">3. </w:t>
      </w:r>
      <w:r>
        <w:rPr>
          <w:sz w:val="22"/>
          <w:szCs w:val="22"/>
        </w:rPr>
        <w:t>A stress test of the architecture against the 2028 Intelligence Crisis scenario, treating that scenario as a worst-case condition for verifiability rather than for throughput.</w:t>
      </w:r>
    </w:p>
    <w:p w14:paraId="461E4E65">
      <w:pPr>
        <w:pStyle w:val="16"/>
        <w:numPr>
          <w:ilvl w:val="0"/>
          <w:numId w:val="1"/>
        </w:numPr>
        <w:spacing w:after="80" w:line="300" w:lineRule="auto"/>
      </w:pPr>
      <w:r>
        <w:rPr>
          <w:b/>
          <w:bCs/>
          <w:sz w:val="22"/>
          <w:szCs w:val="22"/>
        </w:rPr>
        <w:t xml:space="preserve">4. </w:t>
      </w:r>
      <w:r>
        <w:rPr>
          <w:sz w:val="22"/>
          <w:szCs w:val="22"/>
        </w:rPr>
        <w:t>An explicit enumeration of what the architecture does not yet resolve, including privacy of coordination history, supervisor corruption, and the latency cost of on-chain coordination relative to in-memory message passing.</w:t>
      </w:r>
    </w:p>
    <w:p w14:paraId="627ED744">
      <w:pPr>
        <w:pStyle w:val="3"/>
        <w:spacing w:before="240" w:after="120"/>
      </w:pPr>
      <w:r>
        <w:rPr>
          <w:b/>
          <w:bCs/>
          <w:sz w:val="24"/>
          <w:szCs w:val="24"/>
        </w:rPr>
        <w:t>1.5 Paper roadmap</w:t>
      </w:r>
    </w:p>
    <w:p w14:paraId="579693AE">
      <w:pPr>
        <w:spacing w:after="120" w:line="320" w:lineRule="auto"/>
        <w:jc w:val="both"/>
      </w:pPr>
      <w:r>
        <w:rPr>
          <w:sz w:val="22"/>
          <w:szCs w:val="22"/>
        </w:rPr>
        <w:t>Section 2 reviews related work across single-agent execution frameworks, multi-agent coordination outside the blockchain context, and the on-chain agent design literature, and positions this paper's contribution against each. Section 3 specifies the architecture, layer by layer. Section 4 discusses the coordination-specific failure modes the architecture is designed to address and stress-tests the design against the 2028 Intelligence Crisis scenario. Section 5 documents the limitations of the proposal as currently specified. Section 6 concludes and sketches the empirical work required to validate the design.</w:t>
      </w:r>
    </w:p>
    <w:p w14:paraId="665DADEE">
      <w:pPr>
        <w:pStyle w:val="2"/>
        <w:spacing w:before="360" w:after="180"/>
      </w:pPr>
      <w:r>
        <w:rPr>
          <w:b/>
          <w:bCs/>
          <w:sz w:val="28"/>
          <w:szCs w:val="28"/>
        </w:rPr>
        <w:t>2. Related Work</w:t>
      </w:r>
    </w:p>
    <w:p w14:paraId="3107CDA8">
      <w:pPr>
        <w:spacing w:after="120" w:line="320" w:lineRule="auto"/>
        <w:jc w:val="both"/>
      </w:pPr>
      <w:r>
        <w:rPr>
          <w:sz w:val="22"/>
          <w:szCs w:val="22"/>
        </w:rPr>
        <w:t>We locate the contribution against three adjacent bodies of work, each of which establishes part of the substrate the proposal builds on without addressing the multi-agent coordination problem directly.</w:t>
      </w:r>
    </w:p>
    <w:p w14:paraId="3DA55BFA">
      <w:pPr>
        <w:pStyle w:val="3"/>
        <w:spacing w:before="240" w:after="120"/>
      </w:pPr>
      <w:r>
        <w:rPr>
          <w:b/>
          <w:bCs/>
          <w:sz w:val="24"/>
          <w:szCs w:val="24"/>
        </w:rPr>
        <w:t>2.1 Single-agent execution frameworks</w:t>
      </w:r>
    </w:p>
    <w:p w14:paraId="4BCC9FAD">
      <w:pPr>
        <w:spacing w:after="120" w:line="320" w:lineRule="auto"/>
        <w:jc w:val="both"/>
      </w:pPr>
      <w:r>
        <w:rPr>
          <w:sz w:val="22"/>
          <w:szCs w:val="22"/>
        </w:rPr>
        <w:t>The current generation of on-chain agent frameworks — Coinbase AgentKit, MetaMask Delegation Toolkit, Merit AgentCash — converges on a common stack: wallet-anchored identity, account-abstracted policy modules implementing spending caps and allowlists, session-scoped delegation via EIP-7702 and ERC-4337, and pre-execution simulation with intent-bound receipts. The Track A brief for this hackathon (Agent Execution &amp; Policy) is drawn from this lineage. These frameworks are necessary infrastructure for multi-agent coordination but they are not, on their own, sufficient: every safety guarantee they provide is scoped to a single agent's actions, and none of them define how the guarantees compose across agents.</w:t>
      </w:r>
    </w:p>
    <w:p w14:paraId="618E3355">
      <w:pPr>
        <w:pStyle w:val="3"/>
        <w:spacing w:before="240" w:after="120"/>
      </w:pPr>
      <w:r>
        <w:rPr>
          <w:b/>
          <w:bCs/>
          <w:sz w:val="24"/>
          <w:szCs w:val="24"/>
        </w:rPr>
        <w:t>2.2 Multi-agent coordination outside blockchain</w:t>
      </w:r>
    </w:p>
    <w:p w14:paraId="08DEE9D3">
      <w:pPr>
        <w:spacing w:after="120" w:line="320" w:lineRule="auto"/>
        <w:jc w:val="both"/>
      </w:pPr>
      <w:r>
        <w:rPr>
          <w:sz w:val="22"/>
          <w:szCs w:val="22"/>
        </w:rPr>
        <w:t>Multi-agent coordination has a long history in distributed systems and in classical AI: contract nets, blackboard architectures, market-based task allocation, and Byzantine fault-tolerant consensus protocols all address how multiple processes reach joint decisions under partial trust. The blockchain literature inherits BFT consensus directly. What it has not inherited is the structured-intent vocabulary from the agent-coordination tradition: agents in classical multi-agent systems exchange typed messages with explicit semantics (request, propose, commit, retract) that make joint behavior analyzable. The proposal in this paper imports that vocabulary into the on-chain setting, with intents, observations, and commitments as signed first-class objects.</w:t>
      </w:r>
    </w:p>
    <w:p w14:paraId="0F864EB9">
      <w:pPr>
        <w:pStyle w:val="3"/>
        <w:spacing w:before="240" w:after="120"/>
      </w:pPr>
      <w:r>
        <w:rPr>
          <w:b/>
          <w:bCs/>
          <w:sz w:val="24"/>
          <w:szCs w:val="24"/>
        </w:rPr>
        <w:t>2.3 On-chain agent identity and policy</w:t>
      </w:r>
    </w:p>
    <w:p w14:paraId="1C190D98">
      <w:pPr>
        <w:spacing w:after="120" w:line="320" w:lineRule="auto"/>
        <w:jc w:val="both"/>
      </w:pPr>
      <w:r>
        <w:rPr>
          <w:sz w:val="22"/>
          <w:szCs w:val="22"/>
        </w:rPr>
        <w:t>Recent work on decentralized identifiers, on-chain agent registries, and "Know Your Agent" credentials addresses the identity component of the proposed architecture. ERC-4337 account abstraction and EIP-7702 temporary smart-account upgrades provide the wallet-level policy enforcement primitives. The contribution of this paper is not to redefine these primitives but to specify how they compose into a coordination architecture and how they interact with a coordination layer that sits above the agents themselves.</w:t>
      </w:r>
    </w:p>
    <w:p w14:paraId="2ABC3D8B">
      <w:pPr>
        <w:pStyle w:val="3"/>
        <w:spacing w:before="240" w:after="120"/>
      </w:pPr>
      <w:r>
        <w:rPr>
          <w:b/>
          <w:bCs/>
          <w:sz w:val="24"/>
          <w:szCs w:val="24"/>
        </w:rPr>
        <w:t>2.4 Differentiation</w:t>
      </w:r>
    </w:p>
    <w:p w14:paraId="5FC76E5D">
      <w:pPr>
        <w:spacing w:after="120" w:line="320" w:lineRule="auto"/>
        <w:jc w:val="both"/>
      </w:pPr>
      <w:r>
        <w:rPr>
          <w:sz w:val="22"/>
          <w:szCs w:val="22"/>
        </w:rPr>
        <w:t>We are aware of no single prior work that simultaneously specifies an agent layer, a composable policy layer, a structured coordination layer with signed intents and observations, a blockchain substrate scoped narrowly to coordination and audit, and a supervisor layer with bounded authority. The closest neighbors address one or two of these components in isolation. The intellectual contribution of this paper lies at the intersection.</w:t>
      </w:r>
    </w:p>
    <w:p w14:paraId="64B24DDF">
      <w:pPr>
        <w:pStyle w:val="2"/>
        <w:spacing w:before="360" w:after="180"/>
      </w:pPr>
      <w:r>
        <w:rPr>
          <w:b/>
          <w:bCs/>
          <w:sz w:val="28"/>
          <w:szCs w:val="28"/>
        </w:rPr>
        <w:t>3. Architecture</w:t>
      </w:r>
    </w:p>
    <w:p w14:paraId="2030A842">
      <w:pPr>
        <w:spacing w:after="120" w:line="320" w:lineRule="auto"/>
        <w:jc w:val="both"/>
      </w:pPr>
      <w:r>
        <w:rPr>
          <w:sz w:val="22"/>
          <w:szCs w:val="22"/>
        </w:rPr>
        <w:t>The proposed architecture consists of five layers. Each layer has explicit responsibilities and an explicit interface to the layers above and below it. The blockchain layer is positioned as a substrate that all other layers anchor to, not as a layer that performs agent reasoning or executes coordination logic.</w:t>
      </w:r>
    </w:p>
    <w:p w14:paraId="04A0A9CF">
      <w:pPr>
        <w:pStyle w:val="3"/>
        <w:spacing w:before="240" w:after="120"/>
      </w:pPr>
      <w:r>
        <w:rPr>
          <w:b/>
          <w:bCs/>
          <w:sz w:val="24"/>
          <w:szCs w:val="24"/>
        </w:rPr>
        <w:t>3.1 Agent layer</w:t>
      </w:r>
    </w:p>
    <w:p w14:paraId="7597FABC">
      <w:pPr>
        <w:spacing w:after="120" w:line="320" w:lineRule="auto"/>
        <w:jc w:val="both"/>
      </w:pPr>
      <w:r>
        <w:rPr>
          <w:sz w:val="22"/>
          <w:szCs w:val="22"/>
        </w:rPr>
        <w:t>Each operator, device, or system runs its own agent. The agent performs local reasoning, maintains partial awareness of its environment, and executes tasks within its scope. Critically, the agent does not need to trust other agents at the reasoning level. Its outputs become meaningful to the broader system only when they are signed and submitted to the coordination layer as structured objects. This separation is deliberate: it allows agents to be heterogeneous in their underlying models, vendors, and inference stacks, while interoperating at the level of signed receipts rather than shared cognition. The agent layer is the only layer of the architecture where heterogeneity is unconstrained; every layer above it imposes structural requirements that all agents must satisfy.</w:t>
      </w:r>
    </w:p>
    <w:p w14:paraId="3D32E88F">
      <w:pPr>
        <w:pStyle w:val="3"/>
        <w:spacing w:before="240" w:after="120"/>
      </w:pPr>
      <w:r>
        <w:rPr>
          <w:b/>
          <w:bCs/>
          <w:sz w:val="24"/>
          <w:szCs w:val="24"/>
        </w:rPr>
        <w:t>3.2 Policy layer</w:t>
      </w:r>
    </w:p>
    <w:p w14:paraId="3E109F8E">
      <w:pPr>
        <w:spacing w:after="120" w:line="320" w:lineRule="auto"/>
        <w:jc w:val="both"/>
      </w:pPr>
      <w:r>
        <w:rPr>
          <w:sz w:val="22"/>
          <w:szCs w:val="22"/>
        </w:rPr>
        <w:t>Every agent is bound by a policy module that constrains its actions before they reach the network. The constituent primitives are familiar: spending caps, role-based permissions, allowlists of counterparties and contracts, session-scoped delegation keys issued under EIP-7702, and emergency revocation paths. What distinguishes the policy layer in a multi-agent setting is composability. When Agent A delegates a task to Agent B, the effective policy bounding B is the intersection of B's own policy and the scope of A's delegation. This composition must be expressible and enforceable on-chain, so that any third party — including a supervisor or an auditor — can verify from public records alone that the chain of delegations was valid end-to-end. Without composability, the architecture loses its ability to bound the blast radius of delegation cascades.</w:t>
      </w:r>
    </w:p>
    <w:p w14:paraId="7A858F96">
      <w:pPr>
        <w:pStyle w:val="3"/>
        <w:spacing w:before="240" w:after="120"/>
      </w:pPr>
      <w:r>
        <w:rPr>
          <w:b/>
          <w:bCs/>
          <w:sz w:val="24"/>
          <w:szCs w:val="24"/>
        </w:rPr>
        <w:t>3.3 Coordination layer</w:t>
      </w:r>
    </w:p>
    <w:p w14:paraId="28A40578">
      <w:pPr>
        <w:spacing w:after="120" w:line="320" w:lineRule="auto"/>
        <w:jc w:val="both"/>
      </w:pPr>
      <w:r>
        <w:rPr>
          <w:sz w:val="22"/>
          <w:szCs w:val="22"/>
        </w:rPr>
        <w:t>The coordination layer is where this paper's primary contribution lies. Agents exchange three kinds of signed objects: observations (claims about the environment), intents (proposals for action), and commitments (agreements to act). All three are addressable, hashable, and referenceable on-chain. Coordination proceeds through structured protocols over these objects rather than through unstructured peer-to-peer messaging.</w:t>
      </w:r>
    </w:p>
    <w:p w14:paraId="10DEBD6B">
      <w:pPr>
        <w:spacing w:after="120" w:line="320" w:lineRule="auto"/>
        <w:jc w:val="both"/>
      </w:pPr>
      <w:r>
        <w:rPr>
          <w:sz w:val="22"/>
          <w:szCs w:val="22"/>
        </w:rPr>
        <w:t>Four mechanisms operate within this layer:</w:t>
      </w:r>
    </w:p>
    <w:p w14:paraId="44DA681A">
      <w:pPr>
        <w:pStyle w:val="16"/>
        <w:numPr>
          <w:ilvl w:val="0"/>
          <w:numId w:val="1"/>
        </w:numPr>
        <w:spacing w:after="80" w:line="300" w:lineRule="auto"/>
      </w:pPr>
      <w:r>
        <w:rPr>
          <w:b/>
          <w:bCs/>
          <w:sz w:val="22"/>
          <w:szCs w:val="22"/>
        </w:rPr>
        <w:t xml:space="preserve">Intent broadcast and matching. </w:t>
      </w:r>
      <w:r>
        <w:rPr>
          <w:sz w:val="22"/>
          <w:szCs w:val="22"/>
        </w:rPr>
        <w:t>an agent publishes a signed intent; other agents respond with compatible intents or commitments. The matching procedure itself is on-chain or anchored to it.</w:t>
      </w:r>
    </w:p>
    <w:p w14:paraId="67E1A9BC">
      <w:pPr>
        <w:pStyle w:val="16"/>
        <w:numPr>
          <w:ilvl w:val="0"/>
          <w:numId w:val="1"/>
        </w:numPr>
        <w:spacing w:after="80" w:line="300" w:lineRule="auto"/>
      </w:pPr>
      <w:r>
        <w:rPr>
          <w:b/>
          <w:bCs/>
          <w:sz w:val="22"/>
          <w:szCs w:val="22"/>
        </w:rPr>
        <w:t xml:space="preserve">Observation aggregation. </w:t>
      </w:r>
      <w:r>
        <w:rPr>
          <w:sz w:val="22"/>
          <w:szCs w:val="22"/>
        </w:rPr>
        <w:t>when a decision depends on multiple agents' views of the world, observations are aggregated with explicit provenance, so that any single agent's contribution can be re-verified, weighted, or excluded after the fact.</w:t>
      </w:r>
    </w:p>
    <w:p w14:paraId="40A7B7BE">
      <w:pPr>
        <w:pStyle w:val="16"/>
        <w:numPr>
          <w:ilvl w:val="0"/>
          <w:numId w:val="1"/>
        </w:numPr>
        <w:spacing w:after="80" w:line="300" w:lineRule="auto"/>
      </w:pPr>
      <w:r>
        <w:rPr>
          <w:b/>
          <w:bCs/>
          <w:sz w:val="22"/>
          <w:szCs w:val="22"/>
        </w:rPr>
        <w:t xml:space="preserve">Conflict resolution. </w:t>
      </w:r>
      <w:r>
        <w:rPr>
          <w:sz w:val="22"/>
          <w:szCs w:val="22"/>
        </w:rPr>
        <w:t>when intents collide or observations contradict, resolution proceeds under pre-published rules — auction, priority, supervisor escalation — and the resolution itself is recorded as a signed object that closes the conflict.</w:t>
      </w:r>
    </w:p>
    <w:p w14:paraId="58326EBB">
      <w:pPr>
        <w:pStyle w:val="16"/>
        <w:numPr>
          <w:ilvl w:val="0"/>
          <w:numId w:val="1"/>
        </w:numPr>
        <w:spacing w:after="80" w:line="300" w:lineRule="auto"/>
      </w:pPr>
      <w:r>
        <w:rPr>
          <w:b/>
          <w:bCs/>
          <w:sz w:val="22"/>
          <w:szCs w:val="22"/>
        </w:rPr>
        <w:t xml:space="preserve">Trust scoring. </w:t>
      </w:r>
      <w:r>
        <w:rPr>
          <w:sz w:val="22"/>
          <w:szCs w:val="22"/>
        </w:rPr>
        <w:t>each agent accumulates a verifiable history of commitments, fulfillments, and disputes. Trust is not a centralized score but a function any participant can compute from the public record. Different parties can use different scoring functions over the same record.</w:t>
      </w:r>
    </w:p>
    <w:p w14:paraId="56CCED98">
      <w:pPr>
        <w:spacing w:after="120" w:line="320" w:lineRule="auto"/>
        <w:jc w:val="both"/>
      </w:pPr>
      <w:r>
        <w:rPr>
          <w:sz w:val="22"/>
          <w:szCs w:val="22"/>
        </w:rPr>
        <w:t>The point of this layer is not to eliminate disagreement between agents. It is to make every disagreement, and every resolution, into a structured artifact that downstream parties can verify.</w:t>
      </w:r>
    </w:p>
    <w:p w14:paraId="09CCBB07">
      <w:pPr>
        <w:pStyle w:val="3"/>
        <w:spacing w:before="240" w:after="120"/>
      </w:pPr>
      <w:r>
        <w:rPr>
          <w:b/>
          <w:bCs/>
          <w:sz w:val="24"/>
          <w:szCs w:val="24"/>
        </w:rPr>
        <w:t>3.4 Blockchain substrate</w:t>
      </w:r>
    </w:p>
    <w:p w14:paraId="1D16D44E">
      <w:pPr>
        <w:spacing w:after="120" w:line="320" w:lineRule="auto"/>
        <w:jc w:val="both"/>
      </w:pPr>
      <w:r>
        <w:rPr>
          <w:sz w:val="22"/>
          <w:szCs w:val="22"/>
        </w:rPr>
        <w:t>The substrate has narrow but non-negotiable responsibilities. It maintains an identity registry binding each agent to its principal and declared policy, via decentralized identifiers, smart accounts, or dedicated agent-registry entries. It records every act of authority transfer — principal to agent, agent to agent, session-key issuance — as an on-chain object with explicit scope and expiry. It commits Policy Decision Records (PDRs) whenever a policy module approves or blocks an action, alongside the inputs that produced the decision. It produces standard execution receipts, enriched with intent hashes so each receipt traces to the coordination object that authorized it. And it records the coordination history: the graph of intents, observations, commitments, and resolutions that makes multi-agent decisions auditable as decisions, not merely as sequences of independent transactions.</w:t>
      </w:r>
    </w:p>
    <w:p w14:paraId="497BEA61">
      <w:pPr>
        <w:spacing w:after="120" w:line="320" w:lineRule="auto"/>
        <w:jc w:val="both"/>
      </w:pPr>
      <w:r>
        <w:rPr>
          <w:sz w:val="22"/>
          <w:szCs w:val="22"/>
        </w:rPr>
        <w:t>What the substrate does not do is also load-bearing. It does not run agent reasoning. It does not impose action semantics. It does not adjudicate intent. Reasoning is off-chain; commitments and the audit trail are on-chain. This narrowness is what allows heterogeneous agents to interoperate without a shared cognitive contract.</w:t>
      </w:r>
    </w:p>
    <w:p w14:paraId="0C72989F">
      <w:pPr>
        <w:pStyle w:val="3"/>
        <w:spacing w:before="240" w:after="120"/>
      </w:pPr>
      <w:r>
        <w:rPr>
          <w:b/>
          <w:bCs/>
          <w:sz w:val="24"/>
          <w:szCs w:val="24"/>
        </w:rPr>
        <w:t>3.5 Supervisor layer</w:t>
      </w:r>
    </w:p>
    <w:p w14:paraId="2D28BEA0">
      <w:pPr>
        <w:spacing w:after="120" w:line="320" w:lineRule="auto"/>
        <w:jc w:val="both"/>
      </w:pPr>
      <w:r>
        <w:rPr>
          <w:sz w:val="22"/>
          <w:szCs w:val="22"/>
        </w:rPr>
        <w:t>Supervisor nodes validate high-risk escalations, push governance updates, and intervene on detected anomalies. The supervisor layer is necessary because not every decision can be left to peer-level coordination — some actions exceed any reasonable agent's authority and require explicit ratification from a node whose authority is recognized by the principals involved.</w:t>
      </w:r>
    </w:p>
    <w:p w14:paraId="1D4A3AB8">
      <w:pPr>
        <w:spacing w:after="120" w:line="320" w:lineRule="auto"/>
        <w:jc w:val="both"/>
      </w:pPr>
      <w:r>
        <w:rPr>
          <w:sz w:val="22"/>
          <w:szCs w:val="22"/>
        </w:rPr>
        <w:t>Supervisor authority is bounded in three ways. First, supervisors operate under threshold consensus: an action requires M-of-N supervisor signatures, where M and N are set per-domain. Single supervisor compromise cannot ratify an action. Second, supervisor decisions enter a challenge window during which any affected principal can dispute the decision before it becomes final; the architecture trades latency for revocability. Third, supervisor authority composes with principal authority by narrowing, never by overriding: a supervisor can refuse to ratify an action a principal has authorized, but cannot ratify an action a principal has explicitly forbidden. This is the structural answer to the "who supervises the supervisors" question — the principals do, by retaining a veto.</w:t>
      </w:r>
    </w:p>
    <w:p w14:paraId="10043B34">
      <w:pPr>
        <w:spacing w:after="120" w:line="320" w:lineRule="auto"/>
        <w:jc w:val="both"/>
      </w:pPr>
      <w:r>
        <w:rPr>
          <w:sz w:val="22"/>
          <w:szCs w:val="22"/>
        </w:rPr>
        <w:t>This specification is one viable instantiation of the supervisor layer rather than the only one. Alternatives — optimistic supervision with longer challenge windows, rotating committees, supervisors drawn by stake — are compatible with the rest of the architecture and are appropriate topics for follow-up work.</w:t>
      </w:r>
    </w:p>
    <w:p w14:paraId="4A5FC438">
      <w:pPr>
        <w:pStyle w:val="2"/>
        <w:spacing w:before="360" w:after="180"/>
      </w:pPr>
      <w:r>
        <w:rPr>
          <w:b/>
          <w:bCs/>
          <w:sz w:val="28"/>
          <w:szCs w:val="28"/>
        </w:rPr>
        <w:t>4. Discussion</w:t>
      </w:r>
    </w:p>
    <w:p w14:paraId="72B65969">
      <w:pPr>
        <w:pStyle w:val="3"/>
        <w:spacing w:before="240" w:after="120"/>
      </w:pPr>
      <w:r>
        <w:rPr>
          <w:b/>
          <w:bCs/>
          <w:sz w:val="24"/>
          <w:szCs w:val="24"/>
        </w:rPr>
        <w:t>4.1 Coordination-specific failure modes</w:t>
      </w:r>
    </w:p>
    <w:p w14:paraId="2F027F00">
      <w:pPr>
        <w:spacing w:after="120" w:line="320" w:lineRule="auto"/>
        <w:jc w:val="both"/>
      </w:pPr>
      <w:r>
        <w:rPr>
          <w:sz w:val="22"/>
          <w:szCs w:val="22"/>
        </w:rPr>
        <w:t>The case for a coordination layer rests on three failure modes that single-agent execution frameworks cannot detect by construction. Each is concretely described in terms of the architecture's coordination objects and policy composition rules.</w:t>
      </w:r>
    </w:p>
    <w:p w14:paraId="48EB3218">
      <w:pPr>
        <w:pStyle w:val="4"/>
        <w:spacing w:before="180" w:after="100"/>
      </w:pPr>
      <w:r>
        <w:rPr>
          <w:b/>
          <w:bCs/>
          <w:i/>
          <w:iCs/>
          <w:sz w:val="22"/>
          <w:szCs w:val="22"/>
        </w:rPr>
        <w:t>4.1.1 Collusion</w:t>
      </w:r>
    </w:p>
    <w:p w14:paraId="3F49748B">
      <w:pPr>
        <w:spacing w:after="120" w:line="320" w:lineRule="auto"/>
        <w:jc w:val="both"/>
      </w:pPr>
      <w:r>
        <w:rPr>
          <w:sz w:val="22"/>
          <w:szCs w:val="22"/>
        </w:rPr>
        <w:t>Two agents, each individually compliant with its own policy, jointly produce an outcome that neither principal would have authorized. The canonical example: Agent A holds a delegation from Principal P with a counterparty allowlist that excludes a known adversarial address X. Agent A submits an intent to swap with Agent B, which independently submits an intent to forward the proceeds to X. Both intents are policy-compliant in isolation. The harmful outcome — value flowing from P to X — exists only in the composition. In the proposed architecture, the coordination layer's commitment graph makes the composition visible: the receipt from A's swap references B's commitment, which references the forwarding intent, which references X. An auditor or supervisor can query the graph for any commitment chain that terminates at a disallowed address, regardless of which agent's individual policy was clean. Single-agent frameworks cannot perform this query because they do not maintain inter-agent commitment references.</w:t>
      </w:r>
    </w:p>
    <w:p w14:paraId="788BD264">
      <w:pPr>
        <w:pStyle w:val="4"/>
        <w:spacing w:before="180" w:after="100"/>
      </w:pPr>
      <w:r>
        <w:rPr>
          <w:b/>
          <w:bCs/>
          <w:i/>
          <w:iCs/>
          <w:sz w:val="22"/>
          <w:szCs w:val="22"/>
        </w:rPr>
        <w:t>4.1.2 Cascading delegation</w:t>
      </w:r>
    </w:p>
    <w:p w14:paraId="4300B3ED">
      <w:pPr>
        <w:spacing w:after="120" w:line="320" w:lineRule="auto"/>
        <w:jc w:val="both"/>
      </w:pPr>
      <w:r>
        <w:rPr>
          <w:sz w:val="22"/>
          <w:szCs w:val="22"/>
        </w:rPr>
        <w:t>Principal P delegates a task to Agent A; A delegates a sub-task to B; B delegates to C. By the time C executes, three policy compositions have occurred. If each delegation merely passes through the principal's intent without intersection, C may act on authority that no longer reflects what P originally authorized. The architecture's composable policy rule addresses this directly: every delegation produces an on-chain delegation record whose scope is the intersection of the delegator's scope and the additional constraints the delegator imposes. C's effective policy is verifiable from the public delegation chain. Importantly, this means C cannot exceed P's original scope even if A and B's intermediate scopes were broader than P's — the intersection rule is one-directional. Single-agent frameworks treat delegation as authority transfer rather than authority narrowing, which is the structural error.</w:t>
      </w:r>
    </w:p>
    <w:p w14:paraId="7386C347">
      <w:pPr>
        <w:pStyle w:val="4"/>
        <w:spacing w:before="180" w:after="100"/>
      </w:pPr>
      <w:r>
        <w:rPr>
          <w:b/>
          <w:bCs/>
          <w:i/>
          <w:iCs/>
          <w:sz w:val="22"/>
          <w:szCs w:val="22"/>
        </w:rPr>
        <w:t>4.1.3 Consensus capture</w:t>
      </w:r>
    </w:p>
    <w:p w14:paraId="587EDAD7">
      <w:pPr>
        <w:spacing w:after="120" w:line="320" w:lineRule="auto"/>
        <w:jc w:val="both"/>
      </w:pPr>
      <w:r>
        <w:rPr>
          <w:sz w:val="22"/>
          <w:szCs w:val="22"/>
        </w:rPr>
        <w:t>A supervisor is meant to validate a high-risk action based on observations submitted by lower-level agents. An attacker who controls a sufficient minority of those agents can manipulate the observation set to manufacture approval. The architecture addresses this in two ways. First, observation aggregation in the coordination layer preserves provenance: the supervisor sees not a single aggregated number but the set of contributing observations with their signers. Second, the supervisor's M-of-N threshold can be set above the assumed adversarial fraction; if the adversarial fraction grows beyond expectations, the manipulation produces a visible signature on-chain — an observation set that is statistically inconsistent with the previously observed agent reporting distribution. The architecture does not eliminate the attack; it makes the attack visible, and the visibility is what permits after-the-fact remediation.</w:t>
      </w:r>
    </w:p>
    <w:p w14:paraId="30D9B441">
      <w:pPr>
        <w:pStyle w:val="3"/>
        <w:spacing w:before="240" w:after="120"/>
      </w:pPr>
      <w:r>
        <w:rPr>
          <w:b/>
          <w:bCs/>
          <w:sz w:val="24"/>
          <w:szCs w:val="24"/>
        </w:rPr>
        <w:t>4.2 Stress test: the 2028 Intelligence Crisis</w:t>
      </w:r>
    </w:p>
    <w:p w14:paraId="5B2509D5">
      <w:pPr>
        <w:spacing w:after="120" w:line="320" w:lineRule="auto"/>
        <w:jc w:val="both"/>
      </w:pPr>
      <w:r>
        <w:rPr>
          <w:sz w:val="22"/>
          <w:szCs w:val="22"/>
        </w:rPr>
        <w:t>The 2028 Intelligence Crisis scenario posits a macro environment in which autonomous agents conduct most economic activity while human consumption collapses, producing a Ghost GDP condition. We treat this as a worst-case stress test for the proposed architecture along four axes.</w:t>
      </w:r>
    </w:p>
    <w:p w14:paraId="7C99521F">
      <w:pPr>
        <w:pStyle w:val="4"/>
        <w:spacing w:before="180" w:after="100"/>
      </w:pPr>
      <w:r>
        <w:rPr>
          <w:b/>
          <w:bCs/>
          <w:i/>
          <w:iCs/>
          <w:sz w:val="22"/>
          <w:szCs w:val="22"/>
        </w:rPr>
        <w:t>4.2.1 Agent transaction surge</w:t>
      </w:r>
    </w:p>
    <w:p w14:paraId="68FA6C40">
      <w:pPr>
        <w:spacing w:after="120" w:line="320" w:lineRule="auto"/>
        <w:jc w:val="both"/>
      </w:pPr>
      <w:r>
        <w:rPr>
          <w:sz w:val="22"/>
          <w:szCs w:val="22"/>
        </w:rPr>
        <w:t>Throughput spikes by orders of magnitude while human-originated transactions collapse. The architecture's verifiability guarantee depends on coordination history remaining queryable, not merely written. Under surge conditions, the substrate must scale read-side indexing and observers must distinguish agent-to-agent flows from background activity. The architecture's commitment to on-chain coordination history is the brittle point here: if the substrate cannot sustain the write rate without compromising audit query latency, the verifiability property degrades from real-time to forensic-only. This is a substrate-engineering challenge, not an architecture-design one, but it bounds the scenarios in which the design holds.</w:t>
      </w:r>
    </w:p>
    <w:p w14:paraId="46CE2D59">
      <w:pPr>
        <w:pStyle w:val="4"/>
        <w:spacing w:before="180" w:after="100"/>
      </w:pPr>
      <w:r>
        <w:rPr>
          <w:b/>
          <w:bCs/>
          <w:i/>
          <w:iCs/>
          <w:sz w:val="22"/>
          <w:szCs w:val="22"/>
        </w:rPr>
        <w:t>4.2.2 Settlement disruption</w:t>
      </w:r>
    </w:p>
    <w:p w14:paraId="35C04ED1">
      <w:pPr>
        <w:spacing w:after="120" w:line="320" w:lineRule="auto"/>
        <w:jc w:val="both"/>
      </w:pPr>
      <w:r>
        <w:rPr>
          <w:sz w:val="22"/>
          <w:szCs w:val="22"/>
        </w:rPr>
        <w:t>A stablecoin de-pegs mid-coordination. Agents holding in-flight commitments denominated in the affected stablecoin face a re-pricing event during the resolution window. The architecture's response is structural: commitments carry explicit denomination metadata, and the conflict-resolution sub-protocol in the coordination layer can be parameterized to invoke a re-denomination path when oracle-detected peg deviation exceeds a threshold. The audit trail is preserved across re-denomination because the original commitment, the trigger observation, and the re-denominated commitment are all signed objects in the coordination history. The architecture does not prevent the loss; it preserves the chain of reasoning that produced the response.</w:t>
      </w:r>
    </w:p>
    <w:p w14:paraId="4B6B1B40">
      <w:pPr>
        <w:pStyle w:val="4"/>
        <w:spacing w:before="180" w:after="100"/>
      </w:pPr>
      <w:r>
        <w:rPr>
          <w:b/>
          <w:bCs/>
          <w:i/>
          <w:iCs/>
          <w:sz w:val="22"/>
          <w:szCs w:val="22"/>
        </w:rPr>
        <w:t>4.2.3 Policy shock</w:t>
      </w:r>
    </w:p>
    <w:p w14:paraId="26A9AD3D">
      <w:pPr>
        <w:spacing w:after="120" w:line="320" w:lineRule="auto"/>
        <w:jc w:val="both"/>
      </w:pPr>
      <w:r>
        <w:rPr>
          <w:sz w:val="22"/>
          <w:szCs w:val="22"/>
        </w:rPr>
        <w:t>A regulator imposes a new constraint — a compute tax, a per-agent levy, a category-level ban — that must be reflected in every active agent's policy module within a constrained window. The architecture supports this via on-chain governance: a new policy rule is published, supervisors ratify it under their threshold protocol, and each agent's policy module is required to read the active policy version before submitting any intent. Commitments made under the old policy enter the supervisor challenge process for migration. The brittleness is in the response window: if the regulator's window is shorter than the supervisor challenge period, the architecture must trade off between rapid compliance and revocable supervision. The proposal as currently specified does not resolve this trade-off; it makes the trade-off explicit and parameterizable.</w:t>
      </w:r>
    </w:p>
    <w:p w14:paraId="60B9C245">
      <w:pPr>
        <w:pStyle w:val="4"/>
        <w:spacing w:before="180" w:after="100"/>
      </w:pPr>
      <w:r>
        <w:rPr>
          <w:b/>
          <w:bCs/>
          <w:i/>
          <w:iCs/>
          <w:sz w:val="22"/>
          <w:szCs w:val="22"/>
        </w:rPr>
        <w:t>4.2.4 Adversarial conditions</w:t>
      </w:r>
    </w:p>
    <w:p w14:paraId="0329362D">
      <w:pPr>
        <w:spacing w:after="120" w:line="320" w:lineRule="auto"/>
        <w:jc w:val="both"/>
      </w:pPr>
      <w:r>
        <w:rPr>
          <w:sz w:val="22"/>
          <w:szCs w:val="22"/>
        </w:rPr>
        <w:t>Under crisis conditions, the assumption that any meaningful fraction of agents remains honest is itself fragile. An attacker who compromises a sufficient subset can attempt to manufacture consensus, forge observations, or exploit cascading delegation. The architecture's claim is not that these attacks fail. It is that they remain visible: every attack surface above corresponds to a signed object in the coordination history, and the breach is reconstructible from public records. Visibility is a weaker guarantee than prevention, but it is the strongest guarantee compatible with the underlying assumption that no party — including supervisors — can be unilaterally trusted. The architecture's verifiability property is what permits remediation; without it, the system has no observable failure boundary.</w:t>
      </w:r>
    </w:p>
    <w:p w14:paraId="7502ADC5">
      <w:pPr>
        <w:pStyle w:val="3"/>
        <w:spacing w:before="240" w:after="120"/>
      </w:pPr>
      <w:r>
        <w:rPr>
          <w:b/>
          <w:bCs/>
          <w:sz w:val="24"/>
          <w:szCs w:val="24"/>
        </w:rPr>
        <w:t>4.3 What the architecture is not</w:t>
      </w:r>
    </w:p>
    <w:p w14:paraId="7A5D7CFF">
      <w:pPr>
        <w:spacing w:after="120" w:line="320" w:lineRule="auto"/>
        <w:jc w:val="both"/>
      </w:pPr>
      <w:r>
        <w:rPr>
          <w:sz w:val="22"/>
          <w:szCs w:val="22"/>
        </w:rPr>
        <w:t>Three clarifications are appropriate because the design space is noisy. The architecture is not a proposal that agents be paid in cryptocurrency; payment rails are downstream of coordination. The architecture is not a proposal that blockchains run AI inference; inference is off-chain, and only commitments are on-chain. The architecture is not a proposal to remove human oversight; the supervisor layer is precisely where human-aligned authority sits, and the design is intended to make oversight tractable at scales where manual review of every agent action is infeasible.</w:t>
      </w:r>
    </w:p>
    <w:p w14:paraId="013238F6">
      <w:pPr>
        <w:pStyle w:val="2"/>
        <w:spacing w:before="360" w:after="180"/>
      </w:pPr>
      <w:r>
        <w:rPr>
          <w:b/>
          <w:bCs/>
          <w:sz w:val="28"/>
          <w:szCs w:val="28"/>
        </w:rPr>
        <w:t>5. Limitations</w:t>
      </w:r>
    </w:p>
    <w:p w14:paraId="63BAADFC">
      <w:pPr>
        <w:spacing w:after="120" w:line="320" w:lineRule="auto"/>
        <w:jc w:val="both"/>
      </w:pPr>
      <w:r>
        <w:rPr>
          <w:sz w:val="22"/>
          <w:szCs w:val="22"/>
        </w:rPr>
        <w:t>Five limitations bound the strength of the proposal as currently specified. Each is documented here rather than deferred, in the interest of inviting mentor feedback and structured replication.</w:t>
      </w:r>
    </w:p>
    <w:p w14:paraId="36E204E0">
      <w:pPr>
        <w:pStyle w:val="3"/>
        <w:spacing w:before="240" w:after="120"/>
      </w:pPr>
      <w:r>
        <w:rPr>
          <w:b/>
          <w:bCs/>
          <w:sz w:val="24"/>
          <w:szCs w:val="24"/>
        </w:rPr>
        <w:t>5.1 Privacy of coordination history</w:t>
      </w:r>
    </w:p>
    <w:p w14:paraId="7F69D5A9">
      <w:pPr>
        <w:spacing w:after="120" w:line="320" w:lineRule="auto"/>
        <w:jc w:val="both"/>
      </w:pPr>
      <w:r>
        <w:rPr>
          <w:sz w:val="22"/>
          <w:szCs w:val="22"/>
        </w:rPr>
        <w:t>The architecture's verifiability property is purchased by making coordination history public. This creates a tension with use cases — competitive trading, confidential supply chains, healthcare-adjacent device coordination — where the act of coordinating is itself sensitive. Zero-knowledge commitment schemes, encrypted observations with selective disclosure, and trusted execution environments are candidate mitigations; none are specified in the current proposal. The privacy question is the single most significant unresolved design issue.</w:t>
      </w:r>
    </w:p>
    <w:p w14:paraId="022F8BF0">
      <w:pPr>
        <w:pStyle w:val="3"/>
        <w:spacing w:before="240" w:after="120"/>
      </w:pPr>
      <w:r>
        <w:rPr>
          <w:b/>
          <w:bCs/>
          <w:sz w:val="24"/>
          <w:szCs w:val="24"/>
        </w:rPr>
        <w:t>5.2 Supervisor corruption</w:t>
      </w:r>
    </w:p>
    <w:p w14:paraId="7AA60D66">
      <w:pPr>
        <w:spacing w:after="120" w:line="320" w:lineRule="auto"/>
        <w:jc w:val="both"/>
      </w:pPr>
      <w:r>
        <w:rPr>
          <w:sz w:val="22"/>
          <w:szCs w:val="22"/>
        </w:rPr>
        <w:t>The supervisor layer's M-of-N threshold protects against compromise of fewer than M supervisors, but provides no recourse against coordinated compromise above the threshold. The principal-veto mechanism described in section 3.5 narrows but does not eliminate this risk: a sufficiently determined attacker who has compromised both supervisors and principals can ratify arbitrary actions. The architecture does not claim to solve this. It claims to make the breach reconstructible from public records, which is a strictly weaker property than prevention.</w:t>
      </w:r>
    </w:p>
    <w:p w14:paraId="3E67118F">
      <w:pPr>
        <w:pStyle w:val="3"/>
        <w:spacing w:before="240" w:after="120"/>
      </w:pPr>
      <w:r>
        <w:rPr>
          <w:b/>
          <w:bCs/>
          <w:sz w:val="24"/>
          <w:szCs w:val="24"/>
        </w:rPr>
        <w:t>5.3 Latency cost of on-chain coordination</w:t>
      </w:r>
    </w:p>
    <w:p w14:paraId="407BCC33">
      <w:pPr>
        <w:spacing w:after="120" w:line="320" w:lineRule="auto"/>
        <w:jc w:val="both"/>
      </w:pPr>
      <w:r>
        <w:rPr>
          <w:sz w:val="22"/>
          <w:szCs w:val="22"/>
        </w:rPr>
        <w:t>Coordination over a blockchain substrate imposes confirmation latency that in-memory message passing does not. For coordination involving small numbers of agents and high-frequency interactions, this overhead is prohibitive. The architecture is targeted at coordination where the stakes per interaction justify the latency cost — irreversible economic actions, cross-trust-domain delegations, supervisor escalations. Low-stakes, high-frequency coordination should remain off-chain, with periodic anchoring rather than per-interaction commitment. The boundary between these regimes is a parameterization question the proposal does not yet resolve.</w:t>
      </w:r>
    </w:p>
    <w:p w14:paraId="366729F6">
      <w:pPr>
        <w:pStyle w:val="3"/>
        <w:spacing w:before="240" w:after="120"/>
      </w:pPr>
      <w:r>
        <w:rPr>
          <w:b/>
          <w:bCs/>
          <w:sz w:val="24"/>
          <w:szCs w:val="24"/>
        </w:rPr>
        <w:t>5.4 Empirical validation deferred</w:t>
      </w:r>
    </w:p>
    <w:p w14:paraId="5B10E4D5">
      <w:pPr>
        <w:spacing w:after="120" w:line="320" w:lineRule="auto"/>
        <w:jc w:val="both"/>
      </w:pPr>
      <w:r>
        <w:rPr>
          <w:sz w:val="22"/>
          <w:szCs w:val="22"/>
        </w:rPr>
        <w:t>This is a design paper. No empirical validation of the proposed architecture is presented. The failure mode discussion in section 4.1 is structural rather than measured; the stress test in section 4.2 is conceptual rather than simulated. A meaningful next step is a prototype implementation of the coordination object schema and the policy composition rules, evaluated against the three failure modes under adversarial conditions. Section 6 sketches this work.</w:t>
      </w:r>
    </w:p>
    <w:p w14:paraId="7115F9D9">
      <w:pPr>
        <w:pStyle w:val="3"/>
        <w:spacing w:before="240" w:after="120"/>
      </w:pPr>
      <w:r>
        <w:rPr>
          <w:b/>
          <w:bCs/>
          <w:sz w:val="24"/>
          <w:szCs w:val="24"/>
        </w:rPr>
        <w:t>5.5 Interoperability across identity systems</w:t>
      </w:r>
    </w:p>
    <w:p w14:paraId="42CDAD7C">
      <w:pPr>
        <w:spacing w:after="120" w:line="320" w:lineRule="auto"/>
        <w:jc w:val="both"/>
      </w:pPr>
      <w:r>
        <w:rPr>
          <w:sz w:val="22"/>
          <w:szCs w:val="22"/>
        </w:rPr>
        <w:t>The architecture assumes a shared identity registry but does not specify how heterogeneous identity systems — different DID methods, different chain registries, different attestation formats — interoperate. In practice, multi-domain agent coordination will cross identity boundaries. The proposal currently treats this as out of scope. A complete specification requires a cross-registry resolution protocol that preserves the verifiability property across identity-system boundaries.</w:t>
      </w:r>
    </w:p>
    <w:p w14:paraId="77F80324">
      <w:pPr>
        <w:pStyle w:val="2"/>
        <w:spacing w:before="360" w:after="180"/>
      </w:pPr>
      <w:r>
        <w:rPr>
          <w:b/>
          <w:bCs/>
          <w:sz w:val="28"/>
          <w:szCs w:val="28"/>
        </w:rPr>
        <w:t>6. Conclusion and Future Work</w:t>
      </w:r>
    </w:p>
    <w:p w14:paraId="16716EFE">
      <w:pPr>
        <w:pStyle w:val="3"/>
        <w:spacing w:before="240" w:after="120"/>
      </w:pPr>
      <w:r>
        <w:rPr>
          <w:b/>
          <w:bCs/>
          <w:sz w:val="24"/>
          <w:szCs w:val="24"/>
        </w:rPr>
        <w:t>6.1 Summary of contributions</w:t>
      </w:r>
    </w:p>
    <w:p w14:paraId="1A3386BD">
      <w:pPr>
        <w:spacing w:after="120" w:line="320" w:lineRule="auto"/>
        <w:jc w:val="both"/>
      </w:pPr>
      <w:r>
        <w:rPr>
          <w:sz w:val="22"/>
          <w:szCs w:val="22"/>
        </w:rPr>
        <w:t>We have specified a five-layer architecture for verifiable multi-agent coordination under constrained autonomy, identified three coordination-specific failure modes that single-agent execution frameworks cannot detect, and stress-tested the design against the 2028 Intelligence Crisis scenario. The intellectual contribution is the coordination layer plus composable policy operating over a narrowly scoped blockchain substrate, not the on-chain primitives in isolation. The architecture is intended to make multi-agent failures visible and remediable, not to prevent every individual failure.</w:t>
      </w:r>
    </w:p>
    <w:p w14:paraId="20F7459B">
      <w:pPr>
        <w:pStyle w:val="3"/>
        <w:spacing w:before="240" w:after="120"/>
      </w:pPr>
      <w:r>
        <w:rPr>
          <w:b/>
          <w:bCs/>
          <w:sz w:val="24"/>
          <w:szCs w:val="24"/>
        </w:rPr>
        <w:t>6.2 Open questions</w:t>
      </w:r>
    </w:p>
    <w:p w14:paraId="68A46DC9">
      <w:pPr>
        <w:spacing w:after="120" w:line="320" w:lineRule="auto"/>
        <w:jc w:val="both"/>
      </w:pPr>
      <w:r>
        <w:rPr>
          <w:sz w:val="22"/>
          <w:szCs w:val="22"/>
        </w:rPr>
        <w:t>Three questions are worth flagging for mentor input and follow-up work:</w:t>
      </w:r>
    </w:p>
    <w:p w14:paraId="2A8885DE">
      <w:pPr>
        <w:pStyle w:val="16"/>
        <w:numPr>
          <w:ilvl w:val="0"/>
          <w:numId w:val="1"/>
        </w:numPr>
        <w:spacing w:after="80" w:line="300" w:lineRule="auto"/>
      </w:pPr>
      <w:r>
        <w:rPr>
          <w:b/>
          <w:bCs/>
          <w:sz w:val="22"/>
          <w:szCs w:val="22"/>
        </w:rPr>
        <w:t xml:space="preserve">Privacy versus verifiability. </w:t>
      </w:r>
      <w:r>
        <w:rPr>
          <w:sz w:val="22"/>
          <w:szCs w:val="22"/>
        </w:rPr>
        <w:t>the public coordination history is the architecture's audit guarantee and its largest design tension. Selective-disclosure schemes are the natural candidate but introduce complexity that must be measured against the verifiability loss.</w:t>
      </w:r>
    </w:p>
    <w:p w14:paraId="44420EE8">
      <w:pPr>
        <w:pStyle w:val="16"/>
        <w:numPr>
          <w:ilvl w:val="0"/>
          <w:numId w:val="1"/>
        </w:numPr>
        <w:spacing w:after="80" w:line="300" w:lineRule="auto"/>
      </w:pPr>
      <w:r>
        <w:rPr>
          <w:b/>
          <w:bCs/>
          <w:sz w:val="22"/>
          <w:szCs w:val="22"/>
        </w:rPr>
        <w:t xml:space="preserve">Policy composition formalism. </w:t>
      </w:r>
      <w:r>
        <w:rPr>
          <w:sz w:val="22"/>
          <w:szCs w:val="22"/>
        </w:rPr>
        <w:t>the intersection rule for delegation chains is stated structurally in this paper. A formal specification — likely in a constraint-logic vocabulary — is needed before the rule can be implemented and verified.</w:t>
      </w:r>
    </w:p>
    <w:p w14:paraId="12FC8AE1">
      <w:pPr>
        <w:pStyle w:val="16"/>
        <w:numPr>
          <w:ilvl w:val="0"/>
          <w:numId w:val="1"/>
        </w:numPr>
        <w:spacing w:after="80" w:line="300" w:lineRule="auto"/>
      </w:pPr>
      <w:r>
        <w:rPr>
          <w:b/>
          <w:bCs/>
          <w:sz w:val="22"/>
          <w:szCs w:val="22"/>
        </w:rPr>
        <w:t xml:space="preserve">Supervisor consensus parameters. </w:t>
      </w:r>
      <w:r>
        <w:rPr>
          <w:sz w:val="22"/>
          <w:szCs w:val="22"/>
        </w:rPr>
        <w:t>the M-of-N threshold and challenge-window length are stated as parameters without specifying how they should be set. A principled approach — likely game-theoretic — is required.</w:t>
      </w:r>
    </w:p>
    <w:p w14:paraId="27940A1D">
      <w:pPr>
        <w:pStyle w:val="3"/>
        <w:spacing w:before="240" w:after="120"/>
      </w:pPr>
      <w:r>
        <w:rPr>
          <w:b/>
          <w:bCs/>
          <w:sz w:val="24"/>
          <w:szCs w:val="24"/>
        </w:rPr>
        <w:t>6.3 Next steps</w:t>
      </w:r>
    </w:p>
    <w:p w14:paraId="1CBB42FD">
      <w:pPr>
        <w:spacing w:after="120" w:line="320" w:lineRule="auto"/>
        <w:jc w:val="both"/>
      </w:pPr>
      <w:r>
        <w:rPr>
          <w:sz w:val="22"/>
          <w:szCs w:val="22"/>
        </w:rPr>
        <w:t>A prototype implementation should target the coordination object schema first: the on-chain representation of intents, observations, and commitments, with the policy composition rule applied to a small number of agents in an adversarial test harness. The three failure modes documented in section 4.1 provide concrete adversarial scenarios; each one can be instantiated as a specific sequence of agent actions and tested against the architecture's detection guarantees. Empirical validation of the stress-test scenarios in section 4.2 requires a substrate at sufficient scale, which is appropriate as a longer-horizon follow-up.</w:t>
      </w:r>
    </w:p>
    <w:p w14:paraId="5B92D2F4">
      <w:pPr>
        <w:pStyle w:val="3"/>
        <w:spacing w:before="240" w:after="120"/>
      </w:pPr>
      <w:r>
        <w:rPr>
          <w:b/>
          <w:bCs/>
          <w:sz w:val="24"/>
          <w:szCs w:val="24"/>
        </w:rPr>
        <w:t>6.4 Closing</w:t>
      </w:r>
    </w:p>
    <w:p w14:paraId="3DDF35B5">
      <w:pPr>
        <w:spacing w:after="120" w:line="320" w:lineRule="auto"/>
        <w:jc w:val="both"/>
      </w:pPr>
      <w:r>
        <w:rPr>
          <w:sz w:val="22"/>
          <w:szCs w:val="22"/>
        </w:rPr>
        <w:t>The broader bet is that autonomous agents will be deployed in coordination-heavy economic settings whether or not the infrastructure is ready. The single-agent execution literature has produced sufficient primitives for individual agent safety. The harder work — and the work most consequential for system-level outcomes — is in coordination. The architecture proposed here is one viable answer; it earns its keep by making the multi-agent failure modes visible, not by claiming to prevent them. Replication, formalization, and prototype implementation are the next steps.</w:t>
      </w:r>
    </w:p>
    <w:p w14:paraId="5CFA648C">
      <w:pPr>
        <w:pStyle w:val="2"/>
        <w:spacing w:before="360" w:after="180"/>
      </w:pPr>
      <w:r>
        <w:rPr>
          <w:b/>
          <w:bCs/>
          <w:sz w:val="28"/>
          <w:szCs w:val="28"/>
        </w:rPr>
        <w:t>Acknowledgments</w:t>
      </w:r>
    </w:p>
    <w:p w14:paraId="7F6FF385">
      <w:pPr>
        <w:spacing w:after="120" w:line="320" w:lineRule="auto"/>
        <w:jc w:val="both"/>
      </w:pPr>
      <w:r>
        <w:rPr>
          <w:sz w:val="22"/>
          <w:szCs w:val="22"/>
        </w:rPr>
        <w:t>This work was developed for the Track A research stream of the HYBLOCK Agent Execution Frontier hackathon. The author thanks the HYBLOCK organizers for the research framing and the 2028 Intelligence Crisis scenario.</w:t>
      </w:r>
    </w:p>
    <w:p w14:paraId="16E4EBFE">
      <w:pPr>
        <w:pStyle w:val="2"/>
        <w:spacing w:before="360" w:after="180"/>
      </w:pPr>
      <w:r>
        <w:rPr>
          <w:b/>
          <w:bCs/>
          <w:sz w:val="28"/>
          <w:szCs w:val="28"/>
        </w:rPr>
        <w:t>References</w:t>
      </w:r>
    </w:p>
    <w:p w14:paraId="2221F34D">
      <w:pPr>
        <w:spacing w:after="120" w:line="320" w:lineRule="auto"/>
        <w:jc w:val="both"/>
      </w:pPr>
      <w:r>
        <w:rPr>
          <w:sz w:val="22"/>
          <w:szCs w:val="22"/>
        </w:rPr>
        <w:t>[1] HYBLOCK. Agent Execution &amp; Policy Track Brief. AEF Research Stream, 2026.</w:t>
      </w:r>
    </w:p>
    <w:p w14:paraId="1D99326F">
      <w:pPr>
        <w:spacing w:after="120" w:line="320" w:lineRule="auto"/>
        <w:jc w:val="both"/>
      </w:pPr>
      <w:r>
        <w:rPr>
          <w:sz w:val="22"/>
          <w:szCs w:val="22"/>
        </w:rPr>
        <w:t>[2] Ethereum Foundation. ERC-4337: Account Abstraction Using Alt Mempool. EIP, 2021.</w:t>
      </w:r>
    </w:p>
    <w:p w14:paraId="4CED6838">
      <w:pPr>
        <w:spacing w:after="120" w:line="320" w:lineRule="auto"/>
        <w:jc w:val="both"/>
      </w:pPr>
      <w:r>
        <w:rPr>
          <w:sz w:val="22"/>
          <w:szCs w:val="22"/>
        </w:rPr>
        <w:t>[3] Ethereum Foundation. EIP-7702: Set EOA Account Code. EIP, 2024.</w:t>
      </w:r>
    </w:p>
    <w:p w14:paraId="6257C79E">
      <w:pPr>
        <w:spacing w:after="120" w:line="320" w:lineRule="auto"/>
        <w:jc w:val="both"/>
      </w:pPr>
      <w:r>
        <w:rPr>
          <w:sz w:val="22"/>
          <w:szCs w:val="22"/>
        </w:rPr>
        <w:t>[4] Coinbase. AgentKit: Onchain Agents for Builders. Technical documentation, 2025.</w:t>
      </w:r>
    </w:p>
    <w:p w14:paraId="320DC8DC">
      <w:pPr>
        <w:spacing w:after="120" w:line="320" w:lineRule="auto"/>
        <w:jc w:val="both"/>
      </w:pPr>
      <w:r>
        <w:rPr>
          <w:sz w:val="22"/>
          <w:szCs w:val="22"/>
        </w:rPr>
        <w:t>[5] MetaMask. Delegation Toolkit. Technical documentation, 2025.</w:t>
      </w:r>
    </w:p>
    <w:p w14:paraId="19DB6585">
      <w:pPr>
        <w:spacing w:after="120" w:line="320" w:lineRule="auto"/>
        <w:jc w:val="both"/>
      </w:pPr>
      <w:r>
        <w:rPr>
          <w:sz w:val="22"/>
          <w:szCs w:val="22"/>
        </w:rPr>
        <w:t>[6] W3C. Decentralized Identifiers (DIDs) v1.0. W3C Recommendation, 2022.</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80E75">
    <w:pPr>
      <w:jc w:val="center"/>
    </w:pP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C081">
    <w:pPr>
      <w:jc w:val="right"/>
    </w:pPr>
    <w:r>
      <w:rPr>
        <w:i/>
        <w:iCs/>
        <w:color w:val="666666"/>
        <w:sz w:val="18"/>
        <w:szCs w:val="18"/>
      </w:rPr>
      <w:t>Verifiable Multi-Agent Coordination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E6634D"/>
    <w:multiLevelType w:val="singleLevel"/>
    <w:tmpl w:val="FDE6634D"/>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NotDisplayPageBoundaries w:val="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7D7C5B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60" w:after="180"/>
      <w:outlineLvl w:val="0"/>
    </w:pPr>
    <w:rPr>
      <w:rFonts w:ascii="Calibri" w:hAnsi="Calibri" w:eastAsia="Calibri" w:cs="Calibri"/>
      <w:b/>
      <w:bCs/>
      <w:sz w:val="28"/>
      <w:szCs w:val="28"/>
    </w:rPr>
  </w:style>
  <w:style w:type="paragraph" w:styleId="3">
    <w:name w:val="heading 2"/>
    <w:next w:val="1"/>
    <w:qFormat/>
    <w:uiPriority w:val="0"/>
    <w:pPr>
      <w:spacing w:before="240" w:after="120"/>
      <w:outlineLvl w:val="1"/>
    </w:pPr>
    <w:rPr>
      <w:rFonts w:ascii="Calibri" w:hAnsi="Calibri" w:eastAsia="Calibri" w:cs="Calibri"/>
      <w:b/>
      <w:bCs/>
      <w:sz w:val="24"/>
      <w:szCs w:val="24"/>
    </w:rPr>
  </w:style>
  <w:style w:type="paragraph" w:styleId="4">
    <w:name w:val="heading 3"/>
    <w:next w:val="1"/>
    <w:qFormat/>
    <w:uiPriority w:val="0"/>
    <w:pPr>
      <w:spacing w:before="180" w:after="100"/>
      <w:outlineLvl w:val="2"/>
    </w:pPr>
    <w:rPr>
      <w:rFonts w:ascii="Calibri" w:hAnsi="Calibri" w:eastAsia="Calibri" w:cs="Calibri"/>
      <w:b/>
      <w:bCs/>
      <w:i/>
      <w:iCs/>
      <w:sz w:val="22"/>
      <w:szCs w:val="22"/>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4</TotalTime>
  <ScaleCrop>false</ScaleCrop>
  <LinksUpToDate>false</LinksUpToDate>
  <Application>WPS Office_12.1.25880.25880_F1E327BC-269C-435d-A152-05C5408002CA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Hiksang</dc:creator>
  <cp:lastModifiedBy>Yusufjon Ahmedov</cp:lastModifiedBy>
  <dcterms:modified xsi:type="dcterms:W3CDTF">2026-05-13T17:36:23Z</dcterms:modified>
  <dc:title>Verifiable Multi-Agent Coordination under Constrained Autonomy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07E14A973F32DF210738046AC3B02825_42</vt:lpwstr>
  </property>
</Properties>
</file>