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0C868">
      <w:pPr>
        <w:pStyle w:val="2"/>
        <w:keepNext w:val="0"/>
        <w:keepLines w:val="0"/>
        <w:widowControl/>
        <w:suppressLineNumbers w:val="0"/>
      </w:pPr>
    </w:p>
    <w:p w14:paraId="4C069C58">
      <w:pPr>
        <w:pStyle w:val="2"/>
        <w:keepNext w:val="0"/>
        <w:keepLines w:val="0"/>
        <w:widowControl/>
        <w:suppressLineNumbers w:val="0"/>
      </w:pPr>
      <w:r>
        <w:t>Verifiable Multi-Agent Coordination Under Constrained Autonomy</w:t>
      </w:r>
    </w:p>
    <w:p w14:paraId="55015B9D">
      <w:pPr>
        <w:pStyle w:val="4"/>
        <w:keepNext w:val="0"/>
        <w:keepLines w:val="0"/>
        <w:widowControl/>
        <w:suppressLineNumbers w:val="0"/>
      </w:pPr>
      <w:r>
        <w:t>How decentralized systems can safely coordinate many autonomous agents under uncertainty</w:t>
      </w:r>
    </w:p>
    <w:p w14:paraId="0246CC1C">
      <w:pPr>
        <w:pStyle w:val="4"/>
        <w:keepNext w:val="0"/>
        <w:keepLines w:val="0"/>
        <w:widowControl/>
        <w:suppressLineNumbers w:val="0"/>
      </w:pPr>
      <w:bookmarkStart w:id="0" w:name="_GoBack"/>
      <w:bookmarkEnd w:id="0"/>
      <w:r>
        <w:t>1. The problem nobody is solving yet</w:t>
      </w:r>
    </w:p>
    <w:p w14:paraId="75D5C477">
      <w:pPr>
        <w:pStyle w:val="8"/>
        <w:keepNext w:val="0"/>
        <w:keepLines w:val="0"/>
        <w:widowControl/>
        <w:suppressLineNumbers w:val="0"/>
      </w:pPr>
      <w:r>
        <w:t>Most of the current conversation about "AI agents on blockchain" stops at a single agent with a single wallet. The agent holds a key, a policy module caps its spending, and every transaction it signs leaves a receipt on-chain. This is a real advance over Web2 agent frameworks, where an agent's authority is a string in a database somewhere and its audit trail is whatever logs the operator chose to keep.</w:t>
      </w:r>
    </w:p>
    <w:p w14:paraId="297EB018">
      <w:pPr>
        <w:pStyle w:val="8"/>
        <w:keepNext w:val="0"/>
        <w:keepLines w:val="0"/>
        <w:widowControl/>
        <w:suppressLineNumbers w:val="0"/>
      </w:pPr>
      <w:r>
        <w:t>But the single-agent picture is the easy case.</w:t>
      </w:r>
    </w:p>
    <w:p w14:paraId="3E20084F">
      <w:pPr>
        <w:pStyle w:val="8"/>
        <w:keepNext w:val="0"/>
        <w:keepLines w:val="0"/>
        <w:widowControl/>
        <w:suppressLineNumbers w:val="0"/>
      </w:pPr>
      <w:r>
        <w:t xml:space="preserve">The harder case — and the one that actually matters as autonomous systems scale — is what happens when </w:t>
      </w:r>
      <w:r>
        <w:rPr>
          <w:rStyle w:val="7"/>
        </w:rPr>
        <w:t>many</w:t>
      </w:r>
      <w:r>
        <w:t xml:space="preserve"> agents have to coordinate. An agent representing a logistics operator negotiates with an agent representing a warehouse. A trading agent consults two data-provider agents before executing. A fleet of device-level agents reach a local consensus before escalating to a supervisor. In every one of these settings, the safety story is no longer "did this one agent stay inside its policy?" It's "did this </w:t>
      </w:r>
      <w:r>
        <w:rPr>
          <w:rStyle w:val="7"/>
        </w:rPr>
        <w:t>group</w:t>
      </w:r>
      <w:r>
        <w:t xml:space="preserve"> of agents reach a decision that any of them, or their principals, should be bound by?"</w:t>
      </w:r>
    </w:p>
    <w:p w14:paraId="621E2472">
      <w:pPr>
        <w:pStyle w:val="8"/>
        <w:keepNext w:val="0"/>
        <w:keepLines w:val="0"/>
        <w:widowControl/>
        <w:suppressLineNumbers w:val="0"/>
      </w:pPr>
      <w:r>
        <w:t>That is a different problem. And it is the one this research is about.</w:t>
      </w:r>
    </w:p>
    <w:p w14:paraId="4A12BD8B">
      <w:pPr>
        <w:pStyle w:val="8"/>
        <w:keepNext w:val="0"/>
        <w:keepLines w:val="0"/>
        <w:widowControl/>
        <w:suppressLineNumbers w:val="0"/>
        <w:ind w:left="720" w:right="720"/>
      </w:pPr>
      <w:r>
        <w:rPr>
          <w:rStyle w:val="9"/>
          <w:rFonts w:hint="eastAsia" w:ascii="SimSun" w:hAnsi="SimSun" w:eastAsia="SimSun" w:cs="SimSun"/>
          <w:sz w:val="24"/>
          <w:szCs w:val="24"/>
        </w:rPr>
        <w:t>Thesis:</w:t>
      </w:r>
      <w:r>
        <w:rPr>
          <w:rFonts w:hint="eastAsia" w:ascii="SimSun" w:hAnsi="SimSun" w:eastAsia="SimSun" w:cs="SimSun"/>
          <w:sz w:val="24"/>
          <w:szCs w:val="24"/>
        </w:rPr>
        <w:t xml:space="preserve"> Autonomous agents can be made to coordinate decisions safely and verifiably in decentralized environments — but only if identity, delegation, policy, consensus, and auditability are all anchored to a shared, neutral substrate. Blockchain is not the point. </w:t>
      </w:r>
      <w:r>
        <w:rPr>
          <w:rStyle w:val="7"/>
          <w:rFonts w:hint="eastAsia" w:ascii="SimSun" w:hAnsi="SimSun" w:eastAsia="SimSun" w:cs="SimSun"/>
          <w:sz w:val="24"/>
          <w:szCs w:val="24"/>
        </w:rPr>
        <w:t>Verifiability of multi-agent coordination under constrained autonomy</w:t>
      </w:r>
      <w:r>
        <w:rPr>
          <w:rFonts w:hint="eastAsia" w:ascii="SimSun" w:hAnsi="SimSun" w:eastAsia="SimSun" w:cs="SimSun"/>
          <w:sz w:val="24"/>
          <w:szCs w:val="24"/>
        </w:rPr>
        <w:t xml:space="preserve"> is the point. Blockchain is the substrate that makes it tractable.</w:t>
      </w:r>
    </w:p>
    <w:p w14:paraId="712564EB">
      <w:pPr>
        <w:pStyle w:val="8"/>
        <w:keepNext w:val="0"/>
        <w:keepLines w:val="0"/>
        <w:widowControl/>
        <w:suppressLineNumbers w:val="0"/>
      </w:pPr>
      <w:r>
        <w:t>The rest of this article lays out the architecture, the specific failure modes it has to survive, and a stress test drawn from the "2028 Intelligence Crisis" scenario.</w:t>
      </w:r>
    </w:p>
    <w:p w14:paraId="7FD9F9B3">
      <w:pPr>
        <w:pStyle w:val="3"/>
        <w:keepNext w:val="0"/>
        <w:keepLines w:val="0"/>
        <w:widowControl/>
        <w:suppressLineNumbers w:val="0"/>
      </w:pPr>
      <w:r>
        <w:t>2. Why single-agent safety isn't enough</w:t>
      </w:r>
    </w:p>
    <w:p w14:paraId="5CEBCFFE">
      <w:pPr>
        <w:pStyle w:val="8"/>
        <w:keepNext w:val="0"/>
        <w:keepLines w:val="0"/>
        <w:widowControl/>
        <w:suppressLineNumbers w:val="0"/>
      </w:pPr>
      <w:r>
        <w:t>Consider three failure modes that single-agent frameworks cannot, by construction, address:</w:t>
      </w:r>
    </w:p>
    <w:p w14:paraId="4795C58C">
      <w:pPr>
        <w:pStyle w:val="8"/>
        <w:keepNext w:val="0"/>
        <w:keepLines w:val="0"/>
        <w:widowControl/>
        <w:suppressLineNumbers w:val="0"/>
      </w:pPr>
      <w:r>
        <w:rPr>
          <w:rStyle w:val="9"/>
        </w:rPr>
        <w:t>Collusion.</w:t>
      </w:r>
      <w:r>
        <w:t xml:space="preserve"> Two agents, each individually compliant with its own policy, jointly produce an outcome that neither principal would have authorized. Each agent's audit log looks clean. The harm exists only in the </w:t>
      </w:r>
      <w:r>
        <w:rPr>
          <w:rStyle w:val="7"/>
        </w:rPr>
        <w:t>interaction</w:t>
      </w:r>
      <w:r>
        <w:t>.</w:t>
      </w:r>
    </w:p>
    <w:p w14:paraId="3E971B30">
      <w:pPr>
        <w:pStyle w:val="8"/>
        <w:keepNext w:val="0"/>
        <w:keepLines w:val="0"/>
        <w:widowControl/>
        <w:suppressLineNumbers w:val="0"/>
      </w:pPr>
      <w:r>
        <w:rPr>
          <w:rStyle w:val="9"/>
        </w:rPr>
        <w:t>Cascading delegation.</w:t>
      </w:r>
      <w:r>
        <w:t xml:space="preserve"> Agent A delegates a task to Agent B, which delegates a sub-task to Agent C. Each handoff is policy-compliant at the local level, but by the time the action executes, it is three hops removed from the original principal's intent. Whose policy was actually enforced?</w:t>
      </w:r>
    </w:p>
    <w:p w14:paraId="29588FFD">
      <w:pPr>
        <w:pStyle w:val="8"/>
        <w:keepNext w:val="0"/>
        <w:keepLines w:val="0"/>
        <w:widowControl/>
        <w:suppressLineNumbers w:val="0"/>
      </w:pPr>
      <w:r>
        <w:rPr>
          <w:rStyle w:val="9"/>
        </w:rPr>
        <w:t>Consensus capture.</w:t>
      </w:r>
      <w:r>
        <w:t xml:space="preserve"> A supervisor agent is meant to validate high-risk actions proposed by lower-level agents. But the supervisor's decision depends on observations submitted by those same lower-level agents. An attacker who controls a sufficient minority can manipulate the inputs to manufacture approval.</w:t>
      </w:r>
    </w:p>
    <w:p w14:paraId="3C31C74B">
      <w:pPr>
        <w:pStyle w:val="8"/>
        <w:keepNext w:val="0"/>
        <w:keepLines w:val="0"/>
        <w:widowControl/>
        <w:suppressLineNumbers w:val="0"/>
      </w:pPr>
      <w:r>
        <w:t xml:space="preserve">None of these are caught by per-agent spending caps or per-agent intent receipts. They require coordination-level guarantees: provenance of intent across agents, verifiable aggregation of observations, and policy enforcement that operates over </w:t>
      </w:r>
      <w:r>
        <w:rPr>
          <w:rStyle w:val="7"/>
        </w:rPr>
        <w:t>graphs</w:t>
      </w:r>
      <w:r>
        <w:t xml:space="preserve"> of agent interactions rather than individual transactions.</w:t>
      </w:r>
    </w:p>
    <w:p w14:paraId="494CA1F9">
      <w:pPr>
        <w:pStyle w:val="8"/>
        <w:keepNext w:val="0"/>
        <w:keepLines w:val="0"/>
        <w:widowControl/>
        <w:suppressLineNumbers w:val="0"/>
      </w:pPr>
      <w:r>
        <w:t>This is the gap.</w:t>
      </w:r>
    </w:p>
    <w:p w14:paraId="092FD290">
      <w:pPr>
        <w:pStyle w:val="3"/>
        <w:keepNext w:val="0"/>
        <w:keepLines w:val="0"/>
        <w:widowControl/>
        <w:suppressLineNumbers w:val="0"/>
      </w:pPr>
      <w:r>
        <w:t>3. The architecture: five layers, one substrate</w:t>
      </w:r>
    </w:p>
    <w:p w14:paraId="0D5B3FCE">
      <w:pPr>
        <w:pStyle w:val="8"/>
        <w:keepNext w:val="0"/>
        <w:keepLines w:val="0"/>
        <w:widowControl/>
        <w:suppressLineNumbers w:val="0"/>
      </w:pPr>
      <w:r>
        <w:t>The proposal is a layered architecture in which each autonomous component — every operator's agent, every device's agent, every supervisor — is a first-class participant in a shared verification fabric. The blockchain layer is what makes the other four layers composable across trust domains.</w:t>
      </w:r>
    </w:p>
    <w:p w14:paraId="6FDA4ED4">
      <w:pPr>
        <w:pStyle w:val="4"/>
        <w:keepNext w:val="0"/>
        <w:keepLines w:val="0"/>
        <w:widowControl/>
        <w:suppressLineNumbers w:val="0"/>
      </w:pPr>
      <w:r>
        <w:t>3.1 Agent Layer</w:t>
      </w:r>
    </w:p>
    <w:p w14:paraId="3B563C9C">
      <w:pPr>
        <w:pStyle w:val="8"/>
        <w:keepNext w:val="0"/>
        <w:keepLines w:val="0"/>
        <w:widowControl/>
        <w:suppressLineNumbers w:val="0"/>
      </w:pPr>
      <w:r>
        <w:t xml:space="preserve">Each operator, device, or system runs its own agent. The agent does local reasoning, maintains partial awareness of its environment, and executes tasks within its scope. Critically, the agent does </w:t>
      </w:r>
      <w:r>
        <w:rPr>
          <w:rStyle w:val="7"/>
        </w:rPr>
        <w:t>not</w:t>
      </w:r>
      <w:r>
        <w:t xml:space="preserve"> need to trust other agents at the reasoning level — its outputs become meaningful to the broader system only when they are signed and submitted to the coordination layer.</w:t>
      </w:r>
    </w:p>
    <w:p w14:paraId="48E3E421">
      <w:pPr>
        <w:pStyle w:val="8"/>
        <w:keepNext w:val="0"/>
        <w:keepLines w:val="0"/>
        <w:widowControl/>
        <w:suppressLineNumbers w:val="0"/>
      </w:pPr>
      <w:r>
        <w:t>This is a deliberate design choice. It means agents can be heterogeneous (different models, different vendors, different inference stacks) and still interoperate, because interoperability happens at the receipt level, not the cognition level.</w:t>
      </w:r>
    </w:p>
    <w:p w14:paraId="57AE4BBA">
      <w:pPr>
        <w:pStyle w:val="4"/>
        <w:keepNext w:val="0"/>
        <w:keepLines w:val="0"/>
        <w:widowControl/>
        <w:suppressLineNumbers w:val="0"/>
      </w:pPr>
      <w:r>
        <w:t>3.2 Policy Layer</w:t>
      </w:r>
    </w:p>
    <w:p w14:paraId="58B35DD2">
      <w:pPr>
        <w:pStyle w:val="8"/>
        <w:keepNext w:val="0"/>
        <w:keepLines w:val="0"/>
        <w:widowControl/>
        <w:suppressLineNumbers w:val="0"/>
      </w:pPr>
      <w:r>
        <w:t>Every agent is bound by a policy module that constrains its actions before they reach the network. The standard primitives apply here: spending caps, role-based permissions, allowlists of counterparties or contracts, session-scoped delegation keys (EIP-7702 style), and emergency revocation paths.</w:t>
      </w:r>
    </w:p>
    <w:p w14:paraId="2104C4A3">
      <w:pPr>
        <w:pStyle w:val="8"/>
        <w:keepNext w:val="0"/>
        <w:keepLines w:val="0"/>
        <w:widowControl/>
        <w:suppressLineNumbers w:val="0"/>
      </w:pPr>
      <w:r>
        <w:t xml:space="preserve">What is different in a multi-agent setting is that policies must be </w:t>
      </w:r>
      <w:r>
        <w:rPr>
          <w:rStyle w:val="7"/>
        </w:rPr>
        <w:t>composable</w:t>
      </w:r>
      <w:r>
        <w:t>. When Agent A delegates to Agent B, B's effective policy is the intersection of B's own policy and the scope of A's delegation. The policy layer has to express and enforce this composition on-chain, so that any third party — including a supervisor or an auditor — can verify, from receipts alone, that the chain of delegations was valid end-to-end.</w:t>
      </w:r>
    </w:p>
    <w:p w14:paraId="5F2C247F">
      <w:pPr>
        <w:pStyle w:val="4"/>
        <w:keepNext w:val="0"/>
        <w:keepLines w:val="0"/>
        <w:widowControl/>
        <w:suppressLineNumbers w:val="0"/>
      </w:pPr>
      <w:r>
        <w:t>3.3 Coordination Layer</w:t>
      </w:r>
    </w:p>
    <w:p w14:paraId="244ABD05">
      <w:pPr>
        <w:pStyle w:val="8"/>
        <w:keepNext w:val="0"/>
        <w:keepLines w:val="0"/>
        <w:widowControl/>
        <w:suppressLineNumbers w:val="0"/>
      </w:pPr>
      <w:r>
        <w:t>This is where the novelty lives.</w:t>
      </w:r>
    </w:p>
    <w:p w14:paraId="4F26FDBA">
      <w:pPr>
        <w:pStyle w:val="8"/>
        <w:keepNext w:val="0"/>
        <w:keepLines w:val="0"/>
        <w:widowControl/>
        <w:suppressLineNumbers w:val="0"/>
      </w:pPr>
      <w:r>
        <w:t xml:space="preserve">Agents exchange three kinds of objects: </w:t>
      </w:r>
      <w:r>
        <w:rPr>
          <w:rStyle w:val="9"/>
        </w:rPr>
        <w:t>observations</w:t>
      </w:r>
      <w:r>
        <w:t xml:space="preserve"> (signed claims about the environment), </w:t>
      </w:r>
      <w:r>
        <w:rPr>
          <w:rStyle w:val="9"/>
        </w:rPr>
        <w:t>intents</w:t>
      </w:r>
      <w:r>
        <w:t xml:space="preserve"> (signed proposals for action), and </w:t>
      </w:r>
      <w:r>
        <w:rPr>
          <w:rStyle w:val="9"/>
        </w:rPr>
        <w:t>commitments</w:t>
      </w:r>
      <w:r>
        <w:t xml:space="preserve"> (signed agreements to act). All three are addressable, hashable, and reference-able on-chain.</w:t>
      </w:r>
    </w:p>
    <w:p w14:paraId="7950F6FE">
      <w:pPr>
        <w:pStyle w:val="8"/>
        <w:keepNext w:val="0"/>
        <w:keepLines w:val="0"/>
        <w:widowControl/>
        <w:suppressLineNumbers w:val="0"/>
      </w:pPr>
      <w:r>
        <w:t>Coordination happens through structured protocols over these objects:</w:t>
      </w:r>
    </w:p>
    <w:p w14:paraId="20B605A6">
      <w:pPr>
        <w:keepNext w:val="0"/>
        <w:keepLines w:val="0"/>
        <w:widowControl/>
        <w:numPr>
          <w:ilvl w:val="0"/>
          <w:numId w:val="1"/>
        </w:numPr>
        <w:suppressLineNumbers w:val="0"/>
        <w:spacing w:before="0" w:beforeAutospacing="1" w:after="0" w:afterAutospacing="1"/>
        <w:ind w:left="720" w:hanging="360"/>
      </w:pPr>
      <w:r>
        <w:rPr>
          <w:rStyle w:val="7"/>
        </w:rPr>
        <w:t>Intent broadcast and matching.</w:t>
      </w:r>
      <w:r>
        <w:t xml:space="preserve"> An agent publishes an intent; other agents respond with compatible intents or commitments.</w:t>
      </w:r>
    </w:p>
    <w:p w14:paraId="14317900">
      <w:pPr>
        <w:keepNext w:val="0"/>
        <w:keepLines w:val="0"/>
        <w:widowControl/>
        <w:numPr>
          <w:ilvl w:val="0"/>
          <w:numId w:val="1"/>
        </w:numPr>
        <w:suppressLineNumbers w:val="0"/>
        <w:spacing w:before="0" w:beforeAutospacing="1" w:after="0" w:afterAutospacing="1"/>
        <w:ind w:left="720" w:hanging="360"/>
      </w:pPr>
      <w:r>
        <w:rPr>
          <w:rStyle w:val="7"/>
        </w:rPr>
        <w:t>Observation aggregation.</w:t>
      </w:r>
      <w:r>
        <w:t xml:space="preserve"> When a decision depends on multiple agents' views of the world, observations are aggregated with explicit provenance, so that any one agent's contribution can be re-verified or excluded.</w:t>
      </w:r>
    </w:p>
    <w:p w14:paraId="69081545">
      <w:pPr>
        <w:keepNext w:val="0"/>
        <w:keepLines w:val="0"/>
        <w:widowControl/>
        <w:numPr>
          <w:ilvl w:val="0"/>
          <w:numId w:val="1"/>
        </w:numPr>
        <w:suppressLineNumbers w:val="0"/>
        <w:spacing w:before="0" w:beforeAutospacing="1" w:after="0" w:afterAutospacing="1"/>
        <w:ind w:left="720" w:hanging="360"/>
      </w:pPr>
      <w:r>
        <w:rPr>
          <w:rStyle w:val="7"/>
        </w:rPr>
        <w:t>Conflict resolution.</w:t>
      </w:r>
      <w:r>
        <w:t xml:space="preserve"> When intents collide (two agents trying to claim the same resource, two observations contradicting each other), resolution follows pre-published rules — auction, priority, supervisor escalation — and the resolution itself is recorded as a signed object.</w:t>
      </w:r>
    </w:p>
    <w:p w14:paraId="40BD5056">
      <w:pPr>
        <w:keepNext w:val="0"/>
        <w:keepLines w:val="0"/>
        <w:widowControl/>
        <w:numPr>
          <w:ilvl w:val="0"/>
          <w:numId w:val="1"/>
        </w:numPr>
        <w:suppressLineNumbers w:val="0"/>
        <w:spacing w:before="0" w:beforeAutospacing="1" w:after="0" w:afterAutospacing="1"/>
        <w:ind w:left="720" w:hanging="360"/>
      </w:pPr>
      <w:r>
        <w:rPr>
          <w:rStyle w:val="7"/>
        </w:rPr>
        <w:t>Trust scoring.</w:t>
      </w:r>
      <w:r>
        <w:t xml:space="preserve"> Each agent accumulates a verifiable history. Trust is not a centralized score; it is a function any participant can compute from the public record of an agent's past commitments, fulfillments, and disputes.</w:t>
      </w:r>
    </w:p>
    <w:p w14:paraId="0B4CD99A">
      <w:pPr>
        <w:pStyle w:val="8"/>
        <w:keepNext w:val="0"/>
        <w:keepLines w:val="0"/>
        <w:widowControl/>
        <w:suppressLineNumbers w:val="0"/>
      </w:pPr>
      <w:r>
        <w:t>The point is not to eliminate disagreement between agents. The point is to make every disagreement, and every resolution, into a structured artifact that downstream parties can verify.</w:t>
      </w:r>
    </w:p>
    <w:p w14:paraId="061E4319">
      <w:pPr>
        <w:pStyle w:val="4"/>
        <w:keepNext w:val="0"/>
        <w:keepLines w:val="0"/>
        <w:widowControl/>
        <w:suppressLineNumbers w:val="0"/>
      </w:pPr>
      <w:r>
        <w:t>3.4 Blockchain Layer</w:t>
      </w:r>
    </w:p>
    <w:p w14:paraId="4852E46C">
      <w:pPr>
        <w:pStyle w:val="8"/>
        <w:keepNext w:val="0"/>
        <w:keepLines w:val="0"/>
        <w:widowControl/>
        <w:suppressLineNumbers w:val="0"/>
      </w:pPr>
      <w:r>
        <w:t>The substrate. Responsibilities are narrow but non-negotiable:</w:t>
      </w:r>
    </w:p>
    <w:p w14:paraId="2DA3A606">
      <w:pPr>
        <w:keepNext w:val="0"/>
        <w:keepLines w:val="0"/>
        <w:widowControl/>
        <w:numPr>
          <w:ilvl w:val="0"/>
          <w:numId w:val="2"/>
        </w:numPr>
        <w:suppressLineNumbers w:val="0"/>
        <w:spacing w:before="0" w:beforeAutospacing="1" w:after="0" w:afterAutospacing="1"/>
        <w:ind w:left="720" w:hanging="360"/>
      </w:pPr>
      <w:r>
        <w:rPr>
          <w:rStyle w:val="9"/>
        </w:rPr>
        <w:t>Identity registry.</w:t>
      </w:r>
      <w:r>
        <w:t xml:space="preserve"> Each agent has a persistent on-chain identifier — a DID, a smart account, or an entry in a dedicated agent registry — that binds it to its principal and to its declared policy.</w:t>
      </w:r>
    </w:p>
    <w:p w14:paraId="5DACF59A">
      <w:pPr>
        <w:keepNext w:val="0"/>
        <w:keepLines w:val="0"/>
        <w:widowControl/>
        <w:numPr>
          <w:ilvl w:val="0"/>
          <w:numId w:val="2"/>
        </w:numPr>
        <w:suppressLineNumbers w:val="0"/>
        <w:spacing w:before="0" w:beforeAutospacing="1" w:after="0" w:afterAutospacing="1"/>
        <w:ind w:left="720" w:hanging="360"/>
      </w:pPr>
      <w:r>
        <w:rPr>
          <w:rStyle w:val="9"/>
        </w:rPr>
        <w:t>Delegation records.</w:t>
      </w:r>
      <w:r>
        <w:t xml:space="preserve"> Every act of authority transfer (principal → agent, agent → agent, session key issuance) is an on-chain object with explicit scope and expiry.</w:t>
      </w:r>
    </w:p>
    <w:p w14:paraId="0D89A24C">
      <w:pPr>
        <w:keepNext w:val="0"/>
        <w:keepLines w:val="0"/>
        <w:widowControl/>
        <w:numPr>
          <w:ilvl w:val="0"/>
          <w:numId w:val="2"/>
        </w:numPr>
        <w:suppressLineNumbers w:val="0"/>
        <w:spacing w:before="0" w:beforeAutospacing="1" w:after="0" w:afterAutospacing="1"/>
        <w:ind w:left="720" w:hanging="360"/>
      </w:pPr>
      <w:r>
        <w:rPr>
          <w:rStyle w:val="9"/>
        </w:rPr>
        <w:t>Policy decision records (PDRs).</w:t>
      </w:r>
      <w:r>
        <w:t xml:space="preserve"> When a policy module approves or blocks an action, the decision and its inputs are committed to the chain alongside the eventual execution receipt.</w:t>
      </w:r>
    </w:p>
    <w:p w14:paraId="160D0749">
      <w:pPr>
        <w:keepNext w:val="0"/>
        <w:keepLines w:val="0"/>
        <w:widowControl/>
        <w:numPr>
          <w:ilvl w:val="0"/>
          <w:numId w:val="2"/>
        </w:numPr>
        <w:suppressLineNumbers w:val="0"/>
        <w:spacing w:before="0" w:beforeAutospacing="1" w:after="0" w:afterAutospacing="1"/>
        <w:ind w:left="720" w:hanging="360"/>
      </w:pPr>
      <w:r>
        <w:rPr>
          <w:rStyle w:val="9"/>
        </w:rPr>
        <w:t>Execution receipts.</w:t>
      </w:r>
      <w:r>
        <w:t xml:space="preserve"> Standard transaction receipts, but enriched with intent hashes so each receipt can be traced back to the coordination object that authorized it.</w:t>
      </w:r>
    </w:p>
    <w:p w14:paraId="4EBC4EED">
      <w:pPr>
        <w:keepNext w:val="0"/>
        <w:keepLines w:val="0"/>
        <w:widowControl/>
        <w:numPr>
          <w:ilvl w:val="0"/>
          <w:numId w:val="2"/>
        </w:numPr>
        <w:suppressLineNumbers w:val="0"/>
        <w:spacing w:before="0" w:beforeAutospacing="1" w:after="0" w:afterAutospacing="1"/>
        <w:ind w:left="720" w:hanging="360"/>
      </w:pPr>
      <w:r>
        <w:rPr>
          <w:rStyle w:val="9"/>
        </w:rPr>
        <w:t>Coordination history.</w:t>
      </w:r>
      <w:r>
        <w:t xml:space="preserve"> The graph of intents, observations, and commitments — the structure that makes multi-agent decisions auditable as decisions, not just as sequences of independent transactions.</w:t>
      </w:r>
    </w:p>
    <w:p w14:paraId="658ED462">
      <w:pPr>
        <w:pStyle w:val="8"/>
        <w:keepNext w:val="0"/>
        <w:keepLines w:val="0"/>
        <w:widowControl/>
        <w:suppressLineNumbers w:val="0"/>
      </w:pPr>
      <w:r>
        <w:t xml:space="preserve">Note what the blockchain is </w:t>
      </w:r>
      <w:r>
        <w:rPr>
          <w:rStyle w:val="7"/>
        </w:rPr>
        <w:t>not</w:t>
      </w:r>
      <w:r>
        <w:t xml:space="preserve"> doing: it is not running the agents, not making decisions, not enforcing semantics. It is a neutral coordination and audit substrate. The reasoning is off-chain; the </w:t>
      </w:r>
      <w:r>
        <w:rPr>
          <w:rStyle w:val="7"/>
        </w:rPr>
        <w:t>commitments</w:t>
      </w:r>
      <w:r>
        <w:t xml:space="preserve"> and the </w:t>
      </w:r>
      <w:r>
        <w:rPr>
          <w:rStyle w:val="7"/>
        </w:rPr>
        <w:t>trail</w:t>
      </w:r>
      <w:r>
        <w:t xml:space="preserve"> are on-chain.</w:t>
      </w:r>
    </w:p>
    <w:p w14:paraId="0E09945F">
      <w:pPr>
        <w:pStyle w:val="4"/>
        <w:keepNext w:val="0"/>
        <w:keepLines w:val="0"/>
        <w:widowControl/>
        <w:suppressLineNumbers w:val="0"/>
      </w:pPr>
      <w:r>
        <w:t>3.5 Supervisor Layer</w:t>
      </w:r>
    </w:p>
    <w:p w14:paraId="23B4B37F">
      <w:pPr>
        <w:pStyle w:val="8"/>
        <w:keepNext w:val="0"/>
        <w:keepLines w:val="0"/>
        <w:widowControl/>
        <w:suppressLineNumbers w:val="0"/>
        <w:ind w:left="720" w:right="720"/>
      </w:pPr>
      <w:r>
        <w:rPr>
          <w:rFonts w:hint="eastAsia" w:ascii="SimSun" w:hAnsi="SimSun" w:eastAsia="SimSun" w:cs="SimSun"/>
          <w:sz w:val="24"/>
          <w:szCs w:val="24"/>
        </w:rPr>
        <w:t>Supervisor nodes are validators or commanders that can approve high-risk escalations, push governance updates, and intervene on detected anomalies. Key open questions to develop:</w:t>
      </w:r>
    </w:p>
    <w:p w14:paraId="629C8997">
      <w:pPr>
        <w:keepNext w:val="0"/>
        <w:keepLines w:val="0"/>
        <w:widowControl/>
        <w:numPr>
          <w:ilvl w:val="0"/>
          <w:numId w:val="3"/>
        </w:numPr>
        <w:suppressLineNumbers w:val="0"/>
        <w:spacing w:before="0" w:beforeAutospacing="1" w:after="0" w:afterAutospacing="1"/>
        <w:ind w:left="1440" w:right="720" w:hanging="360"/>
      </w:pPr>
      <w:r>
        <w:rPr>
          <w:rFonts w:hint="eastAsia" w:ascii="SimSun" w:hAnsi="SimSun" w:eastAsia="SimSun" w:cs="SimSun"/>
          <w:sz w:val="24"/>
          <w:szCs w:val="24"/>
        </w:rPr>
        <w:t>What is the minimum viable consensus protocol among supervisors? (BFT-style? Optimistic with challenge period?)</w:t>
      </w:r>
    </w:p>
    <w:p w14:paraId="64FD927D">
      <w:pPr>
        <w:keepNext w:val="0"/>
        <w:keepLines w:val="0"/>
        <w:widowControl/>
        <w:numPr>
          <w:ilvl w:val="0"/>
          <w:numId w:val="3"/>
        </w:numPr>
        <w:suppressLineNumbers w:val="0"/>
        <w:spacing w:before="0" w:beforeAutospacing="1" w:after="0" w:afterAutospacing="1"/>
        <w:ind w:left="1440" w:right="720" w:hanging="360"/>
      </w:pPr>
      <w:r>
        <w:rPr>
          <w:rFonts w:hint="eastAsia" w:ascii="SimSun" w:hAnsi="SimSun" w:eastAsia="SimSun" w:cs="SimSun"/>
          <w:sz w:val="24"/>
          <w:szCs w:val="24"/>
        </w:rPr>
        <w:t>How are supervisors themselves bound — who supervises the supervisors?</w:t>
      </w:r>
    </w:p>
    <w:p w14:paraId="44445C7E">
      <w:pPr>
        <w:keepNext w:val="0"/>
        <w:keepLines w:val="0"/>
        <w:widowControl/>
        <w:numPr>
          <w:ilvl w:val="0"/>
          <w:numId w:val="3"/>
        </w:numPr>
        <w:suppressLineNumbers w:val="0"/>
        <w:spacing w:before="0" w:beforeAutospacing="1" w:after="0" w:afterAutospacing="1"/>
        <w:ind w:left="1440" w:right="720" w:hanging="360"/>
      </w:pPr>
      <w:r>
        <w:rPr>
          <w:rFonts w:hint="eastAsia" w:ascii="SimSun" w:hAnsi="SimSun" w:eastAsia="SimSun" w:cs="SimSun"/>
          <w:sz w:val="24"/>
          <w:szCs w:val="24"/>
        </w:rPr>
        <w:t>What is the threshold model for emergency intervention (M-of-N signatures, time delays, public challenge windows)?</w:t>
      </w:r>
    </w:p>
    <w:p w14:paraId="66F929A5">
      <w:pPr>
        <w:keepNext w:val="0"/>
        <w:keepLines w:val="0"/>
        <w:widowControl/>
        <w:numPr>
          <w:ilvl w:val="0"/>
          <w:numId w:val="3"/>
        </w:numPr>
        <w:suppressLineNumbers w:val="0"/>
        <w:spacing w:before="0" w:beforeAutospacing="1" w:after="0" w:afterAutospacing="1"/>
        <w:ind w:left="1440" w:right="720" w:hanging="360"/>
      </w:pPr>
      <w:r>
        <w:rPr>
          <w:rFonts w:hint="eastAsia" w:ascii="SimSun" w:hAnsi="SimSun" w:eastAsia="SimSun" w:cs="SimSun"/>
          <w:sz w:val="24"/>
          <w:szCs w:val="24"/>
        </w:rPr>
        <w:t>How does supervisor authority compose with principal authority — can a supervisor override a principal's explicit delegation, or only narrow it?</w:t>
      </w:r>
    </w:p>
    <w:p w14:paraId="4E82EE10">
      <w:pPr>
        <w:pStyle w:val="3"/>
        <w:keepNext w:val="0"/>
        <w:keepLines w:val="0"/>
        <w:widowControl/>
        <w:suppressLineNumbers w:val="0"/>
      </w:pPr>
      <w:r>
        <w:t>4. What this architecture actually buys you</w:t>
      </w:r>
    </w:p>
    <w:p w14:paraId="7FD18500">
      <w:pPr>
        <w:pStyle w:val="8"/>
        <w:keepNext w:val="0"/>
        <w:keepLines w:val="0"/>
        <w:widowControl/>
        <w:suppressLineNumbers w:val="0"/>
      </w:pPr>
      <w:r>
        <w:t>Three properties, none of which a single-agent framework can provide:</w:t>
      </w:r>
    </w:p>
    <w:p w14:paraId="4858B857">
      <w:pPr>
        <w:pStyle w:val="8"/>
        <w:keepNext w:val="0"/>
        <w:keepLines w:val="0"/>
        <w:widowControl/>
        <w:suppressLineNumbers w:val="0"/>
      </w:pPr>
      <w:r>
        <w:rPr>
          <w:rStyle w:val="9"/>
        </w:rPr>
        <w:t>Verifiable provenance across agent boundaries.</w:t>
      </w:r>
      <w:r>
        <w:t xml:space="preserve"> Any action's full causal chain — principal intent, delegations, agent reasoning trigger, observations consumed, policy check, coordination object, execution receipt — is reconstructable from public records. Auditors do not have to trust any individual agent's logs.</w:t>
      </w:r>
    </w:p>
    <w:p w14:paraId="71825F81">
      <w:pPr>
        <w:pStyle w:val="8"/>
        <w:keepNext w:val="0"/>
        <w:keepLines w:val="0"/>
        <w:widowControl/>
        <w:suppressLineNumbers w:val="0"/>
      </w:pPr>
      <w:r>
        <w:rPr>
          <w:rStyle w:val="9"/>
        </w:rPr>
        <w:t>Composable constraints.</w:t>
      </w:r>
      <w:r>
        <w:t xml:space="preserve"> Policies follow delegation. An agent two hops away from a principal cannot exceed the principal's original scope, and that constraint is enforceable by anyone, not just by the principal's own infrastructure.</w:t>
      </w:r>
    </w:p>
    <w:p w14:paraId="11644303">
      <w:pPr>
        <w:pStyle w:val="8"/>
        <w:keepNext w:val="0"/>
        <w:keepLines w:val="0"/>
        <w:widowControl/>
        <w:suppressLineNumbers w:val="0"/>
      </w:pPr>
      <w:r>
        <w:rPr>
          <w:rStyle w:val="9"/>
        </w:rPr>
        <w:t>Failure isolation.</w:t>
      </w:r>
      <w:r>
        <w:t xml:space="preserve"> When something goes wrong — a bad commitment, a corrupted observation, a runaway loop — the structured coordination history makes it possible to identify exactly which agent, which interaction, and which policy decision was the failure point. The blast radius can be bounded because the structure was bounded.</w:t>
      </w:r>
    </w:p>
    <w:p w14:paraId="54854C69">
      <w:pPr>
        <w:pStyle w:val="3"/>
        <w:keepNext w:val="0"/>
        <w:keepLines w:val="0"/>
        <w:widowControl/>
        <w:suppressLineNumbers w:val="0"/>
      </w:pPr>
      <w:r>
        <w:t>5. Stress test: the 2028 Intelligence Crisis</w:t>
      </w:r>
    </w:p>
    <w:p w14:paraId="5A0B3704">
      <w:pPr>
        <w:pStyle w:val="8"/>
        <w:keepNext w:val="0"/>
        <w:keepLines w:val="0"/>
        <w:widowControl/>
        <w:suppressLineNumbers w:val="0"/>
      </w:pPr>
      <w:r>
        <w:t>The "2028 Intelligence Crisis" scenario posits a macro environment in which autonomous agents run most economic services while human consumption collapses — the "Ghost GDP" condition. Stress-testing the architecture against this scenario asks: when the volume, velocity, and economic stakes of agent activity all spike together, do the verifiability guarantees hold?</w:t>
      </w:r>
    </w:p>
    <w:p w14:paraId="600D757F">
      <w:pPr>
        <w:pStyle w:val="8"/>
        <w:keepNext w:val="0"/>
        <w:keepLines w:val="0"/>
        <w:widowControl/>
        <w:suppressLineNumbers w:val="0"/>
      </w:pPr>
      <w:r>
        <w:t>Four scenarios to develop:</w:t>
      </w:r>
    </w:p>
    <w:p w14:paraId="78F56B95">
      <w:pPr>
        <w:pStyle w:val="8"/>
        <w:keepNext w:val="0"/>
        <w:keepLines w:val="0"/>
        <w:widowControl/>
        <w:suppressLineNumbers w:val="0"/>
      </w:pPr>
      <w:r>
        <w:rPr>
          <w:rStyle w:val="9"/>
        </w:rPr>
        <w:t>5.1 Agent transaction surge.</w:t>
      </w:r>
      <w:r>
        <w:t xml:space="preserve"> Throughput spikes by orders of magnitude while human-originated transactions collapse. Does the coordination layer scale? Can observers still distinguish agent-to-agent flows from background activity? Does the audit trail remain queryable in practice, not just in principle?</w:t>
      </w:r>
    </w:p>
    <w:p w14:paraId="3D8DBD8F">
      <w:pPr>
        <w:pStyle w:val="8"/>
        <w:keepNext w:val="0"/>
        <w:keepLines w:val="0"/>
        <w:widowControl/>
        <w:suppressLineNumbers w:val="0"/>
      </w:pPr>
      <w:r>
        <w:rPr>
          <w:rStyle w:val="9"/>
        </w:rPr>
        <w:t>5.2 Settlement disruption.</w:t>
      </w:r>
      <w:r>
        <w:t xml:space="preserve"> A stablecoin de-pegs. Agents face liquidity gaps mid-coordination. Do commitments fail gracefully, or do they cascade? Is there a protocol-level path to re-denominate or pause in-flight obligations without breaking the audit trail?</w:t>
      </w:r>
    </w:p>
    <w:p w14:paraId="632447F3">
      <w:pPr>
        <w:pStyle w:val="8"/>
        <w:keepNext w:val="0"/>
        <w:keepLines w:val="0"/>
        <w:widowControl/>
        <w:suppressLineNumbers w:val="0"/>
      </w:pPr>
      <w:r>
        <w:rPr>
          <w:rStyle w:val="9"/>
        </w:rPr>
        <w:t>5.3 Policy shock.</w:t>
      </w:r>
      <w:r>
        <w:t xml:space="preserve"> Regulators impose a new constraint — an AI compute tax, a per-agent transaction levy, a category-level ban. Can on-chain governance push the new policy to every active agent's policy module within an acceptable window? What happens to commitments made under the old policy?</w:t>
      </w:r>
    </w:p>
    <w:p w14:paraId="4DB9CF4A">
      <w:pPr>
        <w:pStyle w:val="8"/>
        <w:keepNext w:val="0"/>
        <w:keepLines w:val="0"/>
        <w:widowControl/>
        <w:suppressLineNumbers w:val="0"/>
      </w:pPr>
      <w:r>
        <w:rPr>
          <w:rStyle w:val="9"/>
        </w:rPr>
        <w:t>5.4 Adversarial conditions.</w:t>
      </w:r>
      <w:r>
        <w:t xml:space="preserve"> An attacker compromises a subset of agents and tries to manufacture consensus, forge observations, or exploit cascading delegation. The architecture's claim is that </w:t>
      </w:r>
      <w:r>
        <w:rPr>
          <w:rStyle w:val="7"/>
        </w:rPr>
        <w:t>the breach is visible</w:t>
      </w:r>
      <w:r>
        <w:t xml:space="preserve"> — even when the attack succeeds locally, the coordination history reveals it. Stress-test this claim against specific adversary models.</w:t>
      </w:r>
    </w:p>
    <w:p w14:paraId="33F73744">
      <w:pPr>
        <w:pStyle w:val="8"/>
        <w:keepNext w:val="0"/>
        <w:keepLines w:val="0"/>
        <w:widowControl/>
        <w:suppressLineNumbers w:val="0"/>
      </w:pPr>
      <w:r>
        <w:t>For each scenario, the deliverable is a pair: (a) the specific failure mode the architecture must survive, and (b) the protocol-level mitigation that makes survival possible.</w:t>
      </w:r>
    </w:p>
    <w:p w14:paraId="232BF3A2">
      <w:pPr>
        <w:pStyle w:val="3"/>
        <w:keepNext w:val="0"/>
        <w:keepLines w:val="0"/>
        <w:widowControl/>
        <w:suppressLineNumbers w:val="0"/>
      </w:pPr>
      <w:r>
        <w:t>6. What this is not</w:t>
      </w:r>
    </w:p>
    <w:p w14:paraId="473F8F14">
      <w:pPr>
        <w:pStyle w:val="8"/>
        <w:keepNext w:val="0"/>
        <w:keepLines w:val="0"/>
        <w:widowControl/>
        <w:suppressLineNumbers w:val="0"/>
      </w:pPr>
      <w:r>
        <w:t>A few clarifications, because the space is noisy:</w:t>
      </w:r>
    </w:p>
    <w:p w14:paraId="4CF1E3FE">
      <w:pPr>
        <w:pStyle w:val="8"/>
        <w:keepNext w:val="0"/>
        <w:keepLines w:val="0"/>
        <w:widowControl/>
        <w:suppressLineNumbers w:val="0"/>
      </w:pPr>
      <w:r>
        <w:t>This is not an argument that AI agents should be paid in crypto. Payment rails are downstream of the actual problem.</w:t>
      </w:r>
    </w:p>
    <w:p w14:paraId="7210FC6A">
      <w:pPr>
        <w:pStyle w:val="8"/>
        <w:keepNext w:val="0"/>
        <w:keepLines w:val="0"/>
        <w:widowControl/>
        <w:suppressLineNumbers w:val="0"/>
      </w:pPr>
      <w:r>
        <w:t xml:space="preserve">This is not an argument that blockchains should run AI inference. They should not. Inference is off-chain; </w:t>
      </w:r>
      <w:r>
        <w:rPr>
          <w:rStyle w:val="7"/>
        </w:rPr>
        <w:t>commitments</w:t>
      </w:r>
      <w:r>
        <w:t xml:space="preserve"> are on-chain.</w:t>
      </w:r>
    </w:p>
    <w:p w14:paraId="2F77066E">
      <w:pPr>
        <w:pStyle w:val="8"/>
        <w:keepNext w:val="0"/>
        <w:keepLines w:val="0"/>
        <w:widowControl/>
        <w:suppressLineNumbers w:val="0"/>
      </w:pPr>
      <w:r>
        <w:t xml:space="preserve">This is not an argument against human oversight. The supervisor layer is explicitly where human-aligned authority sits. The architecture is meant to make oversight </w:t>
      </w:r>
      <w:r>
        <w:rPr>
          <w:rStyle w:val="7"/>
        </w:rPr>
        <w:t>tractable</w:t>
      </w:r>
      <w:r>
        <w:t xml:space="preserve"> at scales where manual review of every agent action is impossible.</w:t>
      </w:r>
    </w:p>
    <w:p w14:paraId="20096A8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D61AC"/>
    <w:multiLevelType w:val="multilevel"/>
    <w:tmpl w:val="FB7D61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779D5"/>
    <w:multiLevelType w:val="multilevel"/>
    <w:tmpl w:val="FFF779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BFE6E96"/>
    <w:multiLevelType w:val="multilevel"/>
    <w:tmpl w:val="3BFE6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0D7163"/>
    <w:rsid w:val="5FD3809F"/>
    <w:rsid w:val="7E0D7163"/>
    <w:rsid w:val="F3B7C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39</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2026-05-13T16:37:00Z</dcterms:created>
  <dc:creator>Yusufjon Ahmedov</dc:creator>
  <cp:lastModifiedBy>Yusufjon Ahmedov</cp:lastModifiedBy>
  <dcterms:modified xsi:type="dcterms:W3CDTF">2026-05-13T17:17:39Z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47B9C79BCDB5BB942D2A046AB198D67D_41</vt:lpwstr>
  </property>
</Properties>
</file>