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drawing>
          <wp:inline xmlns:a="http://schemas.openxmlformats.org/drawingml/2006/main" xmlns:pic="http://schemas.openxmlformats.org/drawingml/2006/picture">
            <wp:extent cx="5943600" cy="2080260"/>
            <wp:docPr id="1" name="Picture 1"/>
            <wp:cNvGraphicFramePr>
              <a:graphicFrameLocks noChangeAspect="1"/>
            </wp:cNvGraphicFramePr>
            <a:graphic>
              <a:graphicData uri="http://schemas.openxmlformats.org/drawingml/2006/picture">
                <pic:pic>
                  <pic:nvPicPr>
                    <pic:cNvPr id="0" name="repro_radar_banner.png"/>
                    <pic:cNvPicPr/>
                  </pic:nvPicPr>
                  <pic:blipFill>
                    <a:blip r:embed="rId11"/>
                    <a:stretch>
                      <a:fillRect/>
                    </a:stretch>
                  </pic:blipFill>
                  <pic:spPr>
                    <a:xfrm>
                      <a:off x="0" y="0"/>
                      <a:ext cx="5943600" cy="2080260"/>
                    </a:xfrm>
                    <a:prstGeom prst="rect"/>
                  </pic:spPr>
                </pic:pic>
              </a:graphicData>
            </a:graphic>
          </wp:inline>
        </w:drawing>
      </w:r>
    </w:p>
    <w:p>
      <w:pPr>
        <w:spacing w:before="200" w:after="80"/>
      </w:pPr>
      <w:r>
        <w:rPr>
          <w:b/>
          <w:color w:val="1A365D"/>
          <w:sz w:val="44"/>
        </w:rPr>
        <w:t>Repro Radar: Automated Empirical Replication and Multi-Tier Verification for Scientific Codebases</w:t>
      </w:r>
    </w:p>
    <w:p>
      <w:pPr>
        <w:spacing w:before="0" w:after="280"/>
      </w:pPr>
      <w:r>
        <w:rPr>
          <w:i/>
          <w:color w:val="4A5568"/>
          <w:sz w:val="24"/>
        </w:rPr>
        <w:t>An Autonomous, Container-Isolated Audit Engine and 4-Tier Reproducibility Evaluation Rubric for Empirical AI, Machine Learning, and Scientific Computing Articles</w:t>
      </w:r>
    </w:p>
    <w:tbl>
      <w:tblPr>
        <w:tblW w:type="auto" w:w="0"/>
        <w:jc w:val="center"/>
        <w:tblLook w:firstColumn="1" w:firstRow="1" w:lastColumn="0" w:lastRow="0" w:noHBand="0" w:noVBand="1" w:val="04A0"/>
      </w:tblPr>
      <w:tblGrid>
        <w:gridCol w:w="4680"/>
        <w:gridCol w:w="4680"/>
      </w:tblGrid>
      <w:tr>
        <w:tc>
          <w:tcPr>
            <w:tcW w:type="dxa" w:w="4680"/>
            <w:shd w:fill="F8FAFC"/>
            <w:tcMar>
              <w:top w:w="80" w:type="dxa"/>
              <w:left w:w="120" w:type="dxa"/>
              <w:bottom w:w="80" w:type="dxa"/>
              <w:right w:w="120" w:type="dxa"/>
            </w:tcMar>
          </w:tcPr>
          <w:p>
            <w:r>
              <w:rPr>
                <w:b/>
              </w:rPr>
              <w:t>Author &amp; Lead Architect:</w:t>
              <w:br/>
            </w:r>
            <w:r>
              <w:rPr>
                <w:sz w:val="19"/>
              </w:rPr>
              <w:t>Yusuf Kartal (yusufkartal0009-eng)</w:t>
              <w:br/>
              <w:t>Autonomous Systems &amp; Empirical AI Research</w:t>
            </w:r>
          </w:p>
        </w:tc>
        <w:tc>
          <w:tcPr>
            <w:tcW w:type="dxa" w:w="4680"/>
            <w:shd w:fill="F8FAFC"/>
            <w:tcMar>
              <w:top w:w="80" w:type="dxa"/>
              <w:left w:w="120" w:type="dxa"/>
              <w:bottom w:w="80" w:type="dxa"/>
              <w:right w:w="120" w:type="dxa"/>
            </w:tcMar>
          </w:tcPr>
          <w:p>
            <w:r>
              <w:rPr>
                <w:b/>
              </w:rPr>
              <w:t>Repository &amp; Artifact Target:</w:t>
              <w:br/>
            </w:r>
            <w:r>
              <w:rPr>
                <w:sz w:val="19"/>
              </w:rPr>
              <w:t>appendix_controller_for_articles</w:t>
              <w:br/>
              <w:t>GitHub: yusufkartal0009-eng/appendix_controller_for_articles</w:t>
            </w:r>
          </w:p>
        </w:tc>
      </w:tr>
      <w:tr>
        <w:tc>
          <w:tcPr>
            <w:tcW w:type="dxa" w:w="4680"/>
            <w:shd w:fill="F8FAFC"/>
            <w:tcMar>
              <w:top w:w="80" w:type="dxa"/>
              <w:left w:w="120" w:type="dxa"/>
              <w:bottom w:w="80" w:type="dxa"/>
              <w:right w:w="120" w:type="dxa"/>
            </w:tcMar>
          </w:tcPr>
          <w:p>
            <w:r>
              <w:rPr>
                <w:b/>
              </w:rPr>
              <w:t>Publication Scope:</w:t>
              <w:br/>
            </w:r>
            <w:r>
              <w:rPr>
                <w:sz w:val="19"/>
              </w:rPr>
              <w:t>Universal Scientific Appendix Auditor (IEEE, ACM, NeurIPS, ICML)</w:t>
            </w:r>
          </w:p>
        </w:tc>
        <w:tc>
          <w:tcPr>
            <w:tcW w:type="dxa" w:w="4680"/>
            <w:shd w:fill="F8FAFC"/>
            <w:tcMar>
              <w:top w:w="80" w:type="dxa"/>
              <w:left w:w="120" w:type="dxa"/>
              <w:bottom w:w="80" w:type="dxa"/>
              <w:right w:w="120" w:type="dxa"/>
            </w:tcMar>
          </w:tcPr>
          <w:p>
            <w:r>
              <w:rPr>
                <w:b/>
              </w:rPr>
              <w:t>Evaluation Standard:</w:t>
              <w:br/>
            </w:r>
            <w:r>
              <w:rPr>
                <w:sz w:val="19"/>
              </w:rPr>
              <w:t>4-Tier Weighted Rubric (Build, Metrics, Stability, Artifacts)</w:t>
            </w: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360"/>
            <w:shd w:fill="F0F4F8"/>
            <w:tcMar>
              <w:top w:w="160" w:type="dxa"/>
              <w:left w:w="200" w:type="dxa"/>
              <w:bottom w:w="160" w:type="dxa"/>
              <w:right w:w="200" w:type="dxa"/>
            </w:tcMar>
            <w:tcBorders>
              <w:top w:val="none"/>
              <w:left w:val="single" w:sz="24" w:space="0" w:color="2B6CB0"/>
              <w:bottom w:val="none"/>
              <w:right w:val="none"/>
            </w:tcBorders>
          </w:tcPr>
          <w:p>
            <w:pPr>
              <w:spacing w:before="0" w:after="80"/>
            </w:pPr>
            <w:r>
              <w:rPr>
                <w:b/>
                <w:color w:val="2B6CB0"/>
                <w:sz w:val="21"/>
              </w:rPr>
              <w:t>📌 EXECUTIVE ABSTRACT</w:t>
              <w:br/>
            </w:r>
            <w:r>
              <w:rPr>
                <w:color w:val="2D3748"/>
                <w:sz w:val="20"/>
              </w:rPr>
              <w:t>Empirical scientific disciplines face a profound replication bottleneck. While publication velocity has accelerated exponentially, independent computational reproducibility has lagged severely behind. Published claims frequently fail verification due to unversioned dependencies, hidden random seeds, hardware-dependent microarchitecture variations, and non-deterministic execution environments. Repro Radar introduces a domain-agnostic, container-isolated automated verification platform designed to evaluate research codebases and their accompanying numerical claims. Operating across a hardened Docker sandbox with zero network egress, CPU/memory quotas, and ephemeral user namespaces, the system executes paper-code pairs and applies a rigorous 4-Tier Reproducibility Rubric (Build Integrity, Metric Concordance, Multi-Seed Variance, and Software Hygiene). Rather than assigning punitive labels, an AI Decision Layer generates objective, diagnostic evaluations ('Verified', 'Partially Verified', 'Needs Review', 'Failed') that assist peer reviewers, academic funding agencies, and downstream practitioners in certifying research integrity.</w:t>
            </w:r>
          </w:p>
        </w:tc>
      </w:tr>
    </w:tbl>
    <w:p>
      <w:pPr>
        <w:spacing w:before="80" w:after="80"/>
      </w:pPr>
    </w:p>
    <w:p>
      <w:pPr>
        <w:pStyle w:val="Heading1"/>
        <w:keepNext/>
        <w:spacing w:before="360" w:after="120"/>
      </w:pPr>
      <w:r>
        <w:rPr>
          <w:rFonts w:ascii="Calibri" w:hAnsi="Calibri"/>
          <w:color w:val="1A365D"/>
        </w:rPr>
        <w:t>1. The Crisis of Empirical Reproducibility in Scientific Literature</w:t>
      </w:r>
    </w:p>
    <w:p>
      <w:pPr>
        <w:spacing w:line="276" w:lineRule="auto" w:after="160"/>
      </w:pPr>
      <w:r>
        <w:t>Scientific discovery relies fundamentally on independent verifiability. In 1995, geophysicist Jon Claerbout formulated a founding tenet of computational science: 'An article about computational science in a scientific publication is not the scholarship itself, it is merely advertising of the scholarship. The actual scholarship is the complete software development environment and the complete set of instructions which generated the figures.' Over the subsequent three decades, the transition from closed computational models to open scientific software has produced unprecedented scientific advances. However, this expansion has concurrently catalyzed a pervasive replication crisis across empirical computing, statistical modeling, and machine learning.</w:t>
      </w:r>
    </w:p>
    <w:p>
      <w:pPr>
        <w:spacing w:line="276" w:lineRule="auto" w:after="120"/>
      </w:pPr>
      <w:r>
        <w:t>Recent large-scale replication initiatives conducted across flagship conferences (including NeurIPS, ICML, ICLR, and IEEE Transactions) reveal that fewer than 35% of published empirical papers can be independently reproduced from their repository artifacts without substantial manual interventions by domain experts. The root causes of this failure mode are multifaceted and systemic:</w:t>
      </w:r>
    </w:p>
    <w:p>
      <w:pPr>
        <w:pStyle w:val="ListBullet"/>
        <w:spacing w:before="40" w:after="80" w:line="276" w:lineRule="auto"/>
      </w:pPr>
      <w:r>
        <w:rPr>
          <w:b/>
          <w:color w:val="1A365D"/>
        </w:rPr>
        <w:t xml:space="preserve">The Silent Decay of Dependency Ecosystems: </w:t>
      </w:r>
      <w:r>
        <w:t>Academic research repositories routinely omit version pinning in manifest files, or fail to document system-level library dependencies (e.g. CUDA drivers, OpenBLAS, compiler flags). Within 6 to 18 months of publication, breaking API changes in upstream libraries render research code entirely uncompilable.</w:t>
      </w:r>
    </w:p>
    <w:p>
      <w:pPr>
        <w:pStyle w:val="ListBullet"/>
        <w:spacing w:before="40" w:after="80" w:line="276" w:lineRule="auto"/>
      </w:pPr>
      <w:r>
        <w:rPr>
          <w:b/>
          <w:color w:val="1A365D"/>
        </w:rPr>
        <w:t xml:space="preserve">Stochastic Cherry-Picking and Seed Fragility: </w:t>
      </w:r>
      <w:r>
        <w:t>Empirical improvements in deep learning and statistical models frequently hold true only under a singular, undisclosed random seed. In the absence of multi-seed variance analysis, minor statistical fluctuations are mistakenly celebrated as novel theoretical breakthroughs.</w:t>
      </w:r>
    </w:p>
    <w:p>
      <w:pPr>
        <w:pStyle w:val="ListBullet"/>
        <w:spacing w:before="40" w:after="80" w:line="276" w:lineRule="auto"/>
      </w:pPr>
      <w:r>
        <w:rPr>
          <w:b/>
          <w:color w:val="1A365D"/>
        </w:rPr>
        <w:t xml:space="preserve">Hardware Confounding and Floating-Point Drift: </w:t>
      </w:r>
      <w:r>
        <w:t>Non-deterministic GPU reduction algorithms, non-associative floating-point summation (IEEE 754 standards), and differing CPU instruction sets (AVX-512 vs. ARM NEON) produce numerical variations that cause naive verification tools to reject valid scientific replications.</w:t>
      </w:r>
    </w:p>
    <w:p>
      <w:pPr>
        <w:pStyle w:val="ListBullet"/>
        <w:spacing w:before="40" w:after="80" w:line="276" w:lineRule="auto"/>
      </w:pPr>
      <w:r>
        <w:rPr>
          <w:b/>
          <w:color w:val="1A365D"/>
        </w:rPr>
        <w:t xml:space="preserve">Absence of Automated Verification Infrastructure: </w:t>
      </w:r>
      <w:r>
        <w:t>Peer reviewers and journal editors operate under severe time constraints. Manually provisioning isolated hardware environments, debugging path errors, and executing hours of training runs is untenable for human reviewers without dedicated automation.</w:t>
      </w:r>
    </w:p>
    <w:p>
      <w:pPr>
        <w:pStyle w:val="Heading1"/>
        <w:keepNext/>
        <w:spacing w:before="360" w:after="120"/>
      </w:pPr>
      <w:r>
        <w:rPr>
          <w:rFonts w:ascii="Calibri" w:hAnsi="Calibri"/>
          <w:color w:val="1A365D"/>
        </w:rPr>
        <w:t>2. Architectural Principles of Container-Isolated Sandboxing</w:t>
      </w:r>
    </w:p>
    <w:p>
      <w:pPr>
        <w:spacing w:line="276" w:lineRule="auto" w:after="160"/>
      </w:pPr>
      <w:r>
        <w:t>Executing third-party scientific code poses acute operational risks. Untrusted research scripts may invoke unvetted system commands, initiate arbitrary network calls, consume boundless memory, or overwrite host filesystems. Repro Radar resolves this tension by decoupling execution from the host operating system through a defense-in-depth sandbox topology.</w:t>
      </w:r>
    </w:p>
    <w:tbl>
      <w:tblPr>
        <w:tblW w:type="auto" w:w="0"/>
        <w:jc w:val="center"/>
        <w:tblLook w:firstColumn="1" w:firstRow="1" w:lastColumn="0" w:lastRow="0" w:noHBand="0" w:noVBand="1" w:val="04A0"/>
      </w:tblPr>
      <w:tblGrid>
        <w:gridCol w:w="2592"/>
        <w:gridCol w:w="3168"/>
        <w:gridCol w:w="3600"/>
      </w:tblGrid>
      <w:tr>
        <w:tc>
          <w:tcPr>
            <w:tcW w:type="dxa" w:w="3120"/>
            <w:shd w:fill="1A365D"/>
            <w:tcMar>
              <w:top w:w="100" w:type="dxa"/>
              <w:left w:w="100" w:type="dxa"/>
              <w:bottom w:w="100" w:type="dxa"/>
              <w:right w:w="100" w:type="dxa"/>
            </w:tcMar>
          </w:tcPr>
          <w:p>
            <w:r>
              <w:rPr>
                <w:b/>
                <w:color w:val="FFFFFF"/>
                <w:sz w:val="19"/>
              </w:rPr>
              <w:t>Security Dimension</w:t>
            </w:r>
          </w:p>
        </w:tc>
        <w:tc>
          <w:tcPr>
            <w:tcW w:type="dxa" w:w="3120"/>
            <w:shd w:fill="1A365D"/>
            <w:tcMar>
              <w:top w:w="100" w:type="dxa"/>
              <w:left w:w="100" w:type="dxa"/>
              <w:bottom w:w="100" w:type="dxa"/>
              <w:right w:w="100" w:type="dxa"/>
            </w:tcMar>
          </w:tcPr>
          <w:p>
            <w:r>
              <w:rPr>
                <w:b/>
                <w:color w:val="FFFFFF"/>
                <w:sz w:val="19"/>
              </w:rPr>
              <w:t>Implementation Mechanism</w:t>
            </w:r>
          </w:p>
        </w:tc>
        <w:tc>
          <w:tcPr>
            <w:tcW w:type="dxa" w:w="3120"/>
            <w:shd w:fill="1A365D"/>
            <w:tcMar>
              <w:top w:w="100" w:type="dxa"/>
              <w:left w:w="100" w:type="dxa"/>
              <w:bottom w:w="100" w:type="dxa"/>
              <w:right w:w="100" w:type="dxa"/>
            </w:tcMar>
          </w:tcPr>
          <w:p>
            <w:r>
              <w:rPr>
                <w:b/>
                <w:color w:val="FFFFFF"/>
                <w:sz w:val="19"/>
              </w:rPr>
              <w:t>Operational Defense</w:t>
            </w:r>
          </w:p>
        </w:tc>
      </w:tr>
      <w:tr>
        <w:tc>
          <w:tcPr>
            <w:tcW w:type="dxa" w:w="3120"/>
            <w:shd w:fill="F8FAFC"/>
            <w:tcMar>
              <w:top w:w="80" w:type="dxa"/>
              <w:left w:w="100" w:type="dxa"/>
              <w:bottom w:w="80" w:type="dxa"/>
              <w:right w:w="100" w:type="dxa"/>
            </w:tcMar>
          </w:tcPr>
          <w:p>
            <w:r>
              <w:rPr>
                <w:b/>
                <w:sz w:val="18"/>
              </w:rPr>
              <w:t>Network Egress &amp; Ingress</w:t>
            </w:r>
          </w:p>
        </w:tc>
        <w:tc>
          <w:tcPr>
            <w:tcW w:type="dxa" w:w="3120"/>
            <w:shd w:fill="F8FAFC"/>
            <w:tcMar>
              <w:top w:w="80" w:type="dxa"/>
              <w:left w:w="100" w:type="dxa"/>
              <w:bottom w:w="80" w:type="dxa"/>
              <w:right w:w="100" w:type="dxa"/>
            </w:tcMar>
          </w:tcPr>
          <w:p>
            <w:r>
              <w:rPr>
                <w:sz w:val="18"/>
              </w:rPr>
              <w:t>Docker '--network none'</w:t>
            </w:r>
          </w:p>
        </w:tc>
        <w:tc>
          <w:tcPr>
            <w:tcW w:type="dxa" w:w="3120"/>
            <w:shd w:fill="F8FAFC"/>
            <w:tcMar>
              <w:top w:w="80" w:type="dxa"/>
              <w:left w:w="100" w:type="dxa"/>
              <w:bottom w:w="80" w:type="dxa"/>
              <w:right w:w="100" w:type="dxa"/>
            </w:tcMar>
          </w:tcPr>
          <w:p>
            <w:r>
              <w:rPr>
                <w:sz w:val="18"/>
              </w:rPr>
              <w:t>Completely prevents unauthorized data exfiltration and eliminates hidden dependencies on dynamic external web services.</w:t>
            </w:r>
          </w:p>
        </w:tc>
      </w:tr>
      <w:tr>
        <w:tc>
          <w:tcPr>
            <w:tcW w:type="dxa" w:w="3120"/>
            <w:shd w:fill="FFFFFF"/>
            <w:tcMar>
              <w:top w:w="80" w:type="dxa"/>
              <w:left w:w="100" w:type="dxa"/>
              <w:bottom w:w="80" w:type="dxa"/>
              <w:right w:w="100" w:type="dxa"/>
            </w:tcMar>
          </w:tcPr>
          <w:p>
            <w:r>
              <w:rPr>
                <w:b/>
                <w:sz w:val="18"/>
              </w:rPr>
              <w:t>Filesystem Immutability</w:t>
            </w:r>
          </w:p>
        </w:tc>
        <w:tc>
          <w:tcPr>
            <w:tcW w:type="dxa" w:w="3120"/>
            <w:shd w:fill="FFFFFF"/>
            <w:tcMar>
              <w:top w:w="80" w:type="dxa"/>
              <w:left w:w="100" w:type="dxa"/>
              <w:bottom w:w="80" w:type="dxa"/>
              <w:right w:w="100" w:type="dxa"/>
            </w:tcMar>
          </w:tcPr>
          <w:p>
            <w:r>
              <w:rPr>
                <w:sz w:val="18"/>
              </w:rPr>
              <w:t>'--read-only' Root + Read-only Repo</w:t>
            </w:r>
          </w:p>
        </w:tc>
        <w:tc>
          <w:tcPr>
            <w:tcW w:type="dxa" w:w="3120"/>
            <w:shd w:fill="FFFFFF"/>
            <w:tcMar>
              <w:top w:w="80" w:type="dxa"/>
              <w:left w:w="100" w:type="dxa"/>
              <w:bottom w:w="80" w:type="dxa"/>
              <w:right w:w="100" w:type="dxa"/>
            </w:tcMar>
          </w:tcPr>
          <w:p>
            <w:r>
              <w:rPr>
                <w:sz w:val="18"/>
              </w:rPr>
              <w:t>Locks container root. Source code is mounted under '/workspace/repo:ro' to guarantee that audited code cannot mutate its own source.</w:t>
            </w:r>
          </w:p>
        </w:tc>
      </w:tr>
      <w:tr>
        <w:tc>
          <w:tcPr>
            <w:tcW w:type="dxa" w:w="3120"/>
            <w:shd w:fill="F8FAFC"/>
            <w:tcMar>
              <w:top w:w="80" w:type="dxa"/>
              <w:left w:w="100" w:type="dxa"/>
              <w:bottom w:w="80" w:type="dxa"/>
              <w:right w:w="100" w:type="dxa"/>
            </w:tcMar>
          </w:tcPr>
          <w:p>
            <w:r>
              <w:rPr>
                <w:b/>
                <w:sz w:val="18"/>
              </w:rPr>
              <w:t>Temporary Memory Jails</w:t>
            </w:r>
          </w:p>
        </w:tc>
        <w:tc>
          <w:tcPr>
            <w:tcW w:type="dxa" w:w="3120"/>
            <w:shd w:fill="F8FAFC"/>
            <w:tcMar>
              <w:top w:w="80" w:type="dxa"/>
              <w:left w:w="100" w:type="dxa"/>
              <w:bottom w:w="80" w:type="dxa"/>
              <w:right w:w="100" w:type="dxa"/>
            </w:tcMar>
          </w:tcPr>
          <w:p>
            <w:r>
              <w:rPr>
                <w:sz w:val="18"/>
              </w:rPr>
              <w:t>'--tmpfs /tmp:rw,noexec,nosuid'</w:t>
            </w:r>
          </w:p>
        </w:tc>
        <w:tc>
          <w:tcPr>
            <w:tcW w:type="dxa" w:w="3120"/>
            <w:shd w:fill="F8FAFC"/>
            <w:tcMar>
              <w:top w:w="80" w:type="dxa"/>
              <w:left w:w="100" w:type="dxa"/>
              <w:bottom w:w="80" w:type="dxa"/>
              <w:right w:w="100" w:type="dxa"/>
            </w:tcMar>
          </w:tcPr>
          <w:p>
            <w:r>
              <w:rPr>
                <w:sz w:val="18"/>
              </w:rPr>
              <w:t>In-memory scratchpad that strictly prohibits executable binaries or setuid elevation within temporary workspaces.</w:t>
            </w:r>
          </w:p>
        </w:tc>
      </w:tr>
      <w:tr>
        <w:tc>
          <w:tcPr>
            <w:tcW w:type="dxa" w:w="3120"/>
            <w:shd w:fill="FFFFFF"/>
            <w:tcMar>
              <w:top w:w="80" w:type="dxa"/>
              <w:left w:w="100" w:type="dxa"/>
              <w:bottom w:w="80" w:type="dxa"/>
              <w:right w:w="100" w:type="dxa"/>
            </w:tcMar>
          </w:tcPr>
          <w:p>
            <w:r>
              <w:rPr>
                <w:b/>
                <w:sz w:val="18"/>
              </w:rPr>
              <w:t>User Space Isolation</w:t>
            </w:r>
          </w:p>
        </w:tc>
        <w:tc>
          <w:tcPr>
            <w:tcW w:type="dxa" w:w="3120"/>
            <w:shd w:fill="FFFFFF"/>
            <w:tcMar>
              <w:top w:w="80" w:type="dxa"/>
              <w:left w:w="100" w:type="dxa"/>
              <w:bottom w:w="80" w:type="dxa"/>
              <w:right w:w="100" w:type="dxa"/>
            </w:tcMar>
          </w:tcPr>
          <w:p>
            <w:r>
              <w:rPr>
                <w:sz w:val="18"/>
              </w:rPr>
              <w:t>Non-Root UID:GID 1000:1000</w:t>
            </w:r>
          </w:p>
        </w:tc>
        <w:tc>
          <w:tcPr>
            <w:tcW w:type="dxa" w:w="3120"/>
            <w:shd w:fill="FFFFFF"/>
            <w:tcMar>
              <w:top w:w="80" w:type="dxa"/>
              <w:left w:w="100" w:type="dxa"/>
              <w:bottom w:w="80" w:type="dxa"/>
              <w:right w:w="100" w:type="dxa"/>
            </w:tcMar>
          </w:tcPr>
          <w:p>
            <w:r>
              <w:rPr>
                <w:sz w:val="18"/>
              </w:rPr>
              <w:t>Enforces the principle of least privilege. Prevents container breakout vulnerabilities through Linux kernel capabilities.</w:t>
            </w:r>
          </w:p>
        </w:tc>
      </w:tr>
      <w:tr>
        <w:tc>
          <w:tcPr>
            <w:tcW w:type="dxa" w:w="3120"/>
            <w:shd w:fill="F8FAFC"/>
            <w:tcMar>
              <w:top w:w="80" w:type="dxa"/>
              <w:left w:w="100" w:type="dxa"/>
              <w:bottom w:w="80" w:type="dxa"/>
              <w:right w:w="100" w:type="dxa"/>
            </w:tcMar>
          </w:tcPr>
          <w:p>
            <w:r>
              <w:rPr>
                <w:b/>
                <w:sz w:val="18"/>
              </w:rPr>
              <w:t>Resource Bounds</w:t>
            </w:r>
          </w:p>
        </w:tc>
        <w:tc>
          <w:tcPr>
            <w:tcW w:type="dxa" w:w="3120"/>
            <w:shd w:fill="F8FAFC"/>
            <w:tcMar>
              <w:top w:w="80" w:type="dxa"/>
              <w:left w:w="100" w:type="dxa"/>
              <w:bottom w:w="80" w:type="dxa"/>
              <w:right w:w="100" w:type="dxa"/>
            </w:tcMar>
          </w:tcPr>
          <w:p>
            <w:r>
              <w:rPr>
                <w:sz w:val="18"/>
              </w:rPr>
              <w:t>--cpus=2.0, --memory=8g, --pids-limit=100</w:t>
            </w:r>
          </w:p>
        </w:tc>
        <w:tc>
          <w:tcPr>
            <w:tcW w:type="dxa" w:w="3120"/>
            <w:shd w:fill="F8FAFC"/>
            <w:tcMar>
              <w:top w:w="80" w:type="dxa"/>
              <w:left w:w="100" w:type="dxa"/>
              <w:bottom w:w="80" w:type="dxa"/>
              <w:right w:w="100" w:type="dxa"/>
            </w:tcMar>
          </w:tcPr>
          <w:p>
            <w:r>
              <w:rPr>
                <w:sz w:val="18"/>
              </w:rPr>
              <w:t>Prevents host resource starvation, CPU monopolization, and malicious fork-bomb recursion.</w:t>
            </w:r>
          </w:p>
        </w:tc>
      </w:tr>
    </w:tbl>
    <w:p>
      <w:pPr>
        <w:spacing w:after="200"/>
      </w:pPr>
    </w:p>
    <w:p>
      <w:pPr>
        <w:pStyle w:val="Heading1"/>
        <w:keepNext/>
        <w:spacing w:before="360" w:after="120"/>
      </w:pPr>
      <w:r>
        <w:rPr>
          <w:rFonts w:ascii="Calibri" w:hAnsi="Calibri"/>
          <w:color w:val="1A365D"/>
        </w:rPr>
        <w:t>3. The Four-Tier (4-Tier) Reproducibility Rubric</w:t>
      </w:r>
    </w:p>
    <w:p>
      <w:pPr>
        <w:spacing w:line="276" w:lineRule="auto" w:after="160"/>
      </w:pPr>
      <w:r>
        <w:t>Binary classifications of reproducibility ('reproduced' vs. 'not reproduced') fail to capture the nuanced realities of scientific software engineering. A codebase that compiles effortlessly, adheres to open-source licensing standards, and produces metrics within 2% of reported claims differs profoundly from one that crashes on import or yields wildly conflicting predictions. Repro Radar evaluates replication fidelity across four structured, weighted tiers:</w:t>
      </w:r>
    </w:p>
    <w:tbl>
      <w:tblPr>
        <w:tblW w:type="auto" w:w="0"/>
        <w:jc w:val="center"/>
        <w:tblLook w:firstColumn="1" w:firstRow="1" w:lastColumn="0" w:lastRow="0" w:noHBand="0" w:noVBand="1" w:val="04A0"/>
      </w:tblPr>
      <w:tblGrid>
        <w:gridCol w:w="2160"/>
        <w:gridCol w:w="1152"/>
        <w:gridCol w:w="3168"/>
        <w:gridCol w:w="2880"/>
      </w:tblGrid>
      <w:tr>
        <w:tc>
          <w:tcPr>
            <w:tcW w:type="dxa" w:w="2340"/>
            <w:shd w:fill="2B6CB0"/>
            <w:tcMar>
              <w:top w:w="100" w:type="dxa"/>
              <w:left w:w="100" w:type="dxa"/>
              <w:bottom w:w="100" w:type="dxa"/>
              <w:right w:w="100" w:type="dxa"/>
            </w:tcMar>
          </w:tcPr>
          <w:p>
            <w:r>
              <w:rPr>
                <w:b/>
                <w:color w:val="FFFFFF"/>
                <w:sz w:val="19"/>
              </w:rPr>
              <w:t>Evaluation Tier</w:t>
            </w:r>
          </w:p>
        </w:tc>
        <w:tc>
          <w:tcPr>
            <w:tcW w:type="dxa" w:w="2340"/>
            <w:shd w:fill="2B6CB0"/>
            <w:tcMar>
              <w:top w:w="100" w:type="dxa"/>
              <w:left w:w="100" w:type="dxa"/>
              <w:bottom w:w="100" w:type="dxa"/>
              <w:right w:w="100" w:type="dxa"/>
            </w:tcMar>
          </w:tcPr>
          <w:p>
            <w:r>
              <w:rPr>
                <w:b/>
                <w:color w:val="FFFFFF"/>
                <w:sz w:val="19"/>
              </w:rPr>
              <w:t>Weight</w:t>
            </w:r>
          </w:p>
        </w:tc>
        <w:tc>
          <w:tcPr>
            <w:tcW w:type="dxa" w:w="2340"/>
            <w:shd w:fill="2B6CB0"/>
            <w:tcMar>
              <w:top w:w="100" w:type="dxa"/>
              <w:left w:w="100" w:type="dxa"/>
              <w:bottom w:w="100" w:type="dxa"/>
              <w:right w:w="100" w:type="dxa"/>
            </w:tcMar>
          </w:tcPr>
          <w:p>
            <w:r>
              <w:rPr>
                <w:b/>
                <w:color w:val="FFFFFF"/>
                <w:sz w:val="19"/>
              </w:rPr>
              <w:t>Evaluated Criteria</w:t>
            </w:r>
          </w:p>
        </w:tc>
        <w:tc>
          <w:tcPr>
            <w:tcW w:type="dxa" w:w="2340"/>
            <w:shd w:fill="2B6CB0"/>
            <w:tcMar>
              <w:top w:w="100" w:type="dxa"/>
              <w:left w:w="100" w:type="dxa"/>
              <w:bottom w:w="100" w:type="dxa"/>
              <w:right w:w="100" w:type="dxa"/>
            </w:tcMar>
          </w:tcPr>
          <w:p>
            <w:r>
              <w:rPr>
                <w:b/>
                <w:color w:val="FFFFFF"/>
                <w:sz w:val="19"/>
              </w:rPr>
              <w:t>Target Objective</w:t>
            </w:r>
          </w:p>
        </w:tc>
      </w:tr>
      <w:tr>
        <w:tc>
          <w:tcPr>
            <w:tcW w:type="dxa" w:w="2340"/>
            <w:shd w:fill="F8FAFC"/>
            <w:tcMar>
              <w:top w:w="80" w:type="dxa"/>
              <w:left w:w="100" w:type="dxa"/>
              <w:bottom w:w="80" w:type="dxa"/>
              <w:right w:w="100" w:type="dxa"/>
            </w:tcMar>
          </w:tcPr>
          <w:p>
            <w:r>
              <w:rPr>
                <w:b/>
                <w:sz w:val="18"/>
              </w:rPr>
              <w:t>Tier 1: Build &amp; Execution</w:t>
            </w:r>
          </w:p>
        </w:tc>
        <w:tc>
          <w:tcPr>
            <w:tcW w:type="dxa" w:w="2340"/>
            <w:shd w:fill="F8FAFC"/>
            <w:tcMar>
              <w:top w:w="80" w:type="dxa"/>
              <w:left w:w="100" w:type="dxa"/>
              <w:bottom w:w="80" w:type="dxa"/>
              <w:right w:w="100" w:type="dxa"/>
            </w:tcMar>
          </w:tcPr>
          <w:p>
            <w:r>
              <w:rPr>
                <w:sz w:val="18"/>
              </w:rPr>
              <w:t>35%</w:t>
            </w:r>
          </w:p>
        </w:tc>
        <w:tc>
          <w:tcPr>
            <w:tcW w:type="dxa" w:w="2340"/>
            <w:shd w:fill="F8FAFC"/>
            <w:tcMar>
              <w:top w:w="80" w:type="dxa"/>
              <w:left w:w="100" w:type="dxa"/>
              <w:bottom w:w="80" w:type="dxa"/>
              <w:right w:w="100" w:type="dxa"/>
            </w:tcMar>
          </w:tcPr>
          <w:p>
            <w:r>
              <w:rPr>
                <w:sz w:val="18"/>
              </w:rPr>
              <w:t>Git cloning, dependency resolution, execution exit code 0</w:t>
            </w:r>
          </w:p>
        </w:tc>
        <w:tc>
          <w:tcPr>
            <w:tcW w:type="dxa" w:w="2340"/>
            <w:shd w:fill="F8FAFC"/>
            <w:tcMar>
              <w:top w:w="80" w:type="dxa"/>
              <w:left w:w="100" w:type="dxa"/>
              <w:bottom w:w="80" w:type="dxa"/>
              <w:right w:w="100" w:type="dxa"/>
            </w:tcMar>
          </w:tcPr>
          <w:p>
            <w:r>
              <w:rPr>
                <w:sz w:val="18"/>
              </w:rPr>
              <w:t>Deterministic codebase compilability</w:t>
            </w:r>
          </w:p>
        </w:tc>
      </w:tr>
      <w:tr>
        <w:tc>
          <w:tcPr>
            <w:tcW w:type="dxa" w:w="2340"/>
            <w:shd w:fill="FFFFFF"/>
            <w:tcMar>
              <w:top w:w="80" w:type="dxa"/>
              <w:left w:w="100" w:type="dxa"/>
              <w:bottom w:w="80" w:type="dxa"/>
              <w:right w:w="100" w:type="dxa"/>
            </w:tcMar>
          </w:tcPr>
          <w:p>
            <w:r>
              <w:rPr>
                <w:b/>
                <w:sz w:val="18"/>
              </w:rPr>
              <w:t>Tier 2: Metric Alignment</w:t>
            </w:r>
          </w:p>
        </w:tc>
        <w:tc>
          <w:tcPr>
            <w:tcW w:type="dxa" w:w="2340"/>
            <w:shd w:fill="FFFFFF"/>
            <w:tcMar>
              <w:top w:w="80" w:type="dxa"/>
              <w:left w:w="100" w:type="dxa"/>
              <w:bottom w:w="80" w:type="dxa"/>
              <w:right w:w="100" w:type="dxa"/>
            </w:tcMar>
          </w:tcPr>
          <w:p>
            <w:r>
              <w:rPr>
                <w:sz w:val="18"/>
              </w:rPr>
              <w:t>35%</w:t>
            </w:r>
          </w:p>
        </w:tc>
        <w:tc>
          <w:tcPr>
            <w:tcW w:type="dxa" w:w="2340"/>
            <w:shd w:fill="FFFFFF"/>
            <w:tcMar>
              <w:top w:w="80" w:type="dxa"/>
              <w:left w:w="100" w:type="dxa"/>
              <w:bottom w:w="80" w:type="dxa"/>
              <w:right w:w="100" w:type="dxa"/>
            </w:tcMar>
          </w:tcPr>
          <w:p>
            <w:r>
              <w:rPr>
                <w:sz w:val="18"/>
              </w:rPr>
              <w:t>Empirical claim concordance (relative &amp; absolute tolerance)</w:t>
            </w:r>
          </w:p>
        </w:tc>
        <w:tc>
          <w:tcPr>
            <w:tcW w:type="dxa" w:w="2340"/>
            <w:shd w:fill="FFFFFF"/>
            <w:tcMar>
              <w:top w:w="80" w:type="dxa"/>
              <w:left w:w="100" w:type="dxa"/>
              <w:bottom w:w="80" w:type="dxa"/>
              <w:right w:w="100" w:type="dxa"/>
            </w:tcMar>
          </w:tcPr>
          <w:p>
            <w:r>
              <w:rPr>
                <w:sz w:val="18"/>
              </w:rPr>
              <w:t>Validation of quantitative findings</w:t>
            </w:r>
          </w:p>
        </w:tc>
      </w:tr>
      <w:tr>
        <w:tc>
          <w:tcPr>
            <w:tcW w:type="dxa" w:w="2340"/>
            <w:shd w:fill="F8FAFC"/>
            <w:tcMar>
              <w:top w:w="80" w:type="dxa"/>
              <w:left w:w="100" w:type="dxa"/>
              <w:bottom w:w="80" w:type="dxa"/>
              <w:right w:w="100" w:type="dxa"/>
            </w:tcMar>
          </w:tcPr>
          <w:p>
            <w:r>
              <w:rPr>
                <w:b/>
                <w:sz w:val="18"/>
              </w:rPr>
              <w:t>Tier 3: Seed Stability</w:t>
            </w:r>
          </w:p>
        </w:tc>
        <w:tc>
          <w:tcPr>
            <w:tcW w:type="dxa" w:w="2340"/>
            <w:shd w:fill="F8FAFC"/>
            <w:tcMar>
              <w:top w:w="80" w:type="dxa"/>
              <w:left w:w="100" w:type="dxa"/>
              <w:bottom w:w="80" w:type="dxa"/>
              <w:right w:w="100" w:type="dxa"/>
            </w:tcMar>
          </w:tcPr>
          <w:p>
            <w:r>
              <w:rPr>
                <w:sz w:val="18"/>
              </w:rPr>
              <w:t>15%</w:t>
            </w:r>
          </w:p>
        </w:tc>
        <w:tc>
          <w:tcPr>
            <w:tcW w:type="dxa" w:w="2340"/>
            <w:shd w:fill="F8FAFC"/>
            <w:tcMar>
              <w:top w:w="80" w:type="dxa"/>
              <w:left w:w="100" w:type="dxa"/>
              <w:bottom w:w="80" w:type="dxa"/>
              <w:right w:w="100" w:type="dxa"/>
            </w:tcMar>
          </w:tcPr>
          <w:p>
            <w:r>
              <w:rPr>
                <w:sz w:val="18"/>
              </w:rPr>
              <w:t>Multi-seed variance (CV &lt;= 2%), coefficient of variation</w:t>
            </w:r>
          </w:p>
        </w:tc>
        <w:tc>
          <w:tcPr>
            <w:tcW w:type="dxa" w:w="2340"/>
            <w:shd w:fill="F8FAFC"/>
            <w:tcMar>
              <w:top w:w="80" w:type="dxa"/>
              <w:left w:w="100" w:type="dxa"/>
              <w:bottom w:w="80" w:type="dxa"/>
              <w:right w:w="100" w:type="dxa"/>
            </w:tcMar>
          </w:tcPr>
          <w:p>
            <w:r>
              <w:rPr>
                <w:sz w:val="18"/>
              </w:rPr>
              <w:t>Mitigation of cherry-picked seeds</w:t>
            </w:r>
          </w:p>
        </w:tc>
      </w:tr>
      <w:tr>
        <w:tc>
          <w:tcPr>
            <w:tcW w:type="dxa" w:w="2340"/>
            <w:shd w:fill="FFFFFF"/>
            <w:tcMar>
              <w:top w:w="80" w:type="dxa"/>
              <w:left w:w="100" w:type="dxa"/>
              <w:bottom w:w="80" w:type="dxa"/>
              <w:right w:w="100" w:type="dxa"/>
            </w:tcMar>
          </w:tcPr>
          <w:p>
            <w:r>
              <w:rPr>
                <w:b/>
                <w:sz w:val="18"/>
              </w:rPr>
              <w:t>Tier 4: Software Hygiene</w:t>
            </w:r>
          </w:p>
        </w:tc>
        <w:tc>
          <w:tcPr>
            <w:tcW w:type="dxa" w:w="2340"/>
            <w:shd w:fill="FFFFFF"/>
            <w:tcMar>
              <w:top w:w="80" w:type="dxa"/>
              <w:left w:w="100" w:type="dxa"/>
              <w:bottom w:w="80" w:type="dxa"/>
              <w:right w:w="100" w:type="dxa"/>
            </w:tcMar>
          </w:tcPr>
          <w:p>
            <w:r>
              <w:rPr>
                <w:sz w:val="18"/>
              </w:rPr>
              <w:t>15%</w:t>
            </w:r>
          </w:p>
        </w:tc>
        <w:tc>
          <w:tcPr>
            <w:tcW w:type="dxa" w:w="2340"/>
            <w:shd w:fill="FFFFFF"/>
            <w:tcMar>
              <w:top w:w="80" w:type="dxa"/>
              <w:left w:w="100" w:type="dxa"/>
              <w:bottom w:w="80" w:type="dxa"/>
              <w:right w:w="100" w:type="dxa"/>
            </w:tcMar>
          </w:tcPr>
          <w:p>
            <w:r>
              <w:rPr>
                <w:sz w:val="18"/>
              </w:rPr>
              <w:t>OSI license compliance, pinned environment files, logs</w:t>
            </w:r>
          </w:p>
        </w:tc>
        <w:tc>
          <w:tcPr>
            <w:tcW w:type="dxa" w:w="2340"/>
            <w:shd w:fill="FFFFFF"/>
            <w:tcMar>
              <w:top w:w="80" w:type="dxa"/>
              <w:left w:w="100" w:type="dxa"/>
              <w:bottom w:w="80" w:type="dxa"/>
              <w:right w:w="100" w:type="dxa"/>
            </w:tcMar>
          </w:tcPr>
          <w:p>
            <w:r>
              <w:rPr>
                <w:sz w:val="18"/>
              </w:rPr>
              <w:t>Long-term open-science sustainability</w:t>
            </w:r>
          </w:p>
        </w:tc>
      </w:tr>
    </w:tbl>
    <w:p>
      <w:pPr>
        <w:spacing w:after="200"/>
      </w:pPr>
    </w:p>
    <w:p>
      <w:pPr>
        <w:pStyle w:val="Heading1"/>
        <w:keepNext/>
        <w:spacing w:before="360" w:after="120"/>
      </w:pPr>
      <w:r>
        <w:rPr>
          <w:rFonts w:ascii="Calibri" w:hAnsi="Calibri"/>
          <w:color w:val="1A365D"/>
        </w:rPr>
        <w:t>4. Domain-Agnostic Scientific Auditing Scope</w:t>
      </w:r>
    </w:p>
    <w:p>
      <w:pPr>
        <w:spacing w:line="276" w:lineRule="auto" w:after="160"/>
      </w:pPr>
      <w:r>
        <w:t>A foundational design objective of Repro Radar is domain independence. While initial development and calibration leveraged empirical machine learning and tabular classification benchmarks, the underlying verification engine is architecturally universal. Any peer-reviewed scientific paper that bundles an executable computational appendix—whether in IEEE Transactions on Signal Processing, bioinformatics gene expression pipelines, computational economics, physical simulations, or cryptography—can be formally audited through this infrastructure.</w:t>
      </w:r>
    </w:p>
    <w:p>
      <w:pPr>
        <w:spacing w:line="276" w:lineRule="auto" w:after="240"/>
      </w:pPr>
      <w:r>
        <w:t>By enforcing a strict separation between domain-specific mathematical parsing and general sandbox orchestration, Repro Radar provides a standardized verification protocol that bridges the gap between academic authors, conference program committees, and the broader global scientific community.</w:t>
      </w:r>
    </w:p>
    <w:p>
      <w:pPr>
        <w:pStyle w:val="Heading1"/>
        <w:keepNext/>
        <w:spacing w:before="360" w:after="120"/>
      </w:pPr>
      <w:r>
        <w:rPr>
          <w:rFonts w:ascii="Calibri" w:hAnsi="Calibri"/>
          <w:color w:val="1A365D"/>
        </w:rPr>
        <w:t>5. References &amp; Academic Bibliography</w:t>
      </w:r>
    </w:p>
    <w:p>
      <w:pPr>
        <w:spacing w:before="40" w:after="80" w:line="276" w:lineRule="auto"/>
        <w:ind w:left="576" w:hanging="576"/>
      </w:pPr>
      <w:r>
        <w:rPr>
          <w:b/>
          <w:sz w:val="19"/>
        </w:rPr>
        <w:t xml:space="preserve">1. Claerbout, J. F., &amp; Karrenbach, M. (1992). </w:t>
      </w:r>
      <w:r>
        <w:rPr>
          <w:sz w:val="19"/>
        </w:rPr>
        <w:t>Electronic documents give reproducible research a new meaning. In SEG Technical Program Expanded Abstracts (pp. 601-604). Society of Exploration Geophysicists.</w:t>
      </w:r>
    </w:p>
    <w:p>
      <w:pPr>
        <w:spacing w:before="40" w:after="80" w:line="276" w:lineRule="auto"/>
        <w:ind w:left="576" w:hanging="576"/>
      </w:pPr>
      <w:r>
        <w:rPr>
          <w:b/>
          <w:sz w:val="19"/>
        </w:rPr>
        <w:t xml:space="preserve">2. Donoho, D. L. (2010). </w:t>
      </w:r>
      <w:r>
        <w:rPr>
          <w:sz w:val="19"/>
        </w:rPr>
        <w:t>An invitation to reproducible computational research. Biostatistics, 11(3), 385-388.</w:t>
      </w:r>
    </w:p>
    <w:p>
      <w:pPr>
        <w:spacing w:before="40" w:after="80" w:line="276" w:lineRule="auto"/>
        <w:ind w:left="576" w:hanging="576"/>
      </w:pPr>
      <w:r>
        <w:rPr>
          <w:b/>
          <w:sz w:val="19"/>
        </w:rPr>
        <w:t xml:space="preserve">3. Pineau, J., et al. (2021). </w:t>
      </w:r>
      <w:r>
        <w:rPr>
          <w:sz w:val="19"/>
        </w:rPr>
        <w:t>Improving reproducibility in machine learning research (a report from the NeurIPS 2019 reproducibility program). Journal of Machine Learning Research, 22(164), 1-20.</w:t>
      </w:r>
    </w:p>
    <w:p>
      <w:pPr>
        <w:spacing w:before="40" w:after="80" w:line="276" w:lineRule="auto"/>
        <w:ind w:left="576" w:hanging="576"/>
      </w:pPr>
      <w:r>
        <w:rPr>
          <w:b/>
          <w:sz w:val="19"/>
        </w:rPr>
        <w:t xml:space="preserve">4. Stodden, V., Leisch, F., &amp; Peng, R. D. (Eds.). (2014). </w:t>
      </w:r>
      <w:r>
        <w:rPr>
          <w:sz w:val="19"/>
        </w:rPr>
        <w:t>Implementing reproducible research. CRC Press.</w:t>
      </w:r>
    </w:p>
    <w:p>
      <w:pPr>
        <w:spacing w:before="40" w:after="80" w:line="276" w:lineRule="auto"/>
        <w:ind w:left="576" w:hanging="576"/>
      </w:pPr>
      <w:r>
        <w:rPr>
          <w:b/>
          <w:sz w:val="19"/>
        </w:rPr>
        <w:t xml:space="preserve">5. Baker, M. (2016). </w:t>
      </w:r>
      <w:r>
        <w:rPr>
          <w:sz w:val="19"/>
        </w:rPr>
        <w:t>1,500 scientists lift the lid on reproducibility. Nature, 533(7604), 452-454.</w:t>
      </w:r>
    </w:p>
    <w:p>
      <w:pPr>
        <w:spacing w:before="40" w:after="80" w:line="276" w:lineRule="auto"/>
        <w:ind w:left="576" w:hanging="576"/>
      </w:pPr>
      <w:r>
        <w:rPr>
          <w:b/>
          <w:sz w:val="19"/>
        </w:rPr>
        <w:t xml:space="preserve">6. Henderson, P., et al. (2018). </w:t>
      </w:r>
      <w:r>
        <w:rPr>
          <w:sz w:val="19"/>
        </w:rPr>
        <w:t>Deep reinforcement learning that matters. In Proceedings of the AAAI Conference on Artificial Intelligence (Vol. 32, No. 1).</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Appendix Controller for Empirical Scientific Research Articles • Open Science Specification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Repro Radar | Academic Introduction &amp; System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