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640"/>
      </w:pPr>
      <w:r>
        <w:rPr>
          <w:sz w:val="2"/>
          <w:szCs w:val="2"/>
        </w:rPr>
        <w:t xml:space="preserve"/>
      </w:r>
    </w:p>
    <w:p>
      <w:pPr>
        <w:spacing w:after="40" w:before="0"/>
        <w:jc w:val="left"/>
      </w:pPr>
      <w:r>
        <w:rPr>
          <w:rFonts w:ascii="Arial" w:cs="Arial" w:eastAsia="Arial" w:hAnsi="Arial"/>
          <w:b/>
          <w:bCs/>
          <w:caps/>
          <w:color w:val="C9A84C"/>
          <w:spacing w:val="200"/>
          <w:sz w:val="26"/>
          <w:szCs w:val="26"/>
        </w:rPr>
        <w:t xml:space="preserve">E N L U M A</w:t>
      </w:r>
    </w:p>
    <w:p>
      <w:pPr>
        <w:spacing w:after="0" w:before="0"/>
        <w:jc w:val="left"/>
      </w:pPr>
      <w:r>
        <w:rPr>
          <w:rFonts w:ascii="Arial" w:cs="Arial" w:eastAsia="Arial" w:hAnsi="Arial"/>
          <w:caps/>
          <w:color w:val="8A9AAA"/>
          <w:spacing w:val="100"/>
          <w:sz w:val="18"/>
          <w:szCs w:val="18"/>
        </w:rPr>
        <w:t xml:space="preserve">WHITE PAPER  ·  APRIL 2026</w:t>
      </w:r>
    </w:p>
    <w:p>
      <w:pPr>
        <w:spacing w:after="0" w:before="0" w:line="200"/>
      </w:pPr>
      <w:r>
        <w:rPr>
          <w:sz w:val="2"/>
          <w:szCs w:val="2"/>
        </w:rPr>
        <w:t xml:space="preserve"/>
      </w:r>
    </w:p>
    <w:p>
      <w:pPr>
        <w:pBdr>
          <w:top w:val="single" w:color="C9A84C" w:sz="6" w:space="1"/>
        </w:pBdr>
        <w:spacing w:after="0" w:before="0"/>
        <w:jc w:val="left"/>
      </w:pPr>
      <w:r>
        <w:rPr>
          <w:sz w:val="2"/>
          <w:szCs w:val="2"/>
        </w:rPr>
        <w:t xml:space="preserve"/>
      </w:r>
    </w:p>
    <w:p>
      <w:pPr>
        <w:spacing w:after="0" w:before="0" w:line="200"/>
      </w:pPr>
      <w:r>
        <w:rPr>
          <w:sz w:val="2"/>
          <w:szCs w:val="2"/>
        </w:rPr>
        <w:t xml:space="preserve"/>
      </w:r>
    </w:p>
    <w:p>
      <w:pPr>
        <w:spacing w:after="120" w:before="0"/>
        <w:jc w:val="left"/>
      </w:pPr>
      <w:r>
        <w:rPr>
          <w:rFonts w:ascii="Palatino Linotype" w:cs="Palatino Linotype" w:eastAsia="Palatino Linotype" w:hAnsi="Palatino Linotype"/>
          <w:b w:val="false"/>
          <w:bCs w:val="false"/>
          <w:color w:val="0D1B2A"/>
          <w:sz w:val="58"/>
          <w:szCs w:val="58"/>
        </w:rPr>
        <w:t xml:space="preserve">The Communication Intelligence Gap</w:t>
      </w:r>
    </w:p>
    <w:p>
      <w:pPr>
        <w:spacing w:after="0" w:before="0"/>
        <w:jc w:val="left"/>
      </w:pPr>
      <w:r>
        <w:rPr>
          <w:rFonts w:ascii="Palatino Linotype" w:cs="Palatino Linotype" w:eastAsia="Palatino Linotype" w:hAnsi="Palatino Linotype"/>
          <w:i/>
          <w:iCs/>
          <w:color w:val="5A6A7A"/>
          <w:sz w:val="30"/>
          <w:szCs w:val="30"/>
        </w:rPr>
        <w:t xml:space="preserve">Why the Future of Human Performance Isn’t Education — It’s Infrastructure</w:t>
      </w:r>
    </w:p>
    <w:p>
      <w:pPr>
        <w:spacing w:after="0" w:before="0" w:line="240"/>
      </w:pPr>
      <w:r>
        <w:rPr>
          <w:sz w:val="2"/>
          <w:szCs w:val="2"/>
        </w:rPr>
        <w:t xml:space="preserve"/>
      </w:r>
    </w:p>
    <w:p>
      <w:pPr>
        <w:spacing w:after="40" w:before="0"/>
        <w:jc w:val="left"/>
      </w:pPr>
      <w:r>
        <w:rPr>
          <w:rFonts w:ascii="Arial" w:cs="Arial" w:eastAsia="Arial" w:hAnsi="Arial"/>
          <w:color w:val="8A9AAA"/>
          <w:sz w:val="19"/>
          <w:szCs w:val="19"/>
        </w:rPr>
        <w:t xml:space="preserve">Prepared for investors, enterprise L&amp;D leaders, and founding creators.</w:t>
      </w:r>
    </w:p>
    <w:p>
      <w:pPr>
        <w:spacing w:after="0" w:before="0"/>
        <w:jc w:val="left"/>
      </w:pPr>
      <w:r>
        <w:rPr>
          <w:rFonts w:ascii="Arial" w:cs="Arial" w:eastAsia="Arial" w:hAnsi="Arial"/>
          <w:color w:val="8A9AAA"/>
          <w:sz w:val="19"/>
          <w:szCs w:val="19"/>
        </w:rPr>
        <w:t xml:space="preserve">Confidential  ·  Not for distribution  ·  Version 1.0</w:t>
      </w:r>
    </w:p>
    <w:p>
      <w:r>
        <w:br w:type="page"/>
      </w:r>
    </w:p>
    <w:p>
      <w:pPr>
        <w:spacing w:after="0" w:before="0" w:line="120"/>
      </w:pPr>
      <w:r>
        <w:rPr>
          <w:sz w:val="2"/>
          <w:szCs w:val="2"/>
        </w:rPr>
        <w:t xml:space="preserve"/>
      </w:r>
    </w:p>
    <w:p>
      <w:pPr>
        <w:spacing w:after="80" w:before="0"/>
      </w:pPr>
      <w:r>
        <w:rPr>
          <w:rFonts w:ascii="Arial" w:cs="Arial" w:eastAsia="Arial" w:hAnsi="Arial"/>
          <w:b/>
          <w:bCs/>
          <w:caps/>
          <w:color w:val="C9A84C"/>
          <w:sz w:val="18"/>
          <w:szCs w:val="18"/>
        </w:rPr>
        <w:t xml:space="preserve">01</w:t>
      </w:r>
    </w:p>
    <w:p>
      <w:pPr>
        <w:pStyle w:val="Heading1"/>
        <w:spacing w:after="200" w:before="0"/>
      </w:pPr>
      <w:r>
        <w:rPr>
          <w:rFonts w:ascii="Arial" w:cs="Arial" w:eastAsia="Arial" w:hAnsi="Arial"/>
          <w:b/>
          <w:bCs/>
          <w:color w:val="1E3A5F"/>
          <w:sz w:val="34"/>
          <w:szCs w:val="34"/>
        </w:rPr>
        <w:t xml:space="preserve">Executive Summary: The Performance Paradox</w:t>
      </w:r>
    </w:p>
    <w:p>
      <w:pPr>
        <w:pBdr>
          <w:bottom w:val="single" w:color="C9A84C" w:sz="3" w:space="1"/>
        </w:pBdr>
        <w:spacing w:after="240" w:before="0"/>
      </w:pPr>
      <w:r>
        <w:rPr>
          <w:sz w:val="2"/>
          <w:szCs w:val="2"/>
        </w:rPr>
        <w:t xml:space="preserve"/>
      </w:r>
    </w:p>
    <w:p>
      <w:pPr>
        <w:spacing w:after="160" w:before="0" w:line="360"/>
        <w:jc w:val="both"/>
      </w:pPr>
      <w:r>
        <w:rPr>
          <w:rFonts w:ascii="Palatino Linotype" w:cs="Palatino Linotype" w:eastAsia="Palatino Linotype" w:hAnsi="Palatino Linotype"/>
          <w:color w:val="0D1B2A"/>
          <w:sz w:val="23"/>
          <w:szCs w:val="23"/>
        </w:rPr>
        <w:t xml:space="preserve">The global language and communication market is currently experiencing a historic capital influx, with a total valuation exceeding $80 billion and a projected compound annual growth rate of 15.2%. Yet beneath these impressive macroeconomic indicators lies what we define as the Performance Paradox: despite decades of sustained investment in digital pedagogy, actual behavioural outcomes remain stubbornly stagnant. Organisations continue to pour billions into legacy platforms that solve for content acquisition—the rote memorisation of vocabulary and grammar—while failing entirely to address performance execution.</w:t>
      </w:r>
    </w:p>
    <w:p>
      <w:pPr>
        <w:spacing w:after="160" w:before="0" w:line="360"/>
        <w:jc w:val="both"/>
      </w:pPr>
      <w:r>
        <w:rPr>
          <w:rFonts w:ascii="Palatino Linotype" w:cs="Palatino Linotype" w:eastAsia="Palatino Linotype" w:hAnsi="Palatino Linotype"/>
          <w:color w:val="0D1B2A"/>
          <w:sz w:val="23"/>
          <w:szCs w:val="23"/>
        </w:rPr>
        <w:t xml:space="preserve">The result is a global workforce that is “educated” on paper but functionally paralysed in the high-stakes moments where communication determines value. This is the Communication Intelligence Gap: the measurable cognitive and physiological distance between static knowledge (what a person knows in a low-stakes, relaxed state) and dynamic performance (how they execute under the heat of a live negotiation, a cross-cultural pitch, or a critical leadership conflict).</w:t>
      </w:r>
    </w:p>
    <w:p>
      <w:pPr>
        <w:pBdr>
          <w:top w:val="single" w:color="C9A84C" w:sz="4" w:space="8"/>
          <w:bottom w:val="single" w:color="C9A84C" w:sz="4" w:space="8"/>
        </w:pBdr>
        <w:spacing w:after="280" w:before="280" w:line="380"/>
        <w:ind w:left="720" w:right="720"/>
        <w:jc w:val="center"/>
      </w:pPr>
      <w:r>
        <w:rPr>
          <w:rFonts w:ascii="Palatino Linotype" w:cs="Palatino Linotype" w:eastAsia="Palatino Linotype" w:hAnsi="Palatino Linotype"/>
          <w:i/>
          <w:iCs/>
          <w:color w:val="1E3A5F"/>
          <w:sz w:val="26"/>
          <w:szCs w:val="26"/>
        </w:rPr>
        <w:t xml:space="preserve">Bridging this gap requires more than better content. It requires a fundamental paradigm shift from language learning to Adaptive Communication Intelligence.</w:t>
      </w:r>
    </w:p>
    <w:p>
      <w:pPr>
        <w:spacing w:after="160" w:before="0" w:line="360"/>
        <w:jc w:val="both"/>
      </w:pPr>
      <w:r>
        <w:rPr>
          <w:rFonts w:ascii="Palatino Linotype" w:cs="Palatino Linotype" w:eastAsia="Palatino Linotype" w:hAnsi="Palatino Linotype"/>
          <w:color w:val="0D1B2A"/>
          <w:sz w:val="23"/>
          <w:szCs w:val="23"/>
        </w:rPr>
        <w:t xml:space="preserve">Adaptive Communication Intelligence (ACI) is not a tutorial service; it is a persistent, agent-driven infrastructure that observes, predicts, and optimises human expression in real time. By moving beyond the classroom and into the moment of truth, ACI transforms communication from a subject to be studied into a high-performance motor skill supported by what we call an Operating System for Human Expression.</w:t>
      </w:r>
    </w:p>
    <w:p>
      <w:pPr>
        <w:spacing w:after="160" w:before="0" w:line="360"/>
        <w:jc w:val="both"/>
      </w:pPr>
      <w:r>
        <w:rPr>
          <w:rFonts w:ascii="Palatino Linotype" w:cs="Palatino Linotype" w:eastAsia="Palatino Linotype" w:hAnsi="Palatino Linotype"/>
          <w:color w:val="0D1B2A"/>
          <w:sz w:val="23"/>
          <w:szCs w:val="23"/>
        </w:rPr>
        <w:t xml:space="preserve">The platform that realises this vision is Enluma. This paper outlines the strategic, scientific, and architectural case for why this category is inevitable, why the window to define it is open now, and why the infrastructure model — not the content model — is the only path to durable competitive advantage.</w:t>
      </w:r>
    </w:p>
    <w:p>
      <w:r>
        <w:br w:type="page"/>
      </w:r>
    </w:p>
    <w:p>
      <w:pPr>
        <w:spacing w:after="0" w:before="0" w:line="120"/>
      </w:pPr>
      <w:r>
        <w:rPr>
          <w:sz w:val="2"/>
          <w:szCs w:val="2"/>
        </w:rPr>
        <w:t xml:space="preserve"/>
      </w:r>
    </w:p>
    <w:p>
      <w:pPr>
        <w:spacing w:after="80" w:before="0"/>
      </w:pPr>
      <w:r>
        <w:rPr>
          <w:rFonts w:ascii="Arial" w:cs="Arial" w:eastAsia="Arial" w:hAnsi="Arial"/>
          <w:b/>
          <w:bCs/>
          <w:caps/>
          <w:color w:val="C9A84C"/>
          <w:sz w:val="18"/>
          <w:szCs w:val="18"/>
        </w:rPr>
        <w:t xml:space="preserve">02</w:t>
      </w:r>
    </w:p>
    <w:p>
      <w:pPr>
        <w:pStyle w:val="Heading1"/>
        <w:spacing w:after="200" w:before="0"/>
      </w:pPr>
      <w:r>
        <w:rPr>
          <w:rFonts w:ascii="Arial" w:cs="Arial" w:eastAsia="Arial" w:hAnsi="Arial"/>
          <w:b/>
          <w:bCs/>
          <w:color w:val="1E3A5F"/>
          <w:sz w:val="34"/>
          <w:szCs w:val="34"/>
        </w:rPr>
        <w:t xml:space="preserve">The Problem: Why Traditional Education Fails the Moment of Truth</w:t>
      </w:r>
    </w:p>
    <w:p>
      <w:pPr>
        <w:pBdr>
          <w:bottom w:val="single" w:color="C9A84C" w:sz="3" w:space="1"/>
        </w:pBdr>
        <w:spacing w:after="240" w:before="0"/>
      </w:pPr>
      <w:r>
        <w:rPr>
          <w:sz w:val="2"/>
          <w:szCs w:val="2"/>
        </w:rPr>
        <w:t xml:space="preserve"/>
      </w:r>
    </w:p>
    <w:p>
      <w:pPr>
        <w:spacing w:after="160" w:before="0" w:line="360"/>
        <w:jc w:val="both"/>
      </w:pPr>
      <w:r>
        <w:rPr>
          <w:rFonts w:ascii="Palatino Linotype" w:cs="Palatino Linotype" w:eastAsia="Palatino Linotype" w:hAnsi="Palatino Linotype"/>
          <w:color w:val="0D1B2A"/>
          <w:sz w:val="23"/>
          <w:szCs w:val="23"/>
        </w:rPr>
        <w:t xml:space="preserve">The moment of truth in communication is binary: either the message achieves its intended impact, or it fails. Legacy educational platforms are structurally incapable of addressing this reality because they are built on engagement mechanics rather than performance engineering. They optimise for streaks and badges—metrics that correlate with app retention but bear no relationship to physiological resilience during a social crisis.</w:t>
      </w:r>
    </w:p>
    <w:p>
      <w:pPr>
        <w:pStyle w:val="Heading2"/>
        <w:spacing w:after="120" w:before="280"/>
      </w:pPr>
      <w:r>
        <w:rPr>
          <w:rFonts w:ascii="Arial" w:cs="Arial" w:eastAsia="Arial" w:hAnsi="Arial"/>
          <w:b/>
          <w:bCs/>
          <w:color w:val="1E3A5F"/>
          <w:sz w:val="24"/>
          <w:szCs w:val="24"/>
        </w:rPr>
        <w:t xml:space="preserve">Communication Is a Stress-Response Event</w:t>
      </w:r>
    </w:p>
    <w:p>
      <w:pPr>
        <w:spacing w:after="160" w:before="0" w:line="360"/>
        <w:jc w:val="both"/>
      </w:pPr>
      <w:r>
        <w:rPr>
          <w:rFonts w:ascii="Palatino Linotype" w:cs="Palatino Linotype" w:eastAsia="Palatino Linotype" w:hAnsi="Palatino Linotype"/>
          <w:color w:val="0D1B2A"/>
          <w:sz w:val="23"/>
          <w:szCs w:val="23"/>
        </w:rPr>
        <w:t xml:space="preserve">When an individual enters a live negotiation or a high-pressure board meeting, the prefrontal cortex—the seat of conscious learning—often yields to the amygdala. This “amygdala hijack” triggers a series of measurable performance collapses: hesitation spikes, a dramatic increase in filler word frequency, and the sudden inability to retrieve vocabulary that was ostensibly mastered in a low-stakes environment. Research in psycholinguistics consistently demonstrates that under moderate social stress, retrieval fluency declines by as much as 40% in subjects who learned through passive content consumption alone.</w:t>
      </w:r>
    </w:p>
    <w:p>
      <w:pPr>
        <w:spacing w:after="160" w:before="0" w:line="360"/>
        <w:jc w:val="both"/>
      </w:pPr>
      <w:r>
        <w:rPr>
          <w:rFonts w:ascii="Palatino Linotype" w:cs="Palatino Linotype" w:eastAsia="Palatino Linotype" w:hAnsi="Palatino Linotype"/>
          <w:color w:val="0D1B2A"/>
          <w:sz w:val="23"/>
          <w:szCs w:val="23"/>
        </w:rPr>
        <w:t xml:space="preserve">Legacy platforms fail at this moment because they lack spatial and physiological realism. They treat the brain like a hard drive to be filled with linguistic data, rather than a biological processor that must maintain throughput under extreme social heat. They provide the “what” of language while ignoring the “how” — the prosodic nuances, the cultural subtext, and the embodied confidence that determine whether a message lands with authority or dissolves into uncertainty.</w:t>
      </w:r>
    </w:p>
    <w:p>
      <w:pPr>
        <w:pStyle w:val="Heading2"/>
        <w:spacing w:after="120" w:before="280"/>
      </w:pPr>
      <w:r>
        <w:rPr>
          <w:rFonts w:ascii="Arial" w:cs="Arial" w:eastAsia="Arial" w:hAnsi="Arial"/>
          <w:b/>
          <w:bCs/>
          <w:color w:val="1E3A5F"/>
          <w:sz w:val="24"/>
          <w:szCs w:val="24"/>
        </w:rPr>
        <w:t xml:space="preserve">Learned Helplessness at Scale</w:t>
      </w:r>
    </w:p>
    <w:p>
      <w:pPr>
        <w:spacing w:after="160" w:before="0" w:line="360"/>
        <w:jc w:val="both"/>
      </w:pPr>
      <w:r>
        <w:rPr>
          <w:rFonts w:ascii="Palatino Linotype" w:cs="Palatino Linotype" w:eastAsia="Palatino Linotype" w:hAnsi="Palatino Linotype"/>
          <w:color w:val="0D1B2A"/>
          <w:sz w:val="23"/>
          <w:szCs w:val="23"/>
        </w:rPr>
        <w:t xml:space="preserve">The consequence of this structural failure is what we term learned helplessness at scale: the ability to pass a multiple-choice assessment but the inability to hold a nuanced conversation under pressure. Organisations are investing in the illusion of capability. Their employees can demonstrate knowledge in controlled conditions; they cannot perform in uncontrolled ones. This gap is not a marginal inefficiency. It is a systemic failure that costs organisations measurable revenue in every sales conversation, every negotiation, and every leadership moment that goes unrealised.</w:t>
      </w:r>
    </w:p>
    <w:p>
      <w:pPr>
        <w:spacing w:after="160" w:before="0" w:line="360"/>
        <w:jc w:val="both"/>
      </w:pPr>
      <w:r>
        <w:rPr>
          <w:rFonts w:ascii="Palatino Linotype" w:cs="Palatino Linotype" w:eastAsia="Palatino Linotype" w:hAnsi="Palatino Linotype"/>
          <w:color w:val="0D1B2A"/>
          <w:sz w:val="23"/>
          <w:szCs w:val="23"/>
        </w:rPr>
        <w:t xml:space="preserve">Closing the Communication Intelligence Gap requires a fundamentally different infrastructure — one that does not ask users to study communication, but forces them to perform it, repeatedly, under progressively increasing pressure, with intelligent feedback that intervenes at the precise moment of friction.</w:t>
      </w:r>
    </w:p>
    <w:p>
      <w:r>
        <w:br w:type="page"/>
      </w:r>
    </w:p>
    <w:p>
      <w:pPr>
        <w:spacing w:after="0" w:before="0" w:line="120"/>
      </w:pPr>
      <w:r>
        <w:rPr>
          <w:sz w:val="2"/>
          <w:szCs w:val="2"/>
        </w:rPr>
        <w:t xml:space="preserve"/>
      </w:r>
    </w:p>
    <w:p>
      <w:pPr>
        <w:spacing w:after="80" w:before="0"/>
      </w:pPr>
      <w:r>
        <w:rPr>
          <w:rFonts w:ascii="Arial" w:cs="Arial" w:eastAsia="Arial" w:hAnsi="Arial"/>
          <w:b/>
          <w:bCs/>
          <w:caps/>
          <w:color w:val="C9A84C"/>
          <w:sz w:val="18"/>
          <w:szCs w:val="18"/>
        </w:rPr>
        <w:t xml:space="preserve">03</w:t>
      </w:r>
    </w:p>
    <w:p>
      <w:pPr>
        <w:pStyle w:val="Heading1"/>
        <w:spacing w:after="200" w:before="0"/>
      </w:pPr>
      <w:r>
        <w:rPr>
          <w:rFonts w:ascii="Arial" w:cs="Arial" w:eastAsia="Arial" w:hAnsi="Arial"/>
          <w:b/>
          <w:bCs/>
          <w:color w:val="1E3A5F"/>
          <w:sz w:val="34"/>
          <w:szCs w:val="34"/>
        </w:rPr>
        <w:t xml:space="preserve">The Science of Adaptive Performance</w:t>
      </w:r>
    </w:p>
    <w:p>
      <w:pPr>
        <w:pBdr>
          <w:bottom w:val="single" w:color="C9A84C" w:sz="3" w:space="1"/>
        </w:pBdr>
        <w:spacing w:after="240" w:before="0"/>
      </w:pPr>
      <w:r>
        <w:rPr>
          <w:sz w:val="2"/>
          <w:szCs w:val="2"/>
        </w:rPr>
        <w:t xml:space="preserve"/>
      </w:r>
    </w:p>
    <w:p>
      <w:pPr>
        <w:spacing w:after="160" w:before="0" w:line="360"/>
        <w:jc w:val="both"/>
      </w:pPr>
      <w:r>
        <w:rPr>
          <w:rFonts w:ascii="Palatino Linotype" w:cs="Palatino Linotype" w:eastAsia="Palatino Linotype" w:hAnsi="Palatino Linotype"/>
          <w:color w:val="0D1B2A"/>
          <w:sz w:val="23"/>
          <w:szCs w:val="23"/>
        </w:rPr>
        <w:t xml:space="preserve">To engineer Adaptive Communication Intelligence, the architecture must be grounded in the neurobiology of motor-skill acquisition. Human communication is not a purely cognitive exercise; it is a motor skill subject to the same stress-response mechanisms that govern elite athletics or aviation. True fluency is achieved only when the brain transitions from declarative memory—knowing that—to procedural memory—knowing how. This transition occurs in the basal ganglia and is catalysed not by passive repetition, but by deliberate performance under load. Enluma’s pedagogical architecture rests on four scientific pillars designed to facilitate this transition.</w:t>
      </w:r>
    </w:p>
    <w:p>
      <w:pPr>
        <w:pStyle w:val="Heading2"/>
        <w:spacing w:after="120" w:before="280"/>
      </w:pPr>
      <w:r>
        <w:rPr>
          <w:rFonts w:ascii="Arial" w:cs="Arial" w:eastAsia="Arial" w:hAnsi="Arial"/>
          <w:b/>
          <w:bCs/>
          <w:color w:val="1E3A5F"/>
          <w:sz w:val="24"/>
          <w:szCs w:val="24"/>
        </w:rPr>
        <w:t xml:space="preserve">Deliberate Stress Training and Behaviour Loops</w:t>
      </w:r>
    </w:p>
    <w:p>
      <w:pPr>
        <w:spacing w:after="160" w:before="0" w:line="360"/>
        <w:jc w:val="both"/>
      </w:pPr>
      <w:r>
        <w:rPr>
          <w:rFonts w:ascii="Palatino Linotype" w:cs="Palatino Linotype" w:eastAsia="Palatino Linotype" w:hAnsi="Palatino Linotype"/>
          <w:color w:val="0D1B2A"/>
          <w:sz w:val="23"/>
          <w:szCs w:val="23"/>
        </w:rPr>
        <w:t xml:space="preserve">Resilience is not a byproduct of repetition; it is the result of behaviour loops executed under controlled pressure. The human brain requires a specific threshold of cognitive load to catalyse the myelination of neural pathways required for automated response. By utilising high-fidelity simulations to induce moderate cortisol spikes, the infrastructure forces users to navigate linguistic challenges while under social stress. This progressively desensitises the amygdala and allows the basal ganglia to maintain performance flow, ensuring that fluency survives the chaos of real-world pressure — not merely the calm of a practice session.</w:t>
      </w:r>
    </w:p>
    <w:p>
      <w:pPr>
        <w:pStyle w:val="Heading2"/>
        <w:spacing w:after="120" w:before="280"/>
      </w:pPr>
      <w:r>
        <w:rPr>
          <w:rFonts w:ascii="Arial" w:cs="Arial" w:eastAsia="Arial" w:hAnsi="Arial"/>
          <w:b/>
          <w:bCs/>
          <w:color w:val="1E3A5F"/>
          <w:sz w:val="24"/>
          <w:szCs w:val="24"/>
        </w:rPr>
        <w:t xml:space="preserve">Knowledge Tracing and the Forgetting Curve</w:t>
      </w:r>
    </w:p>
    <w:p>
      <w:pPr>
        <w:spacing w:after="160" w:before="0" w:line="360"/>
        <w:jc w:val="both"/>
      </w:pPr>
      <w:r>
        <w:rPr>
          <w:rFonts w:ascii="Palatino Linotype" w:cs="Palatino Linotype" w:eastAsia="Palatino Linotype" w:hAnsi="Palatino Linotype"/>
          <w:color w:val="0D1B2A"/>
          <w:sz w:val="23"/>
          <w:szCs w:val="23"/>
        </w:rPr>
        <w:t xml:space="preserve">Legacy education is front-loaded and inefficient. Advanced knowledge-tracing algorithms, first formalised by Ebbinghaus and subsequently refined through cognitive load theory, allow a system to map the decay of every vocabulary item, grammatical structure, and cultural nuance at the individual level. By automating the timing of review at the moment of maximum benefit — just before forgetting occurs — the infrastructure transforms learning into a self-optimising system. The result is a dramatic reduction in the time required to achieve performance-grade retention.</w:t>
      </w:r>
    </w:p>
    <w:p>
      <w:pPr>
        <w:pStyle w:val="Heading2"/>
        <w:spacing w:after="120" w:before="280"/>
      </w:pPr>
      <w:r>
        <w:rPr>
          <w:rFonts w:ascii="Arial" w:cs="Arial" w:eastAsia="Arial" w:hAnsi="Arial"/>
          <w:b/>
          <w:bCs/>
          <w:color w:val="1E3A5F"/>
          <w:sz w:val="24"/>
          <w:szCs w:val="24"/>
        </w:rPr>
        <w:t xml:space="preserve">Prosodic Feature Extraction and Multi-Modal Analysis</w:t>
      </w:r>
    </w:p>
    <w:p>
      <w:pPr>
        <w:spacing w:after="160" w:before="0" w:line="360"/>
        <w:jc w:val="both"/>
      </w:pPr>
      <w:r>
        <w:rPr>
          <w:rFonts w:ascii="Palatino Linotype" w:cs="Palatino Linotype" w:eastAsia="Palatino Linotype" w:hAnsi="Palatino Linotype"/>
          <w:color w:val="0D1B2A"/>
          <w:sz w:val="23"/>
          <w:szCs w:val="23"/>
        </w:rPr>
        <w:t xml:space="preserve">Literal word choice accounts for a fraction of communication impact. The majority of human intent is conveyed through prosody: pace, tone, rhythm, and hesitation signatures. Research in cognitive linguistics suggests that prosodic cues account for more than 60% of perceived authority and trustworthiness in professional communication contexts. ACI infrastructure prioritises prosodic analysis, evaluating a user’s emotional register and confidence markers to provide coaching on the “how” of speech — the layer of communication that traditional platforms are entirely blind to.</w:t>
      </w:r>
    </w:p>
    <w:p>
      <w:pPr>
        <w:pStyle w:val="Heading2"/>
        <w:spacing w:after="120" w:before="280"/>
      </w:pPr>
      <w:r>
        <w:rPr>
          <w:rFonts w:ascii="Arial" w:cs="Arial" w:eastAsia="Arial" w:hAnsi="Arial"/>
          <w:b/>
          <w:bCs/>
          <w:color w:val="1E3A5F"/>
          <w:sz w:val="24"/>
          <w:szCs w:val="24"/>
        </w:rPr>
        <w:t xml:space="preserve">Behavioural Desensitisation and Psychological Safety</w:t>
      </w:r>
    </w:p>
    <w:p>
      <w:pPr>
        <w:spacing w:after="160" w:before="0" w:line="360"/>
        <w:jc w:val="both"/>
      </w:pPr>
      <w:r>
        <w:rPr>
          <w:rFonts w:ascii="Palatino Linotype" w:cs="Palatino Linotype" w:eastAsia="Palatino Linotype" w:hAnsi="Palatino Linotype"/>
          <w:color w:val="0D1B2A"/>
          <w:sz w:val="23"/>
          <w:szCs w:val="23"/>
        </w:rPr>
        <w:t xml:space="preserve">The greatest barrier to communication performance is the fear of failure, which triggers a physiological freeze response long before the actual conversation begins. Through high-frequency, low-stakes simulation — environments where failure carries no social cost — the infrastructure provides the conditions for behavioural desensitisation. Users fail repeatedly, in realistic AI-driven environments, until the metabolic cost of the mistake drops below the threshold of anxiety. This is the mechanism through which confidence becomes structural rather than situational.</w:t>
      </w:r>
    </w:p>
    <w:p>
      <w:r>
        <w:br w:type="page"/>
      </w:r>
    </w:p>
    <w:p>
      <w:pPr>
        <w:spacing w:after="0" w:before="0" w:line="120"/>
      </w:pPr>
      <w:r>
        <w:rPr>
          <w:sz w:val="2"/>
          <w:szCs w:val="2"/>
        </w:rPr>
        <w:t xml:space="preserve"/>
      </w:r>
    </w:p>
    <w:p>
      <w:pPr>
        <w:spacing w:after="80" w:before="0"/>
      </w:pPr>
      <w:r>
        <w:rPr>
          <w:rFonts w:ascii="Arial" w:cs="Arial" w:eastAsia="Arial" w:hAnsi="Arial"/>
          <w:b/>
          <w:bCs/>
          <w:caps/>
          <w:color w:val="C9A84C"/>
          <w:sz w:val="18"/>
          <w:szCs w:val="18"/>
        </w:rPr>
        <w:t xml:space="preserve">04</w:t>
      </w:r>
    </w:p>
    <w:p>
      <w:pPr>
        <w:pStyle w:val="Heading1"/>
        <w:spacing w:after="200" w:before="0"/>
      </w:pPr>
      <w:r>
        <w:rPr>
          <w:rFonts w:ascii="Arial" w:cs="Arial" w:eastAsia="Arial" w:hAnsi="Arial"/>
          <w:b/>
          <w:bCs/>
          <w:color w:val="1E3A5F"/>
          <w:sz w:val="34"/>
          <w:szCs w:val="34"/>
        </w:rPr>
        <w:t xml:space="preserve">The Strategic Convergence: Why Now Is the Infrastructure Window</w:t>
      </w:r>
    </w:p>
    <w:p>
      <w:pPr>
        <w:pBdr>
          <w:bottom w:val="single" w:color="C9A84C" w:sz="3" w:space="1"/>
        </w:pBdr>
        <w:spacing w:after="240" w:before="0"/>
      </w:pPr>
      <w:r>
        <w:rPr>
          <w:sz w:val="2"/>
          <w:szCs w:val="2"/>
        </w:rPr>
        <w:t xml:space="preserve"/>
      </w:r>
    </w:p>
    <w:p>
      <w:pPr>
        <w:spacing w:after="160" w:before="0" w:line="360"/>
        <w:jc w:val="both"/>
      </w:pPr>
      <w:r>
        <w:rPr>
          <w:rFonts w:ascii="Palatino Linotype" w:cs="Palatino Linotype" w:eastAsia="Palatino Linotype" w:hAnsi="Palatino Linotype"/>
          <w:color w:val="0D1B2A"/>
          <w:sz w:val="23"/>
          <w:szCs w:val="23"/>
        </w:rPr>
        <w:t xml:space="preserve">We have reached a technological and macroeconomic inflection point. Three converging forces have opened a unique and time-limited window to define the ACI category. This window will not remain open indefinitely; first-mover infrastructure advantages compound rapidly once network effects take hold.</w:t>
      </w:r>
    </w:p>
    <w:p>
      <w:pPr>
        <w:pStyle w:val="Heading2"/>
        <w:spacing w:after="120" w:before="280"/>
      </w:pPr>
      <w:r>
        <w:rPr>
          <w:rFonts w:ascii="Arial" w:cs="Arial" w:eastAsia="Arial" w:hAnsi="Arial"/>
          <w:b/>
          <w:bCs/>
          <w:color w:val="1E3A5F"/>
          <w:sz w:val="24"/>
          <w:szCs w:val="24"/>
        </w:rPr>
        <w:t xml:space="preserve">Workplace Globalisation and the Corporate L&amp;D Shift</w:t>
      </w:r>
    </w:p>
    <w:p>
      <w:pPr>
        <w:spacing w:after="160" w:before="0" w:line="360"/>
        <w:jc w:val="both"/>
      </w:pPr>
      <w:r>
        <w:rPr>
          <w:rFonts w:ascii="Palatino Linotype" w:cs="Palatino Linotype" w:eastAsia="Palatino Linotype" w:hAnsi="Palatino Linotype"/>
          <w:color w:val="0D1B2A"/>
          <w:sz w:val="23"/>
          <w:szCs w:val="23"/>
        </w:rPr>
        <w:t xml:space="preserve">The corporate Learning and Development segment is undergoing a structural transition. As remote, cross-cultural collaboration becomes the operational baseline for the global workforce, organisations are confronting the inadequacy of generic language training as a proxy for communication performance. The enterprise L&amp;D market, valued at approximately $370 billion globally, is experiencing a measurable reallocation toward AI-personalised, outcome-linked training systems. Organisations are not looking for better tutors; they are looking for infrastructure they can integrate directly into the professional workflow. This transition is creating a demand for communication operating systems that did not exist five years ago.</w:t>
      </w:r>
    </w:p>
    <w:p>
      <w:pPr>
        <w:pStyle w:val="Heading2"/>
        <w:spacing w:after="120" w:before="280"/>
      </w:pPr>
      <w:r>
        <w:rPr>
          <w:rFonts w:ascii="Arial" w:cs="Arial" w:eastAsia="Arial" w:hAnsi="Arial"/>
          <w:b/>
          <w:bCs/>
          <w:color w:val="1E3A5F"/>
          <w:sz w:val="24"/>
          <w:szCs w:val="24"/>
        </w:rPr>
        <w:t xml:space="preserve">AI Maturation: From Reactive Tutors to Multi-Agent Meshes</w:t>
      </w:r>
    </w:p>
    <w:p>
      <w:pPr>
        <w:spacing w:after="160" w:before="0" w:line="360"/>
        <w:jc w:val="both"/>
      </w:pPr>
      <w:r>
        <w:rPr>
          <w:rFonts w:ascii="Palatino Linotype" w:cs="Palatino Linotype" w:eastAsia="Palatino Linotype" w:hAnsi="Palatino Linotype"/>
          <w:color w:val="0D1B2A"/>
          <w:sz w:val="23"/>
          <w:szCs w:val="23"/>
        </w:rPr>
        <w:t xml:space="preserve">The technological prerequisite for ACI has only recently been met. The transition from high-latency, reactive language models to sophisticated multi-agent meshes capable of sub-500ms response latency is the inflection point that makes real-time communication coaching architecturally possible. Below this latency threshold, AI assistance feels like interruption. Above it — or rather, below it — it feels like a co-pilot. The ability to process prosodic features, maintain long-term memory across sessions, and orchestrate specialised agents in parallel is the technical foundation upon which Enluma is built. This capability did not exist at the necessary cost and reliability until now.</w:t>
      </w:r>
    </w:p>
    <w:p>
      <w:pPr>
        <w:pStyle w:val="Heading2"/>
        <w:spacing w:after="120" w:before="280"/>
      </w:pPr>
      <w:r>
        <w:rPr>
          <w:rFonts w:ascii="Arial" w:cs="Arial" w:eastAsia="Arial" w:hAnsi="Arial"/>
          <w:b/>
          <w:bCs/>
          <w:color w:val="1E3A5F"/>
          <w:sz w:val="24"/>
          <w:szCs w:val="24"/>
        </w:rPr>
        <w:t xml:space="preserve">The Creator Economy and Outcome-Based Demand</w:t>
      </w:r>
    </w:p>
    <w:p>
      <w:pPr>
        <w:spacing w:after="160" w:before="0" w:line="360"/>
        <w:jc w:val="both"/>
      </w:pPr>
      <w:r>
        <w:rPr>
          <w:rFonts w:ascii="Palatino Linotype" w:cs="Palatino Linotype" w:eastAsia="Palatino Linotype" w:hAnsi="Palatino Linotype"/>
          <w:color w:val="0D1B2A"/>
          <w:sz w:val="23"/>
          <w:szCs w:val="23"/>
        </w:rPr>
        <w:t xml:space="preserve">Elite communication coaches and language educators are currently trapped in a linear business model: their income is bounded by their hours. There is a profound and unmet demand among these creators for infrastructure that allows them to scale their proprietary expertise without sacrificing depth or quality. They require tools to build outcome-based academies where their pedagogical methodology is powered by a sophisticated intelligence engine — not a static video library. This creates substantial supply-side momentum, as the world’s most credible communication practitioners actively seek a platform that treats them as operators rather than content suppliers.</w:t>
      </w:r>
    </w:p>
    <w:p>
      <w:pPr>
        <w:pBdr>
          <w:top w:val="single" w:color="C9A84C" w:sz="4" w:space="8"/>
          <w:bottom w:val="single" w:color="C9A84C" w:sz="4" w:space="8"/>
        </w:pBdr>
        <w:spacing w:after="280" w:before="280" w:line="380"/>
        <w:ind w:left="720" w:right="720"/>
        <w:jc w:val="center"/>
      </w:pPr>
      <w:r>
        <w:rPr>
          <w:rFonts w:ascii="Palatino Linotype" w:cs="Palatino Linotype" w:eastAsia="Palatino Linotype" w:hAnsi="Palatino Linotype"/>
          <w:i/>
          <w:iCs/>
          <w:color w:val="1E3A5F"/>
          <w:sz w:val="26"/>
          <w:szCs w:val="26"/>
        </w:rPr>
        <w:t xml:space="preserve">The creator economy does not need another marketplace. It needs infrastructure that makes expert knowledge infinitely replicable without making it generic.</w:t>
      </w:r>
    </w:p>
    <w:p>
      <w:r>
        <w:br w:type="page"/>
      </w:r>
    </w:p>
    <w:p>
      <w:pPr>
        <w:spacing w:after="0" w:before="0" w:line="120"/>
      </w:pPr>
      <w:r>
        <w:rPr>
          <w:sz w:val="2"/>
          <w:szCs w:val="2"/>
        </w:rPr>
        <w:t xml:space="preserve"/>
      </w:r>
    </w:p>
    <w:p>
      <w:pPr>
        <w:spacing w:after="80" w:before="0"/>
      </w:pPr>
      <w:r>
        <w:rPr>
          <w:rFonts w:ascii="Arial" w:cs="Arial" w:eastAsia="Arial" w:hAnsi="Arial"/>
          <w:b/>
          <w:bCs/>
          <w:caps/>
          <w:color w:val="C9A84C"/>
          <w:sz w:val="18"/>
          <w:szCs w:val="18"/>
        </w:rPr>
        <w:t xml:space="preserve">05</w:t>
      </w:r>
    </w:p>
    <w:p>
      <w:pPr>
        <w:pStyle w:val="Heading1"/>
        <w:spacing w:after="200" w:before="0"/>
      </w:pPr>
      <w:r>
        <w:rPr>
          <w:rFonts w:ascii="Arial" w:cs="Arial" w:eastAsia="Arial" w:hAnsi="Arial"/>
          <w:b/>
          <w:bCs/>
          <w:color w:val="1E3A5F"/>
          <w:sz w:val="34"/>
          <w:szCs w:val="34"/>
        </w:rPr>
        <w:t xml:space="preserve">The Enluma Architecture: Engineering the Flow State</w:t>
      </w:r>
    </w:p>
    <w:p>
      <w:pPr>
        <w:pBdr>
          <w:bottom w:val="single" w:color="C9A84C" w:sz="3" w:space="1"/>
        </w:pBdr>
        <w:spacing w:after="240" w:before="0"/>
      </w:pPr>
      <w:r>
        <w:rPr>
          <w:sz w:val="2"/>
          <w:szCs w:val="2"/>
        </w:rPr>
        <w:t xml:space="preserve"/>
      </w:r>
    </w:p>
    <w:p>
      <w:pPr>
        <w:spacing w:after="160" w:before="0" w:line="360"/>
        <w:jc w:val="both"/>
      </w:pPr>
      <w:r>
        <w:rPr>
          <w:rFonts w:ascii="Palatino Linotype" w:cs="Palatino Linotype" w:eastAsia="Palatino Linotype" w:hAnsi="Palatino Linotype"/>
          <w:color w:val="0D1B2A"/>
          <w:sz w:val="23"/>
          <w:szCs w:val="23"/>
        </w:rPr>
        <w:t xml:space="preserve">Enluma is designed not as an application, but as a foundational operating system for human expression. It is a multi-layered technical stack engineered to facilitate the flow state in communication — the condition in which language becomes effortless, confident, and precise under pressure. The architecture achieves this through three integrated systems: a seven-layer infrastructure stack, a coordinated multi-agent intelligence mesh, and a persistent Performance Graph that deepens with every interaction.</w:t>
      </w:r>
    </w:p>
    <w:p>
      <w:pPr>
        <w:pStyle w:val="Heading2"/>
        <w:spacing w:after="120" w:before="280"/>
      </w:pPr>
      <w:r>
        <w:rPr>
          <w:rFonts w:ascii="Arial" w:cs="Arial" w:eastAsia="Arial" w:hAnsi="Arial"/>
          <w:b/>
          <w:bCs/>
          <w:color w:val="1E3A5F"/>
          <w:sz w:val="24"/>
          <w:szCs w:val="24"/>
        </w:rPr>
        <w:t xml:space="preserve">The Seven-Layer Infrastructure Stack</w:t>
      </w:r>
    </w:p>
    <w:p>
      <w:pPr>
        <w:spacing w:after="0" w:before="0" w:line="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D0C8B8" w:sz="1"/>
              <w:left w:val="single" w:color="D0C8B8" w:sz="1"/>
              <w:bottom w:val="single" w:color="D0C8B8" w:sz="1"/>
              <w:right w:val="single" w:color="D0C8B8"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Layer</w:t>
            </w:r>
          </w:p>
        </w:tc>
        <w:tc>
          <w:tcPr>
            <w:tcW w:type="dxa" w:w="2160"/>
            <w:tcBorders>
              <w:top w:val="single" w:color="D0C8B8" w:sz="1"/>
              <w:left w:val="single" w:color="D0C8B8" w:sz="1"/>
              <w:bottom w:val="single" w:color="D0C8B8" w:sz="1"/>
              <w:right w:val="single" w:color="D0C8B8"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Technology</w:t>
            </w:r>
          </w:p>
        </w:tc>
        <w:tc>
          <w:tcPr>
            <w:tcW w:type="dxa" w:w="5760"/>
            <w:tcBorders>
              <w:top w:val="single" w:color="D0C8B8" w:sz="1"/>
              <w:left w:val="single" w:color="D0C8B8" w:sz="1"/>
              <w:bottom w:val="single" w:color="D0C8B8" w:sz="1"/>
              <w:right w:val="single" w:color="D0C8B8"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Strategic Function</w:t>
            </w:r>
          </w:p>
        </w:tc>
      </w:tr>
      <w:tr>
        <w:trPr>
          <w:tblHeader w:val="false"/>
        </w:trPr>
        <w:tc>
          <w:tcPr>
            <w:tcW w:type="dxa" w:w="1440"/>
            <w:tcBorders>
              <w:top w:val="single" w:color="D0C8B8" w:sz="1"/>
              <w:left w:val="single" w:color="D0C8B8" w:sz="1"/>
              <w:bottom w:val="single" w:color="D0C8B8" w:sz="1"/>
              <w:right w:val="single" w:color="D0C8B8" w:sz="1"/>
            </w:tcBorders>
            <w:shd w:fill="F5F0E8" w:val="clear"/>
            <w:tcMar>
              <w:top w:type="dxa" w:w="100"/>
              <w:left w:type="dxa" w:w="140"/>
              <w:bottom w:type="dxa" w:w="100"/>
              <w:right w:type="dxa" w:w="140"/>
            </w:tcMar>
            <w:vAlign w:val="center"/>
          </w:tcPr>
          <w:p>
            <w:pPr>
              <w:spacing w:after="0" w:before="0"/>
            </w:pPr>
            <w:r>
              <w:rPr>
                <w:rFonts w:ascii="Arial" w:cs="Arial" w:eastAsia="Arial" w:hAnsi="Arial"/>
                <w:b/>
                <w:bCs/>
                <w:color w:val="0D1B2A"/>
                <w:sz w:val="19"/>
                <w:szCs w:val="19"/>
              </w:rPr>
              <w:t xml:space="preserve">Experience</w:t>
            </w:r>
          </w:p>
        </w:tc>
        <w:tc>
          <w:tcPr>
            <w:tcW w:type="dxa" w:w="21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Next.js, React Native</w:t>
            </w:r>
          </w:p>
        </w:tc>
        <w:tc>
          <w:tcPr>
            <w:tcW w:type="dxa" w:w="57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Ubiquitous delivery across web, mobile, and browser extensions</w:t>
            </w:r>
          </w:p>
        </w:tc>
      </w:tr>
      <w:tr>
        <w:trPr>
          <w:tblHeader w:val="false"/>
        </w:trPr>
        <w:tc>
          <w:tcPr>
            <w:tcW w:type="dxa" w:w="1440"/>
            <w:tcBorders>
              <w:top w:val="single" w:color="D0C8B8" w:sz="1"/>
              <w:left w:val="single" w:color="D0C8B8" w:sz="1"/>
              <w:bottom w:val="single" w:color="D0C8B8" w:sz="1"/>
              <w:right w:val="single" w:color="D0C8B8" w:sz="1"/>
            </w:tcBorders>
            <w:shd w:fill="F5F0E8" w:val="clear"/>
            <w:tcMar>
              <w:top w:type="dxa" w:w="100"/>
              <w:left w:type="dxa" w:w="140"/>
              <w:bottom w:type="dxa" w:w="100"/>
              <w:right w:type="dxa" w:w="140"/>
            </w:tcMar>
            <w:vAlign w:val="center"/>
          </w:tcPr>
          <w:p>
            <w:pPr>
              <w:spacing w:after="0" w:before="0"/>
            </w:pPr>
            <w:r>
              <w:rPr>
                <w:rFonts w:ascii="Arial" w:cs="Arial" w:eastAsia="Arial" w:hAnsi="Arial"/>
                <w:b/>
                <w:bCs/>
                <w:color w:val="0D1B2A"/>
                <w:sz w:val="19"/>
                <w:szCs w:val="19"/>
              </w:rPr>
              <w:t xml:space="preserve">Identity &amp; Context</w:t>
            </w:r>
          </w:p>
        </w:tc>
        <w:tc>
          <w:tcPr>
            <w:tcW w:type="dxa" w:w="21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Redis, JWT</w:t>
            </w:r>
          </w:p>
        </w:tc>
        <w:tc>
          <w:tcPr>
            <w:tcW w:type="dxa" w:w="57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Real-time profiling of user intent, emotional state, and goals</w:t>
            </w:r>
          </w:p>
        </w:tc>
      </w:tr>
      <w:tr>
        <w:trPr>
          <w:tblHeader w:val="false"/>
        </w:trPr>
        <w:tc>
          <w:tcPr>
            <w:tcW w:type="dxa" w:w="1440"/>
            <w:tcBorders>
              <w:top w:val="single" w:color="D0C8B8" w:sz="1"/>
              <w:left w:val="single" w:color="D0C8B8" w:sz="1"/>
              <w:bottom w:val="single" w:color="D0C8B8" w:sz="1"/>
              <w:right w:val="single" w:color="D0C8B8" w:sz="1"/>
            </w:tcBorders>
            <w:shd w:fill="F5F0E8" w:val="clear"/>
            <w:tcMar>
              <w:top w:type="dxa" w:w="100"/>
              <w:left w:type="dxa" w:w="140"/>
              <w:bottom w:type="dxa" w:w="100"/>
              <w:right w:type="dxa" w:w="140"/>
            </w:tcMar>
            <w:vAlign w:val="center"/>
          </w:tcPr>
          <w:p>
            <w:pPr>
              <w:spacing w:after="0" w:before="0"/>
            </w:pPr>
            <w:r>
              <w:rPr>
                <w:rFonts w:ascii="Arial" w:cs="Arial" w:eastAsia="Arial" w:hAnsi="Arial"/>
                <w:b/>
                <w:bCs/>
                <w:color w:val="0D1B2A"/>
                <w:sz w:val="19"/>
                <w:szCs w:val="19"/>
              </w:rPr>
              <w:t xml:space="preserve">Agent Mesh</w:t>
            </w:r>
          </w:p>
        </w:tc>
        <w:tc>
          <w:tcPr>
            <w:tcW w:type="dxa" w:w="21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Node.js, Socket.io</w:t>
            </w:r>
          </w:p>
        </w:tc>
        <w:tc>
          <w:tcPr>
            <w:tcW w:type="dxa" w:w="57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Coordinated orchestration of eight specialised intelligence agents</w:t>
            </w:r>
          </w:p>
        </w:tc>
      </w:tr>
      <w:tr>
        <w:trPr>
          <w:tblHeader w:val="false"/>
        </w:trPr>
        <w:tc>
          <w:tcPr>
            <w:tcW w:type="dxa" w:w="1440"/>
            <w:tcBorders>
              <w:top w:val="single" w:color="D0C8B8" w:sz="1"/>
              <w:left w:val="single" w:color="D0C8B8" w:sz="1"/>
              <w:bottom w:val="single" w:color="D0C8B8" w:sz="1"/>
              <w:right w:val="single" w:color="D0C8B8" w:sz="1"/>
            </w:tcBorders>
            <w:shd w:fill="F5F0E8" w:val="clear"/>
            <w:tcMar>
              <w:top w:type="dxa" w:w="100"/>
              <w:left w:type="dxa" w:w="140"/>
              <w:bottom w:type="dxa" w:w="100"/>
              <w:right w:type="dxa" w:w="140"/>
            </w:tcMar>
            <w:vAlign w:val="center"/>
          </w:tcPr>
          <w:p>
            <w:pPr>
              <w:spacing w:after="0" w:before="0"/>
            </w:pPr>
            <w:r>
              <w:rPr>
                <w:rFonts w:ascii="Arial" w:cs="Arial" w:eastAsia="Arial" w:hAnsi="Arial"/>
                <w:b/>
                <w:bCs/>
                <w:color w:val="0D1B2A"/>
                <w:sz w:val="19"/>
                <w:szCs w:val="19"/>
              </w:rPr>
              <w:t xml:space="preserve">Decision Engine</w:t>
            </w:r>
          </w:p>
        </w:tc>
        <w:tc>
          <w:tcPr>
            <w:tcW w:type="dxa" w:w="21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OpenAI Realtime API</w:t>
            </w:r>
          </w:p>
        </w:tc>
        <w:tc>
          <w:tcPr>
            <w:tcW w:type="dxa" w:w="57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Determines the next best action: intervene, observe, or adjust</w:t>
            </w:r>
          </w:p>
        </w:tc>
      </w:tr>
      <w:tr>
        <w:trPr>
          <w:tblHeader w:val="false"/>
        </w:trPr>
        <w:tc>
          <w:tcPr>
            <w:tcW w:type="dxa" w:w="1440"/>
            <w:tcBorders>
              <w:top w:val="single" w:color="D0C8B8" w:sz="1"/>
              <w:left w:val="single" w:color="D0C8B8" w:sz="1"/>
              <w:bottom w:val="single" w:color="D0C8B8" w:sz="1"/>
              <w:right w:val="single" w:color="D0C8B8" w:sz="1"/>
            </w:tcBorders>
            <w:shd w:fill="F5F0E8" w:val="clear"/>
            <w:tcMar>
              <w:top w:type="dxa" w:w="100"/>
              <w:left w:type="dxa" w:w="140"/>
              <w:bottom w:type="dxa" w:w="100"/>
              <w:right w:type="dxa" w:w="140"/>
            </w:tcMar>
            <w:vAlign w:val="center"/>
          </w:tcPr>
          <w:p>
            <w:pPr>
              <w:spacing w:after="0" w:before="0"/>
            </w:pPr>
            <w:r>
              <w:rPr>
                <w:rFonts w:ascii="Arial" w:cs="Arial" w:eastAsia="Arial" w:hAnsi="Arial"/>
                <w:b/>
                <w:bCs/>
                <w:color w:val="0D1B2A"/>
                <w:sz w:val="19"/>
                <w:szCs w:val="19"/>
              </w:rPr>
              <w:t xml:space="preserve">Action Fabric</w:t>
            </w:r>
          </w:p>
        </w:tc>
        <w:tc>
          <w:tcPr>
            <w:tcW w:type="dxa" w:w="21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WebSockets, Web Audio</w:t>
            </w:r>
          </w:p>
        </w:tc>
        <w:tc>
          <w:tcPr>
            <w:tcW w:type="dxa" w:w="57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Executes live nudges, session generation, and social matching</w:t>
            </w:r>
          </w:p>
        </w:tc>
      </w:tr>
      <w:tr>
        <w:trPr>
          <w:tblHeader w:val="false"/>
        </w:trPr>
        <w:tc>
          <w:tcPr>
            <w:tcW w:type="dxa" w:w="1440"/>
            <w:tcBorders>
              <w:top w:val="single" w:color="D0C8B8" w:sz="1"/>
              <w:left w:val="single" w:color="D0C8B8" w:sz="1"/>
              <w:bottom w:val="single" w:color="D0C8B8" w:sz="1"/>
              <w:right w:val="single" w:color="D0C8B8" w:sz="1"/>
            </w:tcBorders>
            <w:shd w:fill="F5F0E8" w:val="clear"/>
            <w:tcMar>
              <w:top w:type="dxa" w:w="100"/>
              <w:left w:type="dxa" w:w="140"/>
              <w:bottom w:type="dxa" w:w="100"/>
              <w:right w:type="dxa" w:w="140"/>
            </w:tcMar>
            <w:vAlign w:val="center"/>
          </w:tcPr>
          <w:p>
            <w:pPr>
              <w:spacing w:after="0" w:before="0"/>
            </w:pPr>
            <w:r>
              <w:rPr>
                <w:rFonts w:ascii="Arial" w:cs="Arial" w:eastAsia="Arial" w:hAnsi="Arial"/>
                <w:b/>
                <w:bCs/>
                <w:color w:val="0D1B2A"/>
                <w:sz w:val="19"/>
                <w:szCs w:val="19"/>
              </w:rPr>
              <w:t xml:space="preserve">Learning Lake</w:t>
            </w:r>
          </w:p>
        </w:tc>
        <w:tc>
          <w:tcPr>
            <w:tcW w:type="dxa" w:w="21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Postgres, Vector DB</w:t>
            </w:r>
          </w:p>
        </w:tc>
        <w:tc>
          <w:tcPr>
            <w:tcW w:type="dxa" w:w="57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Stores performance history, interaction data, and memory graph</w:t>
            </w:r>
          </w:p>
        </w:tc>
      </w:tr>
      <w:tr>
        <w:trPr>
          <w:tblHeader w:val="false"/>
        </w:trPr>
        <w:tc>
          <w:tcPr>
            <w:tcW w:type="dxa" w:w="1440"/>
            <w:tcBorders>
              <w:top w:val="single" w:color="D0C8B8" w:sz="1"/>
              <w:left w:val="single" w:color="D0C8B8" w:sz="1"/>
              <w:bottom w:val="single" w:color="D0C8B8" w:sz="1"/>
              <w:right w:val="single" w:color="D0C8B8" w:sz="1"/>
            </w:tcBorders>
            <w:shd w:fill="F5F0E8" w:val="clear"/>
            <w:tcMar>
              <w:top w:type="dxa" w:w="100"/>
              <w:left w:type="dxa" w:w="140"/>
              <w:bottom w:type="dxa" w:w="100"/>
              <w:right w:type="dxa" w:w="140"/>
            </w:tcMar>
            <w:vAlign w:val="center"/>
          </w:tcPr>
          <w:p>
            <w:pPr>
              <w:spacing w:after="0" w:before="0"/>
            </w:pPr>
            <w:r>
              <w:rPr>
                <w:rFonts w:ascii="Arial" w:cs="Arial" w:eastAsia="Arial" w:hAnsi="Arial"/>
                <w:b/>
                <w:bCs/>
                <w:color w:val="0D1B2A"/>
                <w:sz w:val="19"/>
                <w:szCs w:val="19"/>
              </w:rPr>
              <w:t xml:space="preserve">Governance</w:t>
            </w:r>
          </w:p>
        </w:tc>
        <w:tc>
          <w:tcPr>
            <w:tcW w:type="dxa" w:w="21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Cloudflare Workers</w:t>
            </w:r>
          </w:p>
        </w:tc>
        <w:tc>
          <w:tcPr>
            <w:tcW w:type="dxa" w:w="576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PII controls, bias detection, and enterprise-grade compliance</w:t>
            </w:r>
          </w:p>
        </w:tc>
      </w:tr>
    </w:tbl>
    <w:p>
      <w:pPr>
        <w:spacing w:after="160" w:before="80"/>
        <w:jc w:val="center"/>
      </w:pPr>
      <w:r>
        <w:rPr>
          <w:rFonts w:ascii="Arial" w:cs="Arial" w:eastAsia="Arial" w:hAnsi="Arial"/>
          <w:i/>
          <w:iCs/>
          <w:color w:val="8A9AAA"/>
          <w:sz w:val="18"/>
          <w:szCs w:val="18"/>
        </w:rPr>
        <w:t xml:space="preserve">Table 1: The Seven-Layer Enluma Infrastructure Stack</w:t>
      </w:r>
    </w:p>
    <w:p>
      <w:pPr>
        <w:spacing w:after="0" w:before="0" w:line="120"/>
      </w:pPr>
      <w:r>
        <w:rPr>
          <w:sz w:val="2"/>
          <w:szCs w:val="2"/>
        </w:rPr>
        <w:t xml:space="preserve"/>
      </w:r>
    </w:p>
    <w:p>
      <w:pPr>
        <w:pStyle w:val="Heading2"/>
        <w:spacing w:after="120" w:before="280"/>
      </w:pPr>
      <w:r>
        <w:rPr>
          <w:rFonts w:ascii="Arial" w:cs="Arial" w:eastAsia="Arial" w:hAnsi="Arial"/>
          <w:b/>
          <w:bCs/>
          <w:color w:val="1E3A5F"/>
          <w:sz w:val="24"/>
          <w:szCs w:val="24"/>
        </w:rPr>
        <w:t xml:space="preserve">The Multi-Agent Intelligence Mesh</w:t>
      </w:r>
    </w:p>
    <w:p>
      <w:pPr>
        <w:spacing w:after="160" w:before="0" w:line="360"/>
        <w:jc w:val="both"/>
      </w:pPr>
      <w:r>
        <w:rPr>
          <w:rFonts w:ascii="Palatino Linotype" w:cs="Palatino Linotype" w:eastAsia="Palatino Linotype" w:hAnsi="Palatino Linotype"/>
          <w:color w:val="0D1B2A"/>
          <w:sz w:val="23"/>
          <w:szCs w:val="23"/>
        </w:rPr>
        <w:t xml:space="preserve">At the heart of the architecture is a coordinated mesh of eight specialised agents, each designed to perform a discrete function within the ACI ecosystem. This parallelised design minimises latency and maximises the precision of each intervention. The Scout Agent detects real-time friction, hesitation signatures, and urgency in the user’s communication. The Coach Agent provides proactive guidance before and during high-stakes performance. The Evaluator Agent scores clarity, confidence, persuasion, and emotional stability through multi-modal analysis. The Memory Agent maintains long-term continuity, ensuring that a pattern identified in January is addressed in June. The Match Agent pairs users with optimal peers and creators. The Operator Agent handles the administrative tail of communication: summaries, task creation, and CRM updates. The Revenue Agent ethically optimises retention and upgrade signals. The Governor Agent enforces privacy, fairness, and enterprise compliance.</w:t>
      </w:r>
    </w:p>
    <w:p>
      <w:pPr>
        <w:pStyle w:val="Heading2"/>
        <w:spacing w:after="120" w:before="280"/>
      </w:pPr>
      <w:r>
        <w:rPr>
          <w:rFonts w:ascii="Arial" w:cs="Arial" w:eastAsia="Arial" w:hAnsi="Arial"/>
          <w:b/>
          <w:bCs/>
          <w:color w:val="1E3A5F"/>
          <w:sz w:val="24"/>
          <w:szCs w:val="24"/>
        </w:rPr>
        <w:t xml:space="preserve">The Performance Graph and Scenario Forge</w:t>
      </w:r>
    </w:p>
    <w:p>
      <w:pPr>
        <w:spacing w:after="160" w:before="0" w:line="360"/>
        <w:jc w:val="both"/>
      </w:pPr>
      <w:r>
        <w:rPr>
          <w:rFonts w:ascii="Palatino Linotype" w:cs="Palatino Linotype" w:eastAsia="Palatino Linotype" w:hAnsi="Palatino Linotype"/>
          <w:color w:val="0D1B2A"/>
          <w:sz w:val="23"/>
          <w:szCs w:val="23"/>
        </w:rPr>
        <w:t xml:space="preserve">The cumulative output of this architecture is the Performance Graph: a dynamic, evolving map of a user’s communication capability that deepens with every session. Unlike a progress bar, the Performance Graph tracks hesitation signatures, vocabulary depth, prosodic confidence markers, and cultural blind spots at a level of granularity no content library can approach. This graph feeds directly into the Scenario Forge — a simulation engine that generates adaptive, high-fidelity environments for deliberate stress training. Whether a user is preparing for a Series A pitch or a cross-cultural conflict resolution, the Forge creates an AI opponent that responds dynamically, forcing the user into behaviour loops that build real-world skill through structured adversarial practice.</w:t>
      </w:r>
    </w:p>
    <w:p>
      <w:r>
        <w:br w:type="page"/>
      </w:r>
    </w:p>
    <w:p>
      <w:pPr>
        <w:spacing w:after="0" w:before="0" w:line="120"/>
      </w:pPr>
      <w:r>
        <w:rPr>
          <w:sz w:val="2"/>
          <w:szCs w:val="2"/>
        </w:rPr>
        <w:t xml:space="preserve"/>
      </w:r>
    </w:p>
    <w:p>
      <w:pPr>
        <w:spacing w:after="80" w:before="0"/>
      </w:pPr>
      <w:r>
        <w:rPr>
          <w:rFonts w:ascii="Arial" w:cs="Arial" w:eastAsia="Arial" w:hAnsi="Arial"/>
          <w:b/>
          <w:bCs/>
          <w:caps/>
          <w:color w:val="C9A84C"/>
          <w:sz w:val="18"/>
          <w:szCs w:val="18"/>
        </w:rPr>
        <w:t xml:space="preserve">06</w:t>
      </w:r>
    </w:p>
    <w:p>
      <w:pPr>
        <w:pStyle w:val="Heading1"/>
        <w:spacing w:after="200" w:before="0"/>
      </w:pPr>
      <w:r>
        <w:rPr>
          <w:rFonts w:ascii="Arial" w:cs="Arial" w:eastAsia="Arial" w:hAnsi="Arial"/>
          <w:b/>
          <w:bCs/>
          <w:color w:val="1E3A5F"/>
          <w:sz w:val="34"/>
          <w:szCs w:val="34"/>
        </w:rPr>
        <w:t xml:space="preserve">The Defensibility Argument: Data Moats and Network Effects</w:t>
      </w:r>
    </w:p>
    <w:p>
      <w:pPr>
        <w:pBdr>
          <w:bottom w:val="single" w:color="C9A84C" w:sz="3" w:space="1"/>
        </w:pBdr>
        <w:spacing w:after="240" w:before="0"/>
      </w:pPr>
      <w:r>
        <w:rPr>
          <w:sz w:val="2"/>
          <w:szCs w:val="2"/>
        </w:rPr>
        <w:t xml:space="preserve"/>
      </w:r>
    </w:p>
    <w:p>
      <w:pPr>
        <w:spacing w:after="160" w:before="0" w:line="360"/>
        <w:jc w:val="both"/>
      </w:pPr>
      <w:r>
        <w:rPr>
          <w:rFonts w:ascii="Palatino Linotype" w:cs="Palatino Linotype" w:eastAsia="Palatino Linotype" w:hAnsi="Palatino Linotype"/>
          <w:color w:val="0D1B2A"/>
          <w:sz w:val="23"/>
          <w:szCs w:val="23"/>
        </w:rPr>
        <w:t xml:space="preserve">In the contemporary AI landscape, software features are commoditised within months. A chatbot can be replicated. A content library can be scraped. A subscription product can be undercut on price. Real defensibility is found in data architecture and the switching costs created by systemic integration. Enluma’s market position is protected by three compounding moats.</w:t>
      </w:r>
    </w:p>
    <w:p>
      <w:pPr>
        <w:pStyle w:val="Heading2"/>
        <w:spacing w:after="120" w:before="280"/>
      </w:pPr>
      <w:r>
        <w:rPr>
          <w:rFonts w:ascii="Arial" w:cs="Arial" w:eastAsia="Arial" w:hAnsi="Arial"/>
          <w:b/>
          <w:bCs/>
          <w:color w:val="1E3A5F"/>
          <w:sz w:val="24"/>
          <w:szCs w:val="24"/>
        </w:rPr>
        <w:t xml:space="preserve">The Persistent Communication Graph as a Proprietary Asset</w:t>
      </w:r>
    </w:p>
    <w:p>
      <w:pPr>
        <w:spacing w:after="160" w:before="0" w:line="360"/>
        <w:jc w:val="both"/>
      </w:pPr>
      <w:r>
        <w:rPr>
          <w:rFonts w:ascii="Palatino Linotype" w:cs="Palatino Linotype" w:eastAsia="Palatino Linotype" w:hAnsi="Palatino Linotype"/>
          <w:color w:val="0D1B2A"/>
          <w:sz w:val="23"/>
          <w:szCs w:val="23"/>
        </w:rPr>
        <w:t xml:space="preserve">The more a user engages with Enluma, the more the Persistent Communication Graph becomes an indispensable personal asset. It is a high-resolution history of the user’s communication identity — their specific patterns of hesitation, their trajectory of vocabulary acquisition, their emotional stability curve under progressively increasing pressure. This creates a switching cost that no generic language model can replicate: leaving Enluma means abandoning years of nuanced performance data and losing the “communication mirror” that has been calibrated to the user’s specific architecture of strength and weakness.</w:t>
      </w:r>
    </w:p>
    <w:p>
      <w:pPr>
        <w:pStyle w:val="Heading2"/>
        <w:spacing w:after="120" w:before="280"/>
      </w:pPr>
      <w:r>
        <w:rPr>
          <w:rFonts w:ascii="Arial" w:cs="Arial" w:eastAsia="Arial" w:hAnsi="Arial"/>
          <w:b/>
          <w:bCs/>
          <w:color w:val="1E3A5F"/>
          <w:sz w:val="24"/>
          <w:szCs w:val="24"/>
        </w:rPr>
        <w:t xml:space="preserve">The Creator-Enterprise Flywheel</w:t>
      </w:r>
    </w:p>
    <w:p>
      <w:pPr>
        <w:spacing w:after="160" w:before="0" w:line="360"/>
        <w:jc w:val="both"/>
      </w:pPr>
      <w:r>
        <w:rPr>
          <w:rFonts w:ascii="Palatino Linotype" w:cs="Palatino Linotype" w:eastAsia="Palatino Linotype" w:hAnsi="Palatino Linotype"/>
          <w:color w:val="0D1B2A"/>
          <w:sz w:val="23"/>
          <w:szCs w:val="23"/>
        </w:rPr>
        <w:t xml:space="preserve">Enluma’s creator-first strategy is not merely a marketing tactic; it is a data engine. Elite coaches and communication experts bring high-variance, high-quality interaction data that generic enterprise models cannot source. These creators function as distributed research and development labs, developing niche scenario packs for specialised industries — from surgical consent conversations to luxury sales negotiations — that dramatically improve the predictive accuracy of the platform’s models. As creators bring their communities onto the platform, the data flywheel accelerates, widening the performance gap between Enluma and any competitor building from a cold start.</w:t>
      </w:r>
    </w:p>
    <w:p>
      <w:pPr>
        <w:pStyle w:val="Heading2"/>
        <w:spacing w:after="120" w:before="280"/>
      </w:pPr>
      <w:r>
        <w:rPr>
          <w:rFonts w:ascii="Arial" w:cs="Arial" w:eastAsia="Arial" w:hAnsi="Arial"/>
          <w:b/>
          <w:bCs/>
          <w:color w:val="1E3A5F"/>
          <w:sz w:val="24"/>
          <w:szCs w:val="24"/>
        </w:rPr>
        <w:t xml:space="preserve">Ambient Fluency and Network Effects at the Enterprise Layer</w:t>
      </w:r>
    </w:p>
    <w:p>
      <w:pPr>
        <w:spacing w:after="160" w:before="0" w:line="360"/>
        <w:jc w:val="both"/>
      </w:pPr>
      <w:r>
        <w:rPr>
          <w:rFonts w:ascii="Palatino Linotype" w:cs="Palatino Linotype" w:eastAsia="Palatino Linotype" w:hAnsi="Palatino Linotype"/>
          <w:color w:val="0D1B2A"/>
          <w:sz w:val="23"/>
          <w:szCs w:val="23"/>
        </w:rPr>
        <w:t xml:space="preserve">As Enluma integrates into the enterprise stack — becoming a native layer within Zoom, Slack, and CRM systems — it transitions from a tool to infrastructure. This creates a network effect with a distinctive characteristic: when an entire organisation uses Enluma to map communication readiness, the value of the platform is reinforced by every manager, peer, and client who relies on its metrics. The platform ceases to be an application and becomes the substrate upon which the organisation’s collective communication intelligence resides. At this point, replacement is not a feature decision; it is an organisational restructuring.</w:t>
      </w:r>
    </w:p>
    <w:p>
      <w:r>
        <w:br w:type="page"/>
      </w:r>
    </w:p>
    <w:p>
      <w:pPr>
        <w:spacing w:after="0" w:before="0" w:line="120"/>
      </w:pPr>
      <w:r>
        <w:rPr>
          <w:sz w:val="2"/>
          <w:szCs w:val="2"/>
        </w:rPr>
        <w:t xml:space="preserve"/>
      </w:r>
    </w:p>
    <w:p>
      <w:pPr>
        <w:spacing w:after="80" w:before="0"/>
      </w:pPr>
      <w:r>
        <w:rPr>
          <w:rFonts w:ascii="Arial" w:cs="Arial" w:eastAsia="Arial" w:hAnsi="Arial"/>
          <w:b/>
          <w:bCs/>
          <w:caps/>
          <w:color w:val="C9A84C"/>
          <w:sz w:val="18"/>
          <w:szCs w:val="18"/>
        </w:rPr>
        <w:t xml:space="preserve">07</w:t>
      </w:r>
    </w:p>
    <w:p>
      <w:pPr>
        <w:pStyle w:val="Heading1"/>
        <w:spacing w:after="200" w:before="0"/>
      </w:pPr>
      <w:r>
        <w:rPr>
          <w:rFonts w:ascii="Arial" w:cs="Arial" w:eastAsia="Arial" w:hAnsi="Arial"/>
          <w:b/>
          <w:bCs/>
          <w:color w:val="1E3A5F"/>
          <w:sz w:val="34"/>
          <w:szCs w:val="34"/>
        </w:rPr>
        <w:t xml:space="preserve">The Market Path: From Creator-First to Communication OS</w:t>
      </w:r>
    </w:p>
    <w:p>
      <w:pPr>
        <w:pBdr>
          <w:bottom w:val="single" w:color="C9A84C" w:sz="3" w:space="1"/>
        </w:pBdr>
        <w:spacing w:after="240" w:before="0"/>
      </w:pPr>
      <w:r>
        <w:rPr>
          <w:sz w:val="2"/>
          <w:szCs w:val="2"/>
        </w:rPr>
        <w:t xml:space="preserve"/>
      </w:r>
    </w:p>
    <w:p>
      <w:pPr>
        <w:spacing w:after="160" w:before="0" w:line="360"/>
        <w:jc w:val="both"/>
      </w:pPr>
      <w:r>
        <w:rPr>
          <w:rFonts w:ascii="Palatino Linotype" w:cs="Palatino Linotype" w:eastAsia="Palatino Linotype" w:hAnsi="Palatino Linotype"/>
          <w:color w:val="0D1B2A"/>
          <w:sz w:val="23"/>
          <w:szCs w:val="23"/>
        </w:rPr>
        <w:t xml:space="preserve">Enluma’s commercial strategy is a deliberate phased evolution, designed to build defensibility at each stage before expanding to the next. The sequencing is not arbitrary; it reflects a fundamental principle of infrastructure businesses: earn the right to the enterprise by first proving value at the individual level.</w:t>
      </w:r>
    </w:p>
    <w:p>
      <w:pPr>
        <w:pStyle w:val="Heading2"/>
        <w:spacing w:after="120" w:before="280"/>
      </w:pPr>
      <w:r>
        <w:rPr>
          <w:rFonts w:ascii="Arial" w:cs="Arial" w:eastAsia="Arial" w:hAnsi="Arial"/>
          <w:b/>
          <w:bCs/>
          <w:color w:val="1E3A5F"/>
          <w:sz w:val="24"/>
          <w:szCs w:val="24"/>
        </w:rPr>
        <w:t xml:space="preserve">The Total Addressable Market</w:t>
      </w:r>
    </w:p>
    <w:p>
      <w:pPr>
        <w:spacing w:after="0" w:before="0" w:line="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C8B8" w:sz="1"/>
              <w:left w:val="single" w:color="D0C8B8" w:sz="1"/>
              <w:bottom w:val="single" w:color="D0C8B8" w:sz="1"/>
              <w:right w:val="single" w:color="D0C8B8"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Segment</w:t>
            </w:r>
          </w:p>
        </w:tc>
        <w:tc>
          <w:tcPr>
            <w:tcW w:type="dxa" w:w="2340"/>
            <w:tcBorders>
              <w:top w:val="single" w:color="D0C8B8" w:sz="1"/>
              <w:left w:val="single" w:color="D0C8B8" w:sz="1"/>
              <w:bottom w:val="single" w:color="D0C8B8" w:sz="1"/>
              <w:right w:val="single" w:color="D0C8B8"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2024 Value</w:t>
            </w:r>
          </w:p>
        </w:tc>
        <w:tc>
          <w:tcPr>
            <w:tcW w:type="dxa" w:w="2340"/>
            <w:tcBorders>
              <w:top w:val="single" w:color="D0C8B8" w:sz="1"/>
              <w:left w:val="single" w:color="D0C8B8" w:sz="1"/>
              <w:bottom w:val="single" w:color="D0C8B8" w:sz="1"/>
              <w:right w:val="single" w:color="D0C8B8"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2028 Projection</w:t>
            </w:r>
          </w:p>
        </w:tc>
        <w:tc>
          <w:tcPr>
            <w:tcW w:type="dxa" w:w="2340"/>
            <w:tcBorders>
              <w:top w:val="single" w:color="D0C8B8" w:sz="1"/>
              <w:left w:val="single" w:color="D0C8B8" w:sz="1"/>
              <w:bottom w:val="single" w:color="D0C8B8" w:sz="1"/>
              <w:right w:val="single" w:color="D0C8B8" w:sz="1"/>
            </w:tcBorders>
            <w:shd w:fill="1E3A5F" w:val="clear"/>
            <w:tcMar>
              <w:top w:type="dxa" w:w="100"/>
              <w:left w:type="dxa" w:w="140"/>
              <w:bottom w:type="dxa" w:w="100"/>
              <w:right w:type="dxa" w:w="140"/>
            </w:tcMar>
            <w:vAlign w:val="center"/>
          </w:tcPr>
          <w:p>
            <w:pPr>
              <w:spacing w:after="0" w:before="0"/>
            </w:pPr>
            <w:r>
              <w:rPr>
                <w:rFonts w:ascii="Arial" w:cs="Arial" w:eastAsia="Arial" w:hAnsi="Arial"/>
                <w:b/>
                <w:bCs/>
                <w:color w:val="FFFFFF"/>
                <w:sz w:val="19"/>
                <w:szCs w:val="19"/>
              </w:rPr>
              <w:t xml:space="preserve">CAGR</w:t>
            </w:r>
          </w:p>
        </w:tc>
      </w:tr>
      <w:tr>
        <w:trPr>
          <w:tblHeader w:val="false"/>
        </w:trPr>
        <w:tc>
          <w:tcPr>
            <w:tcW w:type="dxa" w:w="2340"/>
            <w:tcBorders>
              <w:top w:val="single" w:color="D0C8B8" w:sz="1"/>
              <w:left w:val="single" w:color="D0C8B8" w:sz="1"/>
              <w:bottom w:val="single" w:color="D0C8B8" w:sz="1"/>
              <w:right w:val="single" w:color="D0C8B8" w:sz="1"/>
            </w:tcBorders>
            <w:shd w:fill="F5F0E8" w:val="clear"/>
            <w:tcMar>
              <w:top w:type="dxa" w:w="100"/>
              <w:left w:type="dxa" w:w="140"/>
              <w:bottom w:type="dxa" w:w="100"/>
              <w:right w:type="dxa" w:w="140"/>
            </w:tcMar>
            <w:vAlign w:val="center"/>
          </w:tcPr>
          <w:p>
            <w:pPr>
              <w:spacing w:after="0" w:before="0"/>
            </w:pPr>
            <w:r>
              <w:rPr>
                <w:rFonts w:ascii="Arial" w:cs="Arial" w:eastAsia="Arial" w:hAnsi="Arial"/>
                <w:b/>
                <w:bCs/>
                <w:color w:val="0D1B2A"/>
                <w:sz w:val="19"/>
                <w:szCs w:val="19"/>
              </w:rPr>
              <w:t xml:space="preserve">Total Language Market</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$80B+</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$115B+</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15.2%</w:t>
            </w:r>
          </w:p>
        </w:tc>
      </w:tr>
      <w:tr>
        <w:trPr>
          <w:tblHeader w:val="false"/>
        </w:trPr>
        <w:tc>
          <w:tcPr>
            <w:tcW w:type="dxa" w:w="2340"/>
            <w:tcBorders>
              <w:top w:val="single" w:color="D0C8B8" w:sz="1"/>
              <w:left w:val="single" w:color="D0C8B8" w:sz="1"/>
              <w:bottom w:val="single" w:color="D0C8B8" w:sz="1"/>
              <w:right w:val="single" w:color="D0C8B8" w:sz="1"/>
            </w:tcBorders>
            <w:shd w:fill="F5F0E8" w:val="clear"/>
            <w:tcMar>
              <w:top w:type="dxa" w:w="100"/>
              <w:left w:type="dxa" w:w="140"/>
              <w:bottom w:type="dxa" w:w="100"/>
              <w:right w:type="dxa" w:w="140"/>
            </w:tcMar>
            <w:vAlign w:val="center"/>
          </w:tcPr>
          <w:p>
            <w:pPr>
              <w:spacing w:after="0" w:before="0"/>
            </w:pPr>
            <w:r>
              <w:rPr>
                <w:rFonts w:ascii="Arial" w:cs="Arial" w:eastAsia="Arial" w:hAnsi="Arial"/>
                <w:b/>
                <w:bCs/>
                <w:color w:val="0D1B2A"/>
                <w:sz w:val="19"/>
                <w:szCs w:val="19"/>
              </w:rPr>
              <w:t xml:space="preserve">AI-Powered Segment</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$4.2B</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$15B+</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37.1%</w:t>
            </w:r>
          </w:p>
        </w:tc>
      </w:tr>
      <w:tr>
        <w:trPr>
          <w:tblHeader w:val="false"/>
        </w:trPr>
        <w:tc>
          <w:tcPr>
            <w:tcW w:type="dxa" w:w="2340"/>
            <w:tcBorders>
              <w:top w:val="single" w:color="D0C8B8" w:sz="1"/>
              <w:left w:val="single" w:color="D0C8B8" w:sz="1"/>
              <w:bottom w:val="single" w:color="D0C8B8" w:sz="1"/>
              <w:right w:val="single" w:color="D0C8B8" w:sz="1"/>
            </w:tcBorders>
            <w:shd w:fill="F5F0E8" w:val="clear"/>
            <w:tcMar>
              <w:top w:type="dxa" w:w="100"/>
              <w:left w:type="dxa" w:w="140"/>
              <w:bottom w:type="dxa" w:w="100"/>
              <w:right w:type="dxa" w:w="140"/>
            </w:tcMar>
            <w:vAlign w:val="center"/>
          </w:tcPr>
          <w:p>
            <w:pPr>
              <w:spacing w:after="0" w:before="0"/>
            </w:pPr>
            <w:r>
              <w:rPr>
                <w:rFonts w:ascii="Arial" w:cs="Arial" w:eastAsia="Arial" w:hAnsi="Arial"/>
                <w:b/>
                <w:bCs/>
                <w:color w:val="0D1B2A"/>
                <w:sz w:val="19"/>
                <w:szCs w:val="19"/>
              </w:rPr>
              <w:t xml:space="preserve">Corporate L&amp;D (Global)</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$370B</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$490B+</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7.2%</w:t>
            </w:r>
          </w:p>
        </w:tc>
      </w:tr>
      <w:tr>
        <w:trPr>
          <w:tblHeader w:val="false"/>
        </w:trPr>
        <w:tc>
          <w:tcPr>
            <w:tcW w:type="dxa" w:w="2340"/>
            <w:tcBorders>
              <w:top w:val="single" w:color="D0C8B8" w:sz="1"/>
              <w:left w:val="single" w:color="D0C8B8" w:sz="1"/>
              <w:bottom w:val="single" w:color="D0C8B8" w:sz="1"/>
              <w:right w:val="single" w:color="D0C8B8" w:sz="1"/>
            </w:tcBorders>
            <w:shd w:fill="F5F0E8" w:val="clear"/>
            <w:tcMar>
              <w:top w:type="dxa" w:w="100"/>
              <w:left w:type="dxa" w:w="140"/>
              <w:bottom w:type="dxa" w:w="100"/>
              <w:right w:type="dxa" w:w="140"/>
            </w:tcMar>
            <w:vAlign w:val="center"/>
          </w:tcPr>
          <w:p>
            <w:pPr>
              <w:spacing w:after="0" w:before="0"/>
            </w:pPr>
            <w:r>
              <w:rPr>
                <w:rFonts w:ascii="Arial" w:cs="Arial" w:eastAsia="Arial" w:hAnsi="Arial"/>
                <w:b/>
                <w:bCs/>
                <w:color w:val="0D1B2A"/>
                <w:sz w:val="19"/>
                <w:szCs w:val="19"/>
              </w:rPr>
              <w:t xml:space="preserve">Enluma SAM (ACI)</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$6.8B</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$22B+</w:t>
            </w:r>
          </w:p>
        </w:tc>
        <w:tc>
          <w:tcPr>
            <w:tcW w:type="dxa" w:w="2340"/>
            <w:tcBorders>
              <w:top w:val="single" w:color="D0C8B8" w:sz="1"/>
              <w:left w:val="single" w:color="D0C8B8" w:sz="1"/>
              <w:bottom w:val="single" w:color="D0C8B8" w:sz="1"/>
              <w:right w:val="single" w:color="D0C8B8" w:sz="1"/>
            </w:tcBorders>
            <w:shd w:fill="FFFFFF" w:val="clear"/>
            <w:tcMar>
              <w:top w:type="dxa" w:w="100"/>
              <w:left w:type="dxa" w:w="140"/>
              <w:bottom w:type="dxa" w:w="100"/>
              <w:right w:type="dxa" w:w="140"/>
            </w:tcMar>
            <w:vAlign w:val="center"/>
          </w:tcPr>
          <w:p>
            <w:pPr>
              <w:spacing w:after="0" w:before="0"/>
            </w:pPr>
            <w:r>
              <w:rPr>
                <w:rFonts w:ascii="Arial" w:cs="Arial" w:eastAsia="Arial" w:hAnsi="Arial"/>
                <w:b w:val="false"/>
                <w:bCs w:val="false"/>
                <w:color w:val="0D1B2A"/>
                <w:sz w:val="19"/>
                <w:szCs w:val="19"/>
              </w:rPr>
              <w:t xml:space="preserve">34%</w:t>
            </w:r>
          </w:p>
        </w:tc>
      </w:tr>
    </w:tbl>
    <w:p>
      <w:pPr>
        <w:spacing w:after="160" w:before="80"/>
        <w:jc w:val="center"/>
      </w:pPr>
      <w:r>
        <w:rPr>
          <w:rFonts w:ascii="Arial" w:cs="Arial" w:eastAsia="Arial" w:hAnsi="Arial"/>
          <w:i/>
          <w:iCs/>
          <w:color w:val="8A9AAA"/>
          <w:sz w:val="18"/>
          <w:szCs w:val="18"/>
        </w:rPr>
        <w:t xml:space="preserve">Table 2: Market Sizing — Serviceable Addressable Market for Adaptive Communication Intelligence</w:t>
      </w:r>
    </w:p>
    <w:p>
      <w:pPr>
        <w:spacing w:after="0" w:before="0" w:line="120"/>
      </w:pPr>
      <w:r>
        <w:rPr>
          <w:sz w:val="2"/>
          <w:szCs w:val="2"/>
        </w:rPr>
        <w:t xml:space="preserve"/>
      </w:r>
    </w:p>
    <w:p>
      <w:pPr>
        <w:pStyle w:val="Heading2"/>
        <w:spacing w:after="120" w:before="280"/>
      </w:pPr>
      <w:r>
        <w:rPr>
          <w:rFonts w:ascii="Arial" w:cs="Arial" w:eastAsia="Arial" w:hAnsi="Arial"/>
          <w:b/>
          <w:bCs/>
          <w:color w:val="1E3A5F"/>
          <w:sz w:val="24"/>
          <w:szCs w:val="24"/>
        </w:rPr>
        <w:t xml:space="preserve">Phase A: The Creator Launch (Months 1–6)</w:t>
      </w:r>
    </w:p>
    <w:p>
      <w:pPr>
        <w:spacing w:after="160" w:before="0" w:line="360"/>
        <w:jc w:val="both"/>
      </w:pPr>
      <w:r>
        <w:rPr>
          <w:rFonts w:ascii="Palatino Linotype" w:cs="Palatino Linotype" w:eastAsia="Palatino Linotype" w:hAnsi="Palatino Linotype"/>
          <w:color w:val="0D1B2A"/>
          <w:sz w:val="23"/>
          <w:szCs w:val="23"/>
        </w:rPr>
        <w:t xml:space="preserve">The initial phase concentrates exclusively on the creator economy, targeting 500 founding creators — elite communication coaches, negotiation specialists, and language educators with established audiences. By providing these experts with Creator Studio tools, Enluma enables them to build branded academies and scenario packs powered by the ACI engine. This strategy is designed to generate $4.2 million in Year 1 revenue through a combination of Pro subscriptions and creator revenue-shares, while simultaneously populating the Performance Graph with the high-fidelity interaction data that will underpin the platform’s predictive models. Creators are not customers at this stage; they are co-founders of the data flywheel.</w:t>
      </w:r>
    </w:p>
    <w:p>
      <w:pPr>
        <w:pStyle w:val="Heading2"/>
        <w:spacing w:after="120" w:before="280"/>
      </w:pPr>
      <w:r>
        <w:rPr>
          <w:rFonts w:ascii="Arial" w:cs="Arial" w:eastAsia="Arial" w:hAnsi="Arial"/>
          <w:b/>
          <w:bCs/>
          <w:color w:val="1E3A5F"/>
          <w:sz w:val="24"/>
          <w:szCs w:val="24"/>
        </w:rPr>
        <w:t xml:space="preserve">Phase B: The Scaling Effect (Months 7–12)</w:t>
      </w:r>
    </w:p>
    <w:p>
      <w:pPr>
        <w:spacing w:after="160" w:before="0" w:line="360"/>
        <w:jc w:val="both"/>
      </w:pPr>
      <w:r>
        <w:rPr>
          <w:rFonts w:ascii="Palatino Linotype" w:cs="Palatino Linotype" w:eastAsia="Palatino Linotype" w:hAnsi="Palatino Linotype"/>
          <w:color w:val="0D1B2A"/>
          <w:sz w:val="23"/>
          <w:szCs w:val="23"/>
        </w:rPr>
        <w:t xml:space="preserve">As creator-led communities expand, Enluma leverages organic acquisition to scale toward 50,000 end users, maintaining a blended customer acquisition cost of approximately $28. This phase introduces Live Co-Pilot Mode — the capability that transforms Enluma from a rehearsal space into a daily performance companion. The consumer marketplace launches, and the first cohort of creator academies reaches operational maturity. The focus shifts to Performance Tiers: outcome-linked product bundles that align price directly with value delivered, establishing the premium-to-free conversion dynamics that will sustain the platform’s unit economics through the enterprise transition.</w:t>
      </w:r>
    </w:p>
    <w:p>
      <w:pPr>
        <w:pStyle w:val="Heading2"/>
        <w:spacing w:after="120" w:before="280"/>
      </w:pPr>
      <w:r>
        <w:rPr>
          <w:rFonts w:ascii="Arial" w:cs="Arial" w:eastAsia="Arial" w:hAnsi="Arial"/>
          <w:b/>
          <w:bCs/>
          <w:color w:val="1E3A5F"/>
          <w:sz w:val="24"/>
          <w:szCs w:val="24"/>
        </w:rPr>
        <w:t xml:space="preserve">Phase C: The Enterprise Communication OS (Months 13–20+)</w:t>
      </w:r>
    </w:p>
    <w:p>
      <w:pPr>
        <w:spacing w:after="160" w:before="0" w:line="360"/>
        <w:jc w:val="both"/>
      </w:pPr>
      <w:r>
        <w:rPr>
          <w:rFonts w:ascii="Palatino Linotype" w:cs="Palatino Linotype" w:eastAsia="Palatino Linotype" w:hAnsi="Palatino Linotype"/>
          <w:color w:val="0D1B2A"/>
          <w:sz w:val="23"/>
          <w:szCs w:val="23"/>
        </w:rPr>
        <w:t xml:space="preserve">The final phase integrates Enluma into global enterprise infrastructure. By becoming the communication operating system for multinational teams, Enluma moves beyond individual development to become a system for organisational communication readiness. This phase targets the enterprise L&amp;D segment with dashboards, governance layers, and deep integrations with Zoom, Slack, and CRM platforms. The commercial target is break-even at Month 16 and $10 million in ARR by Month 30 — achieved not through volume in the consumer tier, but through high-contract-value enterprise deployments where the ROI of communication performance improvement is directly attributable and measurable.</w:t>
      </w:r>
    </w:p>
    <w:p>
      <w:r>
        <w:br w:type="page"/>
      </w:r>
    </w:p>
    <w:p>
      <w:pPr>
        <w:spacing w:after="0" w:before="0" w:line="120"/>
      </w:pPr>
      <w:r>
        <w:rPr>
          <w:sz w:val="2"/>
          <w:szCs w:val="2"/>
        </w:rPr>
        <w:t xml:space="preserve"/>
      </w:r>
    </w:p>
    <w:p>
      <w:pPr>
        <w:spacing w:after="80" w:before="0"/>
      </w:pPr>
      <w:r>
        <w:rPr>
          <w:rFonts w:ascii="Arial" w:cs="Arial" w:eastAsia="Arial" w:hAnsi="Arial"/>
          <w:b/>
          <w:bCs/>
          <w:caps/>
          <w:color w:val="C9A84C"/>
          <w:sz w:val="18"/>
          <w:szCs w:val="18"/>
        </w:rPr>
        <w:t xml:space="preserve">08</w:t>
      </w:r>
    </w:p>
    <w:p>
      <w:pPr>
        <w:pStyle w:val="Heading1"/>
        <w:spacing w:after="200" w:before="0"/>
      </w:pPr>
      <w:r>
        <w:rPr>
          <w:rFonts w:ascii="Arial" w:cs="Arial" w:eastAsia="Arial" w:hAnsi="Arial"/>
          <w:b/>
          <w:bCs/>
          <w:color w:val="1E3A5F"/>
          <w:sz w:val="34"/>
          <w:szCs w:val="34"/>
        </w:rPr>
        <w:t xml:space="preserve">Conclusion: The Light of Creation</w:t>
      </w:r>
    </w:p>
    <w:p>
      <w:pPr>
        <w:pBdr>
          <w:bottom w:val="single" w:color="C9A84C" w:sz="3" w:space="1"/>
        </w:pBdr>
        <w:spacing w:after="240" w:before="0"/>
      </w:pPr>
      <w:r>
        <w:rPr>
          <w:sz w:val="2"/>
          <w:szCs w:val="2"/>
        </w:rPr>
        <w:t xml:space="preserve"/>
      </w:r>
    </w:p>
    <w:p>
      <w:pPr>
        <w:spacing w:after="160" w:before="0" w:line="360"/>
        <w:jc w:val="both"/>
      </w:pPr>
      <w:r>
        <w:rPr>
          <w:rFonts w:ascii="Palatino Linotype" w:cs="Palatino Linotype" w:eastAsia="Palatino Linotype" w:hAnsi="Palatino Linotype"/>
          <w:color w:val="0D1B2A"/>
          <w:sz w:val="23"/>
          <w:szCs w:val="23"/>
        </w:rPr>
        <w:t xml:space="preserve">The scope of Enluma transcends the boundaries of a standard market opportunity; it is a civilisational argument for the restoration of human agency through language. The name itself encodes this ambition. Enluma is a synthesis of two profound traditions: the Enuma Elish — the Babylonian creation epic written in cuneiform, humanity’s first recorded attempt to order the world through language — and the root Luma, which signifies light across Persian, Arabic, and Latin traditions. Enluma is the light of creation through language.</w:t>
      </w:r>
    </w:p>
    <w:p>
      <w:pPr>
        <w:spacing w:after="160" w:before="0" w:line="360"/>
        <w:jc w:val="both"/>
      </w:pPr>
      <w:r>
        <w:rPr>
          <w:rFonts w:ascii="Palatino Linotype" w:cs="Palatino Linotype" w:eastAsia="Palatino Linotype" w:hAnsi="Palatino Linotype"/>
          <w:color w:val="0D1B2A"/>
          <w:sz w:val="23"/>
          <w:szCs w:val="23"/>
        </w:rPr>
        <w:t xml:space="preserve">For millennia, language has been the fundamental technology of human progress — the instrument through which we build institutions, negotiate peace, and express the infinite depth of our interior lives. Yet for too long, our tools for mastering this technology have been static, mechanical, and disconnected from the neurological reality of performance. We have been trapped in a model of education that treats people as interchangeable data repositories, measuring success by the volume of content consumed rather than by the quality of expression produced.</w:t>
      </w:r>
    </w:p>
    <w:p>
      <w:pPr>
        <w:spacing w:after="160" w:before="0" w:line="360"/>
        <w:jc w:val="both"/>
      </w:pPr>
      <w:r>
        <w:rPr>
          <w:rFonts w:ascii="Palatino Linotype" w:cs="Palatino Linotype" w:eastAsia="Palatino Linotype" w:hAnsi="Palatino Linotype"/>
          <w:color w:val="0D1B2A"/>
          <w:sz w:val="23"/>
          <w:szCs w:val="23"/>
        </w:rPr>
        <w:t xml:space="preserve">Adaptive Communication Intelligence represents the modern restoration of our most vital capacity. Enluma is not building another AI tutor. It is building the infrastructure that will allow every individual — regardless of language, background, or starting point — to close the gap between who they are in a quiet room and who they need to be in a room that matters.</w:t>
      </w:r>
    </w:p>
    <w:p>
      <w:pPr>
        <w:spacing w:after="160" w:before="0" w:line="360"/>
        <w:jc w:val="both"/>
      </w:pPr>
      <w:r>
        <w:rPr>
          <w:rFonts w:ascii="Palatino Linotype" w:cs="Palatino Linotype" w:eastAsia="Palatino Linotype" w:hAnsi="Palatino Linotype"/>
          <w:color w:val="0D1B2A"/>
          <w:sz w:val="23"/>
          <w:szCs w:val="23"/>
        </w:rPr>
        <w:t xml:space="preserve">The market is large. The technology is ready. The window is open. And the category, once defined, will not be defined twice.</w:t>
      </w:r>
    </w:p>
    <w:p>
      <w:pPr>
        <w:pBdr>
          <w:top w:val="single" w:color="C9A84C" w:sz="4" w:space="8"/>
          <w:bottom w:val="single" w:color="C9A84C" w:sz="4" w:space="8"/>
        </w:pBdr>
        <w:spacing w:after="280" w:before="280" w:line="380"/>
        <w:ind w:left="720" w:right="720"/>
        <w:jc w:val="center"/>
      </w:pPr>
      <w:r>
        <w:rPr>
          <w:rFonts w:ascii="Palatino Linotype" w:cs="Palatino Linotype" w:eastAsia="Palatino Linotype" w:hAnsi="Palatino Linotype"/>
          <w:i/>
          <w:iCs/>
          <w:color w:val="1E3A5F"/>
          <w:sz w:val="26"/>
          <w:szCs w:val="26"/>
        </w:rPr>
        <w:t xml:space="preserve">We do not need more ways to learn. We need better ways to be.</w:t>
      </w:r>
    </w:p>
    <w:p>
      <w:pPr>
        <w:spacing w:after="0" w:before="0" w:line="160"/>
      </w:pPr>
      <w:r>
        <w:rPr>
          <w:sz w:val="2"/>
          <w:szCs w:val="2"/>
        </w:rPr>
        <w:t xml:space="preserve"/>
      </w:r>
    </w:p>
    <w:p>
      <w:pPr>
        <w:spacing w:after="40" w:before="0"/>
        <w:jc w:val="center"/>
      </w:pPr>
      <w:r>
        <w:rPr>
          <w:rFonts w:ascii="Palatino Linotype" w:cs="Palatino Linotype" w:eastAsia="Palatino Linotype" w:hAnsi="Palatino Linotype"/>
          <w:color w:val="C9A84C"/>
          <w:sz w:val="24"/>
          <w:szCs w:val="24"/>
        </w:rPr>
        <w:t xml:space="preserve">――――――――――――――――――――</w:t>
      </w:r>
    </w:p>
    <w:p>
      <w:pPr>
        <w:spacing w:after="20" w:before="0"/>
        <w:jc w:val="center"/>
      </w:pPr>
      <w:r>
        <w:rPr>
          <w:rFonts w:ascii="Arial" w:cs="Arial" w:eastAsia="Arial" w:hAnsi="Arial"/>
          <w:b/>
          <w:bCs/>
          <w:caps/>
          <w:color w:val="1E3A5F"/>
          <w:spacing w:val="200"/>
          <w:sz w:val="22"/>
          <w:szCs w:val="22"/>
        </w:rPr>
        <w:t xml:space="preserve">E N L U M A</w:t>
      </w:r>
    </w:p>
    <w:p>
      <w:pPr>
        <w:spacing w:after="0" w:before="0"/>
        <w:jc w:val="center"/>
      </w:pPr>
      <w:r>
        <w:rPr>
          <w:rFonts w:ascii="Arial" w:cs="Arial" w:eastAsia="Arial" w:hAnsi="Arial"/>
          <w:color w:val="8A9AAA"/>
          <w:sz w:val="17"/>
          <w:szCs w:val="17"/>
        </w:rPr>
        <w:t xml:space="preserve">enluma.com  ·  Confidential  ·  April 2026</w:t>
      </w:r>
    </w:p>
    <w:sectPr>
      <w:headerReference w:type="default" r:id="rId7"/>
      <w:footerReference w:type="default" r:id="rId8"/>
      <w:pgSz w:w="12240" w:h="15840" w:orient="portrait"/>
      <w:pgMar w:top="1440" w:right="144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3" w:space="1"/>
      </w:pBdr>
      <w:tabs>
        <w:tab w:val="right" w:pos="9026"/>
      </w:tabs>
      <w:spacing w:before="120"/>
    </w:pPr>
    <w:r>
      <w:rPr>
        <w:rFonts w:ascii="Arial" w:cs="Arial" w:eastAsia="Arial" w:hAnsi="Arial"/>
        <w:color w:val="8A9AAA"/>
        <w:sz w:val="16"/>
        <w:szCs w:val="16"/>
      </w:rPr>
      <w:t xml:space="preserve">Confidential. Not for distribution without written consent.</w:t>
    </w:r>
    <w:r>
      <w:rPr>
        <w:rFonts w:ascii="Arial" w:cs="Arial" w:eastAsia="Arial" w:hAnsi="Arial"/>
        <w:sz w:val="16"/>
        <w:szCs w:val="16"/>
      </w:rPr>
      <w:t xml:space="preserve">	</w:t>
    </w:r>
    <w:r>
      <w:rPr>
        <w:rFonts w:ascii="Arial" w:cs="Arial" w:eastAsia="Arial" w:hAnsi="Arial"/>
        <w:color w:val="8A9AAA"/>
        <w:sz w:val="16"/>
        <w:szCs w:val="16"/>
      </w:rPr>
      <w:t xml:space="preserve">enluma.com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3" w:space="1"/>
      </w:pBdr>
      <w:tabs>
        <w:tab w:val="right" w:pos="9026"/>
      </w:tabs>
      <w:spacing w:after="120"/>
    </w:pPr>
    <w:r>
      <w:rPr>
        <w:rFonts w:ascii="Arial" w:cs="Arial" w:eastAsia="Arial" w:hAnsi="Arial"/>
        <w:b/>
        <w:bCs/>
        <w:caps/>
        <w:color w:val="C9A84C"/>
        <w:sz w:val="17"/>
        <w:szCs w:val="17"/>
      </w:rPr>
      <w:t xml:space="preserve">ENLUMA</w:t>
    </w:r>
    <w:r>
      <w:rPr>
        <w:rFonts w:ascii="Arial" w:cs="Arial" w:eastAsia="Arial" w:hAnsi="Arial"/>
        <w:sz w:val="17"/>
        <w:szCs w:val="17"/>
      </w:rPr>
      <w:t xml:space="preserve">	</w:t>
    </w:r>
    <w:r>
      <w:rPr>
        <w:rFonts w:ascii="Arial" w:cs="Arial" w:eastAsia="Arial" w:hAnsi="Arial"/>
        <w:color w:val="8A9AAA"/>
        <w:sz w:val="16"/>
        <w:szCs w:val="16"/>
      </w:rPr>
      <w:t xml:space="preserve">The Communication Intelligence Gap  ·  White Paper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2026-04-19T11:33:47.713Z</dcterms:created>
  <dcterms:modified xsi:type="dcterms:W3CDTF">2026-04-19T11:33:47.715Z</dcterms:modified>
</cp:coreProperties>
</file>

<file path=docProps/custom.xml><?xml version="1.0" encoding="utf-8"?>
<Properties xmlns="http://schemas.openxmlformats.org/officeDocument/2006/custom-properties" xmlns:vt="http://schemas.openxmlformats.org/officeDocument/2006/docPropsVTypes"/>
</file>