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jc w:val="center"/>
        <w:rPr>
          <w:rFonts w:ascii="Times New Roman" w:cs="Times New Roman" w:eastAsia="Times New Roman" w:hAnsi="Times New Roman"/>
        </w:rPr>
      </w:pPr>
      <w:r w:rsidDel="00000000" w:rsidR="00000000" w:rsidRPr="00000000">
        <w:rPr>
          <w:rtl w:val="0"/>
        </w:rPr>
      </w:r>
    </w:p>
    <w:sdt>
      <w:sdtPr>
        <w:lock w:val="contentLocked"/>
        <w:id w:val="-2034543535"/>
        <w:tag w:val="goog_rdk_0"/>
      </w:sdtPr>
      <w:sdtContent>
        <w:tbl>
          <w:tblPr>
            <w:tblStyle w:val="Table1"/>
            <w:tblpPr w:leftFromText="180" w:rightFromText="180" w:topFromText="180" w:bottomFromText="180" w:vertAnchor="text" w:horzAnchor="text" w:tblpX="0" w:tblpY="0"/>
            <w:tblW w:w="9750.0" w:type="dxa"/>
            <w:jc w:val="left"/>
            <w:tblInd w:w="-115.0" w:type="dxa"/>
            <w:tblLayout w:type="fixed"/>
            <w:tblLook w:val="0400"/>
          </w:tblPr>
          <w:tblGrid>
            <w:gridCol w:w="9750"/>
            <w:tblGridChange w:id="0">
              <w:tblGrid>
                <w:gridCol w:w="975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520000" cy="69735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TOBB EKONOMİ VE TEKNOLOJİ ÜNİVERSİTESİ</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lineRule="auto"/>
                  <w:jc w:val="cente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08">
      <w:pPr>
        <w:ind w:right="112.20472440944889"/>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B">
      <w:pPr>
        <w:spacing w:after="0" w:line="276" w:lineRule="auto"/>
        <w:jc w:val="center"/>
        <w:rPr>
          <w:rFonts w:ascii="Times New Roman" w:cs="Times New Roman" w:eastAsia="Times New Roman" w:hAnsi="Times New Roman"/>
          <w:color w:val="0c1c42"/>
          <w:sz w:val="48"/>
          <w:szCs w:val="48"/>
        </w:rPr>
      </w:pPr>
      <w:r w:rsidDel="00000000" w:rsidR="00000000" w:rsidRPr="00000000">
        <w:rPr>
          <w:rFonts w:ascii="Times New Roman" w:cs="Times New Roman" w:eastAsia="Times New Roman" w:hAnsi="Times New Roman"/>
          <w:color w:val="0c1c42"/>
          <w:sz w:val="48"/>
          <w:szCs w:val="48"/>
          <w:rtl w:val="0"/>
        </w:rPr>
        <w:t xml:space="preserve">Proje Kısıt ve Etkiler Dokümanı</w:t>
      </w:r>
    </w:p>
    <w:p w:rsidR="00000000" w:rsidDel="00000000" w:rsidP="00000000" w:rsidRDefault="00000000" w:rsidRPr="00000000" w14:paraId="0000000C">
      <w:pPr>
        <w:spacing w:after="0" w:line="276" w:lineRule="auto"/>
        <w:jc w:val="center"/>
        <w:rPr>
          <w:rFonts w:ascii="Times New Roman" w:cs="Times New Roman" w:eastAsia="Times New Roman" w:hAnsi="Times New Roman"/>
          <w:color w:val="585f6d"/>
          <w:sz w:val="28"/>
          <w:szCs w:val="28"/>
        </w:rPr>
      </w:pPr>
      <w:r w:rsidDel="00000000" w:rsidR="00000000" w:rsidRPr="00000000">
        <w:rPr>
          <w:rFonts w:ascii="Times New Roman" w:cs="Times New Roman" w:eastAsia="Times New Roman" w:hAnsi="Times New Roman"/>
          <w:color w:val="585f6d"/>
          <w:sz w:val="28"/>
          <w:szCs w:val="28"/>
          <w:rtl w:val="0"/>
        </w:rPr>
        <w:t xml:space="preserve">PKE-Plan</w:t>
      </w:r>
    </w:p>
    <w:p w:rsidR="00000000" w:rsidDel="00000000" w:rsidP="00000000" w:rsidRDefault="00000000" w:rsidRPr="00000000" w14:paraId="0000000D">
      <w:pPr>
        <w:spacing w:after="0" w:line="276" w:lineRule="auto"/>
        <w:jc w:val="center"/>
        <w:rPr>
          <w:rFonts w:ascii="Times New Roman" w:cs="Times New Roman" w:eastAsia="Times New Roman" w:hAnsi="Times New Roman"/>
          <w:color w:val="18212e"/>
        </w:rPr>
      </w:pPr>
      <w:r w:rsidDel="00000000" w:rsidR="00000000" w:rsidRPr="00000000">
        <w:rPr>
          <w:rFonts w:ascii="Times New Roman" w:cs="Times New Roman" w:eastAsia="Times New Roman" w:hAnsi="Times New Roman"/>
          <w:color w:val="18212e"/>
          <w:rtl w:val="0"/>
        </w:rPr>
        <w:t xml:space="preserve">Plan sürümü — BİL495 sonunda teslim edilir</w:t>
      </w:r>
    </w:p>
    <w:p w:rsidR="00000000" w:rsidDel="00000000" w:rsidP="00000000" w:rsidRDefault="00000000" w:rsidRPr="00000000" w14:paraId="0000000E">
      <w:pPr>
        <w:spacing w:before="12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tbl>
      <w:tblPr>
        <w:tblStyle w:val="Table2"/>
        <w:tblW w:w="9930.0" w:type="dxa"/>
        <w:jc w:val="left"/>
        <w:tblInd w:w="-115.0" w:type="dxa"/>
        <w:tblLayout w:type="fixed"/>
        <w:tblLook w:val="0400"/>
      </w:tblPr>
      <w:tblGrid>
        <w:gridCol w:w="4920"/>
        <w:gridCol w:w="5010"/>
        <w:tblGridChange w:id="0">
          <w:tblGrid>
            <w:gridCol w:w="4920"/>
            <w:gridCol w:w="501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AgentLens</w:t>
            </w:r>
            <w:r w:rsidDel="00000000" w:rsidR="00000000" w:rsidRPr="00000000">
              <w:rPr>
                <w:rtl w:val="0"/>
              </w:rPr>
            </w:r>
          </w:p>
        </w:tc>
      </w:tr>
      <w:tr>
        <w:trPr>
          <w:cantSplit w:val="0"/>
          <w:trHeight w:val="413.83789062500006" w:hRule="atLeast"/>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Anıl Özişler, İrem Özdemir, Yiğit Yıldız, Arda Günaydın, Yusuf Mert Usta</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Shadi Bikas</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31.07.2026</w:t>
            </w:r>
          </w:p>
        </w:tc>
      </w:tr>
    </w:tbl>
    <w:p w:rsidR="00000000" w:rsidDel="00000000" w:rsidP="00000000" w:rsidRDefault="00000000" w:rsidRPr="00000000" w14:paraId="0000001C">
      <w:pPr>
        <w:pStyle w:val="Heading1"/>
        <w:rPr/>
      </w:pPr>
      <w:r w:rsidDel="00000000" w:rsidR="00000000" w:rsidRPr="00000000">
        <w:rPr>
          <w:rtl w:val="0"/>
        </w:rPr>
      </w:r>
    </w:p>
    <w:sdt>
      <w:sdtPr>
        <w:id w:val="4148623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Kullanılan Standartlar</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3719n7kbo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Standart 1: GDPR (Veri Koruma Yönetmeliği) [1] ve 6698 Sayılı KVKK [2]</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6l33smzb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Standart 2: ACM Code of Ethics [3] ve IEEE Code of Ethics [4]</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Proje Kısıtları</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Beklenen Etkiler</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sdyl34ujk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Ekonomik Etki</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ue4kxxcq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Sosyal Etki</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2uae8mq8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Çevresel Etki</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qyxtqcha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Hukuki Etki</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qp2hrgz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Sağlık Etkisi</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ll58nyqg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Güvenlik Etkisi</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id09fenp8o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Kaynakça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ectPr>
          <w:headerReference r:id="rId8" w:type="default"/>
          <w:footerReference r:id="rId9" w:type="default"/>
          <w:footerReference r:id="rId10" w:type="first"/>
          <w:pgSz w:h="15840" w:w="12240" w:orient="portrait"/>
          <w:pgMar w:bottom="1134" w:top="1134" w:left="1247" w:right="1247" w:header="720" w:footer="720"/>
          <w:pgNumType w:start="0"/>
          <w:titlePg w:val="1"/>
        </w:sect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1. Kullanılan Standartlar</w:t>
      </w:r>
    </w:p>
    <w:p w:rsidR="00000000" w:rsidDel="00000000" w:rsidP="00000000" w:rsidRDefault="00000000" w:rsidRPr="00000000" w14:paraId="00000040">
      <w:pPr>
        <w:pStyle w:val="Heading2"/>
        <w:keepNext w:val="0"/>
        <w:keepLines w:val="0"/>
        <w:widowControl w:val="0"/>
        <w:spacing w:after="240" w:before="0" w:line="300" w:lineRule="auto"/>
        <w:rPr/>
      </w:pPr>
      <w:bookmarkStart w:colFirst="0" w:colLast="0" w:name="_heading=h.aj3719n7kbop" w:id="0"/>
      <w:bookmarkEnd w:id="0"/>
      <w:r w:rsidDel="00000000" w:rsidR="00000000" w:rsidRPr="00000000">
        <w:rPr>
          <w:rtl w:val="0"/>
        </w:rPr>
        <w:t xml:space="preserve">Standart 1: GDPR (Veri Koruma Yönetmeliği) [1] ve 6698 Sayılı KVKK [2]</w:t>
      </w:r>
    </w:p>
    <w:p w:rsidR="00000000" w:rsidDel="00000000" w:rsidP="00000000" w:rsidRDefault="00000000" w:rsidRPr="00000000" w14:paraId="00000041">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İlgili Madde:</w:t>
      </w:r>
      <w:r w:rsidDel="00000000" w:rsidR="00000000" w:rsidRPr="00000000">
        <w:rPr>
          <w:rFonts w:ascii="Times New Roman" w:cs="Times New Roman" w:eastAsia="Times New Roman" w:hAnsi="Times New Roman"/>
          <w:rtl w:val="0"/>
        </w:rPr>
        <w:t xml:space="preserve"> GDPR Madde 5 (Veri Minimizasyonu ve Amaçla Sınırlılık) ve KVKK Madde 4 </w:t>
      </w:r>
    </w:p>
    <w:p w:rsidR="00000000" w:rsidDel="00000000" w:rsidP="00000000" w:rsidRDefault="00000000" w:rsidRPr="00000000" w14:paraId="00000042">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(Kişisel verilerin işlenme şartları).</w:t>
      </w:r>
    </w:p>
    <w:p w:rsidR="00000000" w:rsidDel="00000000" w:rsidP="00000000" w:rsidRDefault="00000000" w:rsidRPr="00000000" w14:paraId="00000043">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Uygulanabilirlik Notu:</w:t>
      </w:r>
      <w:r w:rsidDel="00000000" w:rsidR="00000000" w:rsidRPr="00000000">
        <w:rPr>
          <w:rFonts w:ascii="Times New Roman" w:cs="Times New Roman" w:eastAsia="Times New Roman" w:hAnsi="Times New Roman"/>
          <w:rtl w:val="0"/>
        </w:rPr>
        <w:t xml:space="preserve"> Çok ajanlı sistemlerin mesaj logları kullanıcıların kişisel veya hassas </w:t>
      </w:r>
    </w:p>
    <w:p w:rsidR="00000000" w:rsidDel="00000000" w:rsidP="00000000" w:rsidRDefault="00000000" w:rsidRPr="00000000" w14:paraId="00000044">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verilerini içerebilir. Sistemin dış LLM API'lerine (OpenAI, Anthropic) analiz için veri göndermeden </w:t>
      </w:r>
    </w:p>
    <w:p w:rsidR="00000000" w:rsidDel="00000000" w:rsidP="00000000" w:rsidRDefault="00000000" w:rsidRPr="00000000" w14:paraId="00000045">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önce bu verileri maskelemesi yasal bir zorunluluktur.</w:t>
      </w:r>
    </w:p>
    <w:p w:rsidR="00000000" w:rsidDel="00000000" w:rsidP="00000000" w:rsidRDefault="00000000" w:rsidRPr="00000000" w14:paraId="00000046">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İnceleme ve Test.</w:t>
      </w:r>
      <w:r w:rsidDel="00000000" w:rsidR="00000000" w:rsidRPr="00000000">
        <w:rPr>
          <w:rFonts w:ascii="Times New Roman" w:cs="Times New Roman" w:eastAsia="Times New Roman" w:hAnsi="Times New Roman"/>
          <w:rtl w:val="0"/>
        </w:rPr>
        <w:t xml:space="preserve"> Geliştirilen veri formatlama (Data Formatter) </w:t>
      </w:r>
    </w:p>
    <w:p w:rsidR="00000000" w:rsidDel="00000000" w:rsidP="00000000" w:rsidRDefault="00000000" w:rsidRPr="00000000" w14:paraId="00000047">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modülündeki takma adlandırma (pseudonymization) algoritmalarının birim test raporları (unit tests) </w:t>
      </w:r>
    </w:p>
    <w:p w:rsidR="00000000" w:rsidDel="00000000" w:rsidP="00000000" w:rsidRDefault="00000000" w:rsidRPr="00000000" w14:paraId="00000048">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kaynak kod analizi ile doğrulanması.</w:t>
      </w:r>
    </w:p>
    <w:p w:rsidR="00000000" w:rsidDel="00000000" w:rsidP="00000000" w:rsidRDefault="00000000" w:rsidRPr="00000000" w14:paraId="00000049">
      <w:pPr>
        <w:widowControl w:val="0"/>
        <w:spacing w:after="0" w:line="30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2"/>
        <w:keepNext w:val="0"/>
        <w:keepLines w:val="0"/>
        <w:widowControl w:val="0"/>
        <w:spacing w:after="240" w:line="300" w:lineRule="auto"/>
        <w:rPr/>
      </w:pPr>
      <w:bookmarkStart w:colFirst="0" w:colLast="0" w:name="_heading=h.rs6l33smzbsf" w:id="1"/>
      <w:bookmarkEnd w:id="1"/>
      <w:r w:rsidDel="00000000" w:rsidR="00000000" w:rsidRPr="00000000">
        <w:rPr>
          <w:rtl w:val="0"/>
        </w:rPr>
        <w:t xml:space="preserve">Standart 2: ACM Code of Ethics [3] ve IEEE Code of Ethics [4]</w:t>
      </w:r>
    </w:p>
    <w:p w:rsidR="00000000" w:rsidDel="00000000" w:rsidP="00000000" w:rsidRDefault="00000000" w:rsidRPr="00000000" w14:paraId="0000004B">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İlgili Madde:</w:t>
      </w:r>
      <w:r w:rsidDel="00000000" w:rsidR="00000000" w:rsidRPr="00000000">
        <w:rPr>
          <w:rFonts w:ascii="Times New Roman" w:cs="Times New Roman" w:eastAsia="Times New Roman" w:hAnsi="Times New Roman"/>
          <w:rtl w:val="0"/>
        </w:rPr>
        <w:t xml:space="preserve"> ACM Madde 1.2 (Olası zararı en aza indirme), Madde 2.6 (İşi dürüstçe değerlendirme) </w:t>
      </w:r>
    </w:p>
    <w:p w:rsidR="00000000" w:rsidDel="00000000" w:rsidP="00000000" w:rsidRDefault="00000000" w:rsidRPr="00000000" w14:paraId="0000004C">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IEEE Madde 1 (Hesap verilebilirlik ve teknik iddiaların dürüstlüğü).</w:t>
      </w:r>
    </w:p>
    <w:p w:rsidR="00000000" w:rsidDel="00000000" w:rsidP="00000000" w:rsidRDefault="00000000" w:rsidRPr="00000000" w14:paraId="0000004D">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Uygulanabilirlik Notu:</w:t>
      </w:r>
      <w:r w:rsidDel="00000000" w:rsidR="00000000" w:rsidRPr="00000000">
        <w:rPr>
          <w:rFonts w:ascii="Times New Roman" w:cs="Times New Roman" w:eastAsia="Times New Roman" w:hAnsi="Times New Roman"/>
          <w:rtl w:val="0"/>
        </w:rPr>
        <w:t xml:space="preserve"> AgentLens sisteminin "Yargıç (LLM-as-a-Judge)" modeli olarak çalışırken </w:t>
      </w:r>
    </w:p>
    <w:p w:rsidR="00000000" w:rsidDel="00000000" w:rsidP="00000000" w:rsidRDefault="00000000" w:rsidRPr="00000000" w14:paraId="0000004E">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taraf tutmaması (algoritmik önyargı) ve kendi değerlendirmelerini (yanlış pozitif/yanlış negatif </w:t>
      </w:r>
    </w:p>
    <w:p w:rsidR="00000000" w:rsidDel="00000000" w:rsidP="00000000" w:rsidRDefault="00000000" w:rsidRPr="00000000" w14:paraId="0000004F">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oranları) abartısız ve şeffaf bir biçimde raporlaması gerekir.</w:t>
      </w:r>
    </w:p>
    <w:p w:rsidR="00000000" w:rsidDel="00000000" w:rsidP="00000000" w:rsidRDefault="00000000" w:rsidRPr="00000000" w14:paraId="00000050">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Analiz. Sistemin tespit başarısının MAST test kümesi üzerinde elde </w:t>
      </w:r>
    </w:p>
    <w:p w:rsidR="00000000" w:rsidDel="00000000" w:rsidP="00000000" w:rsidRDefault="00000000" w:rsidRPr="00000000" w14:paraId="00000051">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edeceği F1-Skoru, Confusion Matrix (Karmaşıklık Matrisi), Precision ve Recall metriklerinin nicel </w:t>
      </w:r>
    </w:p>
    <w:p w:rsidR="00000000" w:rsidDel="00000000" w:rsidP="00000000" w:rsidRDefault="00000000" w:rsidRPr="00000000" w14:paraId="00000052">
      <w:pPr>
        <w:widowControl w:val="0"/>
        <w:spacing w:after="0" w:line="3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raporlarıyla sunulması.</w:t>
      </w:r>
    </w:p>
    <w:p w:rsidR="00000000" w:rsidDel="00000000" w:rsidP="00000000" w:rsidRDefault="00000000" w:rsidRPr="00000000" w14:paraId="00000053">
      <w:pPr>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054">
      <w:pPr>
        <w:pStyle w:val="Heading1"/>
        <w:rPr>
          <w:sz w:val="36"/>
          <w:szCs w:val="36"/>
        </w:rPr>
      </w:pPr>
      <w:r w:rsidDel="00000000" w:rsidR="00000000" w:rsidRPr="00000000">
        <w:rPr>
          <w:rtl w:val="0"/>
        </w:rPr>
        <w:t xml:space="preserve">2. Proje Kısıtları</w:t>
      </w:r>
      <w:r w:rsidDel="00000000" w:rsidR="00000000" w:rsidRPr="00000000">
        <w:rPr>
          <w:rtl w:val="0"/>
        </w:rPr>
      </w:r>
    </w:p>
    <w:sdt>
      <w:sdtPr>
        <w:lock w:val="contentLocked"/>
        <w:id w:val="-267907796"/>
        <w:tag w:val="goog_rdk_1"/>
      </w:sdtPr>
      <w:sdtContent>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3135"/>
            <w:gridCol w:w="2145"/>
            <w:gridCol w:w="2340"/>
            <w:tblGridChange w:id="0">
              <w:tblGrid>
                <w:gridCol w:w="1740"/>
                <w:gridCol w:w="3135"/>
                <w:gridCol w:w="2145"/>
                <w:gridCol w:w="2340"/>
              </w:tblGrid>
            </w:tblGridChange>
          </w:tblGrid>
          <w:tr>
            <w:trPr>
              <w:cantSplit w:val="0"/>
              <w:trHeight w:val="840.4248046875"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Tanım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 Alanı</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Doğrulama / Kanıtlama Yöntemi</w:t>
                </w:r>
              </w:p>
              <w:p w:rsidR="00000000" w:rsidDel="00000000" w:rsidP="00000000" w:rsidRDefault="00000000" w:rsidRPr="00000000" w14:paraId="0000005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Ekonomik </w:t>
                </w:r>
                <w:r w:rsidDel="00000000" w:rsidR="00000000" w:rsidRPr="00000000">
                  <w:rPr>
                    <w:rFonts w:ascii="Times New Roman" w:cs="Times New Roman" w:eastAsia="Times New Roman" w:hAnsi="Times New Roman"/>
                    <w:rtl w:val="0"/>
                  </w:rPr>
                  <w:t xml:space="preserve">(API Bütçe Kısıtı)</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her konuşma penceresi için OpenAI veya Anthropic servislerine (API) çağrı yapmaktadır. Projenin akademik bağlamda kurumsal bir bütçesi olmaması, maliyetli büyük modellerin sürekli kullanımını imkansız kılmaktadır.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Kullanılabilecek LLM modellerinin kapasitesi, konuşma penceresinin uzunluğu ve anlık olarak analiz edilebilecek eşzamanlı log hacmi.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Sadece şüpheli durumlarda Stage 2 modelinin tetiklendiğini gösteren API kullanım loglarının analizi ve maliyetin kotalar altında kaldığının gösterilmesi.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Çevresel (Enerji Tüketimi)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Büyük dil modellerinin aralıksız olarak veri işlemesi sunucularda yüksek elektrik tüketimine ve buna bağlı karbon emisyonuna yol açmaktadır. Sürekli izleme yapan araçlar yüksek çevresel ayak izi bırakır.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bulut alt yapısındaki enerji ayak izi ve çevresel sürdürülebilirliği. Mimarideki model çağırma (prompting) sıklığı.</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İki aşamalı filtreleme (Stage 1 ve Stage 2) sayesinde işlenmekten kurtarılan token (kelime) sayısının nicel olarak raporlanması ve dolaylı enerji tasarrufunun teorik hesaplaması.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Sağlık / Güvenlik (Yüksek Risk)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Sağlık (örneğin teşhis) veya finans gibi hata toleransının sıfır olduğu kritik alanlarda çalışan MAS'larda, AgentLens'in bir hatayı gözden kaçırması (yanlış negatif) telafi edilemez fiziksel veya maddi zararlara yol açabilir.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doğrudan otomatik karar alıcı (decision-maker) olarak konumlandırılamaması ve arayüz üzerindeki güven düzeyi (confidence score) gösterimleri.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İnceleme. Dashboard ve üretilen raporlarda, çıktıların nihai karar mekanizması olmadığına dair sorumluluk ret (disclaimer) bildirimlerinin ve güven skorlarının incelenmesi.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Teknolojik / Sürdürülebilirlik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analiz yeteneği, temel aldığı MAST hata taksonomisine bağımlıdır. İleride çıkacak yeni nesil yapay zeka ajan mimarilerinde ortaya çıkabilecek yeni hata türlerini statik bir veri seti ile tanıyamayabilir.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uzun vadeli doğruluk oranı, güncelliği ve yeni veri setlerine (framework) entegrasyon esnekliği.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widowControl w:val="0"/>
                  <w:spacing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 İncelemesi (Code Review).</w:t>
                </w:r>
                <w:r w:rsidDel="00000000" w:rsidR="00000000" w:rsidRPr="00000000">
                  <w:rPr>
                    <w:rFonts w:ascii="Times New Roman" w:cs="Times New Roman" w:eastAsia="Times New Roman" w:hAnsi="Times New Roman"/>
                    <w:rtl w:val="0"/>
                  </w:rPr>
                  <w:t xml:space="preserve"> Referans alınan MAST veri tabanının koda gömülü (hardcoded) olmadığı, sistemin dışarıdan güncellenebilir JSON konfigürasyonlarıyla beslendiğinin doğrulanması.</w:t>
                </w:r>
              </w:p>
            </w:tc>
          </w:tr>
        </w:tbl>
      </w:sdtContent>
    </w:sdt>
    <w:p w:rsidR="00000000" w:rsidDel="00000000" w:rsidP="00000000" w:rsidRDefault="00000000" w:rsidRPr="00000000" w14:paraId="0000006A">
      <w:pPr>
        <w:widowControl w:val="0"/>
        <w:spacing w:after="225"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06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Beklenen Etkiler</w:t>
      </w:r>
    </w:p>
    <w:p w:rsidR="00000000" w:rsidDel="00000000" w:rsidP="00000000" w:rsidRDefault="00000000" w:rsidRPr="00000000" w14:paraId="0000006D">
      <w:pPr>
        <w:widowControl w:val="0"/>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 projesi, otonom sistemlerde ortaya çıkan ve manuel olarak tespit edilmesi oldukça güç olan iletişim uyuşmazlıklarını gözlemlenebilir yaparak geniş çaplı incelemelere zemin hazırlamaktadır.</w:t>
      </w:r>
    </w:p>
    <w:p w:rsidR="00000000" w:rsidDel="00000000" w:rsidP="00000000" w:rsidRDefault="00000000" w:rsidRPr="00000000" w14:paraId="0000006E">
      <w:pPr>
        <w:widowControl w:val="0"/>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2"/>
        <w:widowControl w:val="0"/>
        <w:spacing w:after="0" w:line="300" w:lineRule="auto"/>
        <w:jc w:val="both"/>
        <w:rPr/>
      </w:pPr>
      <w:bookmarkStart w:colFirst="0" w:colLast="0" w:name="_heading=h.hsdyl34ujkhv" w:id="2"/>
      <w:bookmarkEnd w:id="2"/>
      <w:r w:rsidDel="00000000" w:rsidR="00000000" w:rsidRPr="00000000">
        <w:rPr>
          <w:rtl w:val="0"/>
        </w:rPr>
        <w:t xml:space="preserve">Ekonomik Etki</w:t>
      </w:r>
    </w:p>
    <w:p w:rsidR="00000000" w:rsidDel="00000000" w:rsidP="00000000" w:rsidRDefault="00000000" w:rsidRPr="00000000" w14:paraId="00000070">
      <w:pPr>
        <w:widowControl w:val="0"/>
        <w:spacing w:after="0" w:line="3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yapılandırılmış raporları (structured reports), araştırma-geliştirme ve kalite güvence (QA) ekiplerinin manuel log inceleme gereksinimini ortadan kaldırmaktadır. Hata ayıklama (debugging) sürelerindeki bu dramatik düşüş, hem işgücü ve mesai maliyetlerini azaltacak hem de endüstrideki ajan tabanlı yazılım ürünlerinin pazara çıkış süresini (time-to-market) hızlandırarak önemli bir rekabet avantajı sağlayacaktır.</w:t>
      </w:r>
    </w:p>
    <w:p w:rsidR="00000000" w:rsidDel="00000000" w:rsidP="00000000" w:rsidRDefault="00000000" w:rsidRPr="00000000" w14:paraId="00000071">
      <w:pPr>
        <w:widowControl w:val="0"/>
        <w:spacing w:after="0" w:line="3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2"/>
        <w:widowControl w:val="0"/>
        <w:spacing w:after="0" w:line="300" w:lineRule="auto"/>
        <w:jc w:val="both"/>
        <w:rPr/>
      </w:pPr>
      <w:bookmarkStart w:colFirst="0" w:colLast="0" w:name="_heading=h.baue4kxxcq5r" w:id="3"/>
      <w:bookmarkEnd w:id="3"/>
      <w:r w:rsidDel="00000000" w:rsidR="00000000" w:rsidRPr="00000000">
        <w:rPr>
          <w:b w:val="1"/>
          <w:bCs w:val="1"/>
          <w:rtl w:val="0"/>
        </w:rPr>
        <w:t xml:space="preserve">Sosyal Etki</w:t>
      </w:r>
      <w:r w:rsidDel="00000000" w:rsidR="00000000" w:rsidRPr="00000000">
        <w:rPr>
          <w:rtl w:val="0"/>
        </w:rPr>
        <w:t xml:space="preserve"> </w:t>
      </w:r>
    </w:p>
    <w:p w:rsidR="00000000" w:rsidDel="00000000" w:rsidP="00000000" w:rsidRDefault="00000000" w:rsidRPr="00000000" w14:paraId="00000073">
      <w:pPr>
        <w:widowControl w:val="0"/>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Otonom sistemlerdeki "kara kutu" probleminin şeffaflaştırılması, yapay zekanın toplumsal kabulünü doğrudan olumlu etkileyecektir. AgentLens, üretken ajanların karar süreçlerini ve aralarındaki etkileşimleri net bir şekilde açıklayarak, son kullanıcıların ve toplumun yapay zeka sistemlerine duyduğu güveni [6] uzun vadede inşa edecek ve teknolojiyle olan etkileşimi daha anlaşılır bir zemine oturtacaktır.</w:t>
      </w:r>
    </w:p>
    <w:p w:rsidR="00000000" w:rsidDel="00000000" w:rsidP="00000000" w:rsidRDefault="00000000" w:rsidRPr="00000000" w14:paraId="00000074">
      <w:pPr>
        <w:widowControl w:val="0"/>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2"/>
        <w:widowControl w:val="0"/>
        <w:spacing w:after="0" w:line="300" w:lineRule="auto"/>
        <w:jc w:val="both"/>
        <w:rPr/>
      </w:pPr>
      <w:bookmarkStart w:colFirst="0" w:colLast="0" w:name="_heading=h.t32uae8mq8bo" w:id="4"/>
      <w:bookmarkEnd w:id="4"/>
      <w:r w:rsidDel="00000000" w:rsidR="00000000" w:rsidRPr="00000000">
        <w:rPr>
          <w:rtl w:val="0"/>
        </w:rPr>
        <w:t xml:space="preserve">Çevresel Etki</w:t>
      </w:r>
    </w:p>
    <w:p w:rsidR="00000000" w:rsidDel="00000000" w:rsidP="00000000" w:rsidRDefault="00000000" w:rsidRPr="00000000" w14:paraId="00000076">
      <w:pPr>
        <w:widowControl w:val="0"/>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Doğrudan bulut sistemleri üzerinde çalışan devasa dil modelleri (LLM), yüksek karbon emisyonuna sebep olur. AgentLens, yalnızca şüpheli durumlarda çalışan iki aşamalı filtreleme mimarisi ile GPU sunucularındaki çıkarım (inference) yükünü optimize eder. Bu yaklaşım, daha düşük enerji tüketen "yeşil (green) yapay zeka" ilkelerini destekler.</w:t>
      </w:r>
    </w:p>
    <w:p w:rsidR="00000000" w:rsidDel="00000000" w:rsidP="00000000" w:rsidRDefault="00000000" w:rsidRPr="00000000" w14:paraId="00000077">
      <w:pPr>
        <w:widowControl w:val="0"/>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widowControl w:val="0"/>
        <w:spacing w:after="0" w:line="300" w:lineRule="auto"/>
        <w:jc w:val="both"/>
        <w:rPr/>
      </w:pPr>
      <w:bookmarkStart w:colFirst="0" w:colLast="0" w:name="_heading=h.4nqyxtqcha09" w:id="5"/>
      <w:bookmarkEnd w:id="5"/>
      <w:r w:rsidDel="00000000" w:rsidR="00000000" w:rsidRPr="00000000">
        <w:rPr>
          <w:rtl w:val="0"/>
        </w:rPr>
        <w:t xml:space="preserve">Hukuki Etki</w:t>
      </w:r>
    </w:p>
    <w:p w:rsidR="00000000" w:rsidDel="00000000" w:rsidP="00000000" w:rsidRDefault="00000000" w:rsidRPr="00000000" w14:paraId="00000079">
      <w:pPr>
        <w:widowControl w:val="0"/>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Avrupa Birliği Yapay Zeka Yasası (AI Act) [5] başta olmak üzere uluslararası düzenlemeler, algoritmik sistemlerin "açıklanabilir" ve "insan gözetimine (human oversight)" uygun olmasını şart koşmaktadır. AgentLens, aralarındaki uyuşmazlıkları net bir adım ve kanıt dizisiyle ortaya koyarak bu hukuki gereksinimlere teknik bir altyapı sunar. Ayrıca GDPR [1] ve KVKK [2] uyumlu log maskeleme pratikleri, veri gizliliğinin geliştirici ortamlarında standartlaşmasını teşvik edecektir.</w:t>
      </w:r>
    </w:p>
    <w:p w:rsidR="00000000" w:rsidDel="00000000" w:rsidP="00000000" w:rsidRDefault="00000000" w:rsidRPr="00000000" w14:paraId="0000007A">
      <w:pPr>
        <w:widowControl w:val="0"/>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widowControl w:val="0"/>
        <w:spacing w:after="0" w:line="300" w:lineRule="auto"/>
        <w:jc w:val="both"/>
        <w:rPr/>
      </w:pPr>
      <w:bookmarkStart w:colFirst="0" w:colLast="0" w:name="_heading=h.m9qp2hrgzta" w:id="6"/>
      <w:bookmarkEnd w:id="6"/>
      <w:r w:rsidDel="00000000" w:rsidR="00000000" w:rsidRPr="00000000">
        <w:rPr>
          <w:rtl w:val="0"/>
        </w:rPr>
        <w:t xml:space="preserve">Sağlık Etkisi</w:t>
      </w:r>
    </w:p>
    <w:p w:rsidR="00000000" w:rsidDel="00000000" w:rsidP="00000000" w:rsidRDefault="00000000" w:rsidRPr="00000000" w14:paraId="0000007C">
      <w:pPr>
        <w:widowControl w:val="0"/>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Çok ajanlı sistemler; medikal veri analizi, teşhis destek sistemleri ve hasta takibi gibi alanlarda kullanılmaya başlanmıştır. Bu ajanlar arasında yaşanabilecek bir "bilgi saklama" veya iletişim kopukluğu, yanlış teşhis gibi doğrudan insan sağlığını tehdit eden telafisi zor zararlara yol açabilir. AgentLens, bu sistemlerdeki gizli iletişim kopukluklarını proaktif olarak raporlayarak hasta sağlığını dolaylı olarak koruma altına alabilir.</w:t>
      </w:r>
    </w:p>
    <w:p w:rsidR="00000000" w:rsidDel="00000000" w:rsidP="00000000" w:rsidRDefault="00000000" w:rsidRPr="00000000" w14:paraId="0000007D">
      <w:pPr>
        <w:widowControl w:val="0"/>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2"/>
        <w:widowControl w:val="0"/>
        <w:spacing w:after="0" w:line="300" w:lineRule="auto"/>
        <w:jc w:val="both"/>
        <w:rPr/>
      </w:pPr>
      <w:bookmarkStart w:colFirst="0" w:colLast="0" w:name="_heading=h.2qll58nyqgtb" w:id="7"/>
      <w:bookmarkEnd w:id="7"/>
      <w:r w:rsidDel="00000000" w:rsidR="00000000" w:rsidRPr="00000000">
        <w:rPr>
          <w:rtl w:val="0"/>
        </w:rPr>
        <w:t xml:space="preserve">Güvenlik Etkisi</w:t>
      </w:r>
    </w:p>
    <w:p w:rsidR="00000000" w:rsidDel="00000000" w:rsidP="00000000" w:rsidRDefault="00000000" w:rsidRPr="00000000" w14:paraId="0000007F">
      <w:pPr>
        <w:widowControl w:val="0"/>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Siber tehdit tespiti, otonom savunma veya acil durum lojistiği gibi güvenlik açısından kritik alanlarda çalışan MAS'larda, ajanlar arası koordinasyon hayati önem taşır. AgentLens, "hatalı görev doğrulama" gibi anomalileri tespit ederek dış denetim katmanı sunar ve güvenlik zafiyetlerinden doğabilecek operasyonel krizlerin ve kritik sistem çökmelerinin önüne geçebilir.</w:t>
      </w:r>
      <w:r w:rsidDel="00000000" w:rsidR="00000000" w:rsidRPr="00000000">
        <w:rPr>
          <w:rtl w:val="0"/>
        </w:rPr>
      </w:r>
    </w:p>
    <w:p w:rsidR="00000000" w:rsidDel="00000000" w:rsidP="00000000" w:rsidRDefault="00000000" w:rsidRPr="00000000" w14:paraId="00000080">
      <w:pPr>
        <w:pStyle w:val="Heading1"/>
        <w:keepNext w:val="0"/>
        <w:keepLines w:val="0"/>
        <w:widowControl w:val="0"/>
        <w:spacing w:after="225" w:before="225" w:lineRule="auto"/>
        <w:rPr/>
      </w:pPr>
      <w:bookmarkStart w:colFirst="0" w:colLast="0" w:name="_heading=h.8id09fenp8ob" w:id="8"/>
      <w:bookmarkEnd w:id="8"/>
      <w:r w:rsidDel="00000000" w:rsidR="00000000" w:rsidRPr="00000000">
        <w:rPr>
          <w:rtl w:val="0"/>
        </w:rPr>
        <w:t xml:space="preserve">4. Kaynakça</w:t>
      </w:r>
    </w:p>
    <w:p w:rsidR="00000000" w:rsidDel="00000000" w:rsidP="00000000" w:rsidRDefault="00000000" w:rsidRPr="00000000" w14:paraId="00000081">
      <w:pPr>
        <w:widowControl w:val="0"/>
        <w:numPr>
          <w:ilvl w:val="0"/>
          <w:numId w:val="1"/>
        </w:numPr>
        <w:spacing w:after="0" w:line="300"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European Union, "Regulation (EU) 2016/679 of the European Parliament and of the Council of 27 April 2016 on the protection of natural persons with regard to the processing of personal data and on the free movement of such data (General Data Protection Regulation)".</w:t>
      </w:r>
    </w:p>
    <w:p w:rsidR="00000000" w:rsidDel="00000000" w:rsidP="00000000" w:rsidRDefault="00000000" w:rsidRPr="00000000" w14:paraId="00000082">
      <w:pPr>
        <w:widowControl w:val="0"/>
        <w:numPr>
          <w:ilvl w:val="0"/>
          <w:numId w:val="1"/>
        </w:numPr>
        <w:spacing w:after="0" w:line="300"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T.C. Yasama Organı, "Kişisel Verilerin Korunması Kanunu", Kanun No. 6698, T.C. Resmî Gazete.</w:t>
      </w:r>
    </w:p>
    <w:p w:rsidR="00000000" w:rsidDel="00000000" w:rsidP="00000000" w:rsidRDefault="00000000" w:rsidRPr="00000000" w14:paraId="00000083">
      <w:pPr>
        <w:widowControl w:val="0"/>
        <w:numPr>
          <w:ilvl w:val="0"/>
          <w:numId w:val="1"/>
        </w:numPr>
        <w:spacing w:after="0" w:line="300"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Association for Computing Machinery, "ACM Code of Ethics and Professional Conduct", 2018.</w:t>
      </w:r>
    </w:p>
    <w:p w:rsidR="00000000" w:rsidDel="00000000" w:rsidP="00000000" w:rsidRDefault="00000000" w:rsidRPr="00000000" w14:paraId="00000084">
      <w:pPr>
        <w:widowControl w:val="0"/>
        <w:numPr>
          <w:ilvl w:val="0"/>
          <w:numId w:val="1"/>
        </w:numPr>
        <w:spacing w:after="0" w:line="300"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IEEE, "Ethical Guidelines &amp; Policies: IEEE Code of Ethics".</w:t>
      </w:r>
    </w:p>
    <w:p w:rsidR="00000000" w:rsidDel="00000000" w:rsidP="00000000" w:rsidRDefault="00000000" w:rsidRPr="00000000" w14:paraId="00000085">
      <w:pPr>
        <w:widowControl w:val="0"/>
        <w:numPr>
          <w:ilvl w:val="0"/>
          <w:numId w:val="1"/>
        </w:numPr>
        <w:spacing w:after="0" w:line="300"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European Parliament and Council, "Regulation laying down harmonised rules on Artificial Intelligence (Artificial Intelligence Act)".</w:t>
      </w:r>
    </w:p>
    <w:p w:rsidR="00000000" w:rsidDel="00000000" w:rsidP="00000000" w:rsidRDefault="00000000" w:rsidRPr="00000000" w14:paraId="00000086">
      <w:pPr>
        <w:widowControl w:val="0"/>
        <w:numPr>
          <w:ilvl w:val="0"/>
          <w:numId w:val="1"/>
        </w:numPr>
        <w:spacing w:after="0" w:line="300"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High-Level Expert Group on Artificial Intelligence, "Ethics Guidelines for Trustworthy AI", European Commission.</w:t>
      </w:r>
    </w:p>
    <w:p w:rsidR="00000000" w:rsidDel="00000000" w:rsidP="00000000" w:rsidRDefault="00000000" w:rsidRPr="00000000" w14:paraId="00000087">
      <w:pPr>
        <w:widowControl w:val="0"/>
        <w:numPr>
          <w:ilvl w:val="0"/>
          <w:numId w:val="1"/>
        </w:numPr>
        <w:spacing w:after="0" w:line="300" w:lineRule="auto"/>
        <w:ind w:lef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[7] M. Cemri, M. Z. Pan, S. Yang, L. A. Agrawal, B. Chopra, R. Tiwari, K. Keutzer, A. Parameswaran, D. Klein, K. Ramchandran, M. Zaharia, J. E. Gonzalez, and I. Stoica, "Why do multi-agent LLM systems fail?" arXiv preprint arXiv:2503.13657v3, 2025.</w:t>
      </w:r>
      <w:r w:rsidDel="00000000" w:rsidR="00000000" w:rsidRPr="00000000">
        <w:rPr>
          <w:rtl w:val="0"/>
        </w:rPr>
      </w:r>
    </w:p>
    <w:p w:rsidR="00000000" w:rsidDel="00000000" w:rsidP="00000000" w:rsidRDefault="00000000" w:rsidRPr="00000000" w14:paraId="00000088">
      <w:pPr>
        <w:widowControl w:val="0"/>
        <w:spacing w:after="0" w:line="300" w:lineRule="auto"/>
        <w:rPr>
          <w:rFonts w:ascii="Times New Roman" w:cs="Times New Roman" w:eastAsia="Times New Roman" w:hAnsi="Times New Roman"/>
        </w:rPr>
      </w:pPr>
      <w:r w:rsidDel="00000000" w:rsidR="00000000" w:rsidRPr="00000000">
        <w:rPr>
          <w:rtl w:val="0"/>
        </w:rPr>
      </w:r>
    </w:p>
    <w:sectPr>
      <w:footerReference r:id="rId11" w:type="default"/>
      <w:type w:val="nextPage"/>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tabs>
        <w:tab w:val="center" w:leader="none" w:pos="4680"/>
        <w:tab w:val="right" w:leader="none" w:pos="9360"/>
      </w:tabs>
      <w:spacing w:after="0" w:line="240" w:lineRule="auto"/>
      <w:jc w:val="center"/>
      <w:rPr/>
    </w:pPr>
    <w:r w:rsidDel="00000000" w:rsidR="00000000" w:rsidRPr="00000000">
      <w:rPr>
        <w:i w:val="1"/>
        <w:iCs w:val="1"/>
        <w:color w:val="6b7380"/>
        <w:sz w:val="18"/>
        <w:szCs w:val="18"/>
        <w:rtl w:val="0"/>
      </w:rPr>
      <w:t xml:space="preserve">TOBB ETÜ · Bilgisayar / Yapay Zekâ Mühendisliğ</w:t>
    </w:r>
    <w:r w:rsidDel="00000000" w:rsidR="00000000" w:rsidRPr="00000000">
      <w:rPr>
        <w:rtl w:val="0"/>
      </w:rPr>
      <w:t xml:space="preserve">i</w:t>
    </w:r>
  </w:p>
  <w:p w:rsidR="00000000" w:rsidDel="00000000" w:rsidP="00000000" w:rsidRDefault="00000000" w:rsidRPr="00000000" w14:paraId="0000008D">
    <w:pPr>
      <w:tabs>
        <w:tab w:val="center" w:leader="none" w:pos="4680"/>
        <w:tab w:val="right" w:leader="none" w:pos="9360"/>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PKE-Plan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40" w:line="30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M3sjI6p44YF9fQUZI4cQ3P5nA==">CgMxLjAaHwoBMBIaChgICVIUChJ0YWJsZS5qdnJ2NThlbXRpM2waHwoBMRIaChgICVIUChJ0YWJsZS5mMnhhbXF3bGp6MGoyDmguYWozNzE5bjdrYm9wMg5oLnJzNmwzM3NtemJzZjIOaC5oc2R5bDM0dWpraHYyDmguYmF1ZTRreHhjcTVyMg5oLnQzMnVhZThtcThibzIOaC40bnF5eHRxY2hhMDkyDWgubTlxcDJocmd6dGEyDmguMnFsbDU4bnlxZ3RiMg5oLjhpZDA5ZmVucDhvYjgAciExaGJoV3B3b1JhbFREd0dEZDc1Tmpna3VqcnFRRUtTd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