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24"/>
      </w:tblGrid>
      <w:tr>
        <w:tc>
          <w:tcPr>
            <w:tcW w:type="dxa" w:w="10224"/>
            <w:shd w:fill="17324D"/>
            <w:tcMar>
              <w:top w:w="180" w:type="dxa"/>
              <w:start w:w="220" w:type="dxa"/>
              <w:bottom w:w="180" w:type="dxa"/>
              <w:end w:w="220" w:type="dxa"/>
            </w:tcMar>
          </w:tcPr>
          <w:p>
            <w:r>
              <w:rPr>
                <w:rFonts w:ascii="DejaVu Sans" w:hAnsi="DejaVu Sans"/>
                <w:b/>
                <w:color w:val="8ED1C8"/>
                <w:sz w:val="20"/>
              </w:rPr>
              <w:t>HARBOURSTONE FOUNDATION</w:t>
            </w:r>
          </w:p>
          <w:p>
            <w:pPr>
              <w:spacing w:after="80"/>
            </w:pPr>
            <w:r>
              <w:rPr>
                <w:rFonts w:ascii="DejaVu Sans" w:hAnsi="DejaVu Sans"/>
                <w:b/>
                <w:color w:val="FFFFFF"/>
                <w:sz w:val="54"/>
              </w:rPr>
              <w:t>Strategic portfolio recommendation</w:t>
            </w:r>
          </w:p>
          <w:p>
            <w:r>
              <w:rPr>
                <w:rFonts w:ascii="DejaVu Sans" w:hAnsi="DejaVu Sans"/>
                <w:color w:val="DCE7EA"/>
                <w:sz w:val="22"/>
              </w:rPr>
              <w:t>Investment committee memo  |  Credible v1</w:t>
            </w:r>
          </w:p>
        </w:tc>
      </w:tr>
    </w:tbl>
    <w:p>
      <w:pPr>
        <w:spacing w:after="60"/>
      </w:pPr>
    </w:p>
    <w:tbl>
      <w:tblPr>
        <w:tblW w:type="auto" w:w="0"/>
        <w:jc w:val="center"/>
        <w:tblLayout w:type="fixed"/>
        <w:tblLook w:firstColumn="1" w:firstRow="1" w:lastColumn="0" w:lastRow="0" w:noHBand="0" w:noVBand="1" w:val="04A0"/>
      </w:tblPr>
      <w:tblGrid>
        <w:gridCol w:w="10224"/>
      </w:tblGrid>
      <w:tr>
        <w:tc>
          <w:tcPr>
            <w:tcW w:type="dxa" w:w="9864"/>
            <w:shd w:fill="E7F0EE"/>
            <w:tcMar>
              <w:top w:w="120" w:type="dxa"/>
              <w:start w:w="170" w:type="dxa"/>
              <w:bottom w:w="120" w:type="dxa"/>
              <w:end w:w="170" w:type="dxa"/>
            </w:tcMar>
          </w:tcPr>
          <w:p>
            <w:pPr>
              <w:spacing w:after="60"/>
            </w:pPr>
            <w:r>
              <w:rPr>
                <w:rFonts w:ascii="DejaVu Sans" w:hAnsi="DejaVu Sans"/>
                <w:b/>
                <w:color w:val="0B6E69"/>
                <w:sz w:val="21"/>
              </w:rPr>
              <w:t>Recommendation</w:t>
            </w:r>
          </w:p>
          <w:p>
            <w:pPr>
              <w:spacing w:after="0" w:line="252" w:lineRule="auto"/>
            </w:pPr>
            <w:r>
              <w:rPr>
                <w:rFonts w:ascii="DejaVu Sans" w:hAnsi="DejaVu Sans"/>
                <w:color w:val="172A3A"/>
                <w:sz w:val="18"/>
              </w:rPr>
              <w:t>Advance the diversified policy portfolio for further due diligence: 35% global equities, 10% UK equities, 45% fixed income, 7% physical gold and 3% broad commodities. Do not implement it from the current evidence alone.</w:t>
            </w:r>
          </w:p>
        </w:tc>
      </w:tr>
    </w:tbl>
    <w:p>
      <w:pPr>
        <w:spacing w:after="0"/>
      </w:pPr>
    </w:p>
    <w:p>
      <w:pPr>
        <w:pStyle w:val="Heading1"/>
        <w:spacing w:before="180" w:after="80"/>
      </w:pPr>
      <w:r>
        <w:rPr>
          <w:rFonts w:ascii="DejaVu Sans" w:hAnsi="DejaVu Sans"/>
          <w:b/>
          <w:color w:val="17324D"/>
          <w:sz w:val="32"/>
        </w:rPr>
        <w:t>Decision basis</w:t>
      </w:r>
    </w:p>
    <w:p>
      <w:pPr>
        <w:spacing w:after="100" w:line="259" w:lineRule="auto"/>
      </w:pPr>
      <w:r>
        <w:rPr>
          <w:rFonts w:ascii="DejaVu Sans" w:hAnsi="DejaVu Sans"/>
          <w:color w:val="172A3A"/>
          <w:sz w:val="18"/>
        </w:rPr>
        <w:t>The proposed comparator satisfies the long-only, 40% asset-cap and 30% fixed-income rules while retaining all seven sleeves. It balances growth, defence and inflation-sensitive assets without copying an optimiser output.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888"/>
            <w:shd w:fill="17324D"/>
            <w:tcMar>
              <w:top w:w="90" w:type="dxa"/>
              <w:start w:w="110" w:type="dxa"/>
              <w:bottom w:w="90" w:type="dxa"/>
              <w:end w:w="110" w:type="dxa"/>
            </w:tcMar>
            <w:vAlign w:val="center"/>
          </w:tcPr>
          <w:p>
            <w:pPr>
              <w:jc w:val="left"/>
            </w:pPr>
            <w:r>
              <w:rPr>
                <w:rFonts w:ascii="DejaVu Sans" w:hAnsi="DejaVu Sans"/>
                <w:b/>
                <w:color w:val="FFFFFF"/>
                <w:sz w:val="16"/>
              </w:rPr>
              <w:t>Mandate</w:t>
            </w:r>
          </w:p>
        </w:tc>
        <w:tc>
          <w:tcPr>
            <w:tcW w:type="dxa" w:w="5976"/>
            <w:shd w:fill="17324D"/>
            <w:tcMar>
              <w:top w:w="90" w:type="dxa"/>
              <w:start w:w="110" w:type="dxa"/>
              <w:bottom w:w="90" w:type="dxa"/>
              <w:end w:w="110" w:type="dxa"/>
            </w:tcMar>
            <w:vAlign w:val="center"/>
          </w:tcPr>
          <w:p>
            <w:pPr>
              <w:jc w:val="left"/>
            </w:pPr>
            <w:r>
              <w:rPr>
                <w:rFonts w:ascii="DejaVu Sans" w:hAnsi="DejaVu Sans"/>
                <w:b/>
                <w:color w:val="FFFFFF"/>
                <w:sz w:val="16"/>
              </w:rPr>
              <w:t>Portfolio response</w:t>
            </w:r>
          </w:p>
        </w:tc>
      </w:tr>
      <w:tr>
        <w:trPr>
          <w:cantSplit/>
        </w:trPr>
        <w:tc>
          <w:tcPr>
            <w:tcW w:type="dxa" w:w="3888"/>
            <w:tcMar>
              <w:top w:w="90" w:type="dxa"/>
              <w:start w:w="110" w:type="dxa"/>
              <w:bottom w:w="90" w:type="dxa"/>
              <w:end w:w="110" w:type="dxa"/>
            </w:tcMar>
            <w:vAlign w:val="center"/>
          </w:tcPr>
          <w:p>
            <w:pPr>
              <w:spacing w:after="0"/>
            </w:pPr>
            <w:r>
              <w:rPr>
                <w:rFonts w:ascii="DejaVu Sans" w:hAnsi="DejaVu Sans"/>
                <w:color w:val="172A3A"/>
                <w:sz w:val="16"/>
              </w:rPr>
              <w:t>Seek CPI +3% over rolling five-year periods</w:t>
            </w:r>
          </w:p>
        </w:tc>
        <w:tc>
          <w:tcPr>
            <w:tcW w:type="dxa" w:w="5976"/>
            <w:tcMar>
              <w:top w:w="90" w:type="dxa"/>
              <w:start w:w="110" w:type="dxa"/>
              <w:bottom w:w="90" w:type="dxa"/>
              <w:end w:w="110" w:type="dxa"/>
            </w:tcMar>
            <w:vAlign w:val="center"/>
          </w:tcPr>
          <w:p>
            <w:pPr>
              <w:spacing w:after="0"/>
            </w:pPr>
            <w:r>
              <w:rPr>
                <w:rFonts w:ascii="DejaVu Sans" w:hAnsi="DejaVu Sans"/>
                <w:color w:val="172A3A"/>
                <w:sz w:val="16"/>
              </w:rPr>
              <w:t>45% equity growth allocation; objective remains untested</w:t>
            </w:r>
          </w:p>
        </w:tc>
      </w:tr>
      <w:tr>
        <w:trPr>
          <w:cantSplit/>
        </w:trPr>
        <w:tc>
          <w:tcPr>
            <w:tcW w:type="dxa" w:w="3888"/>
            <w:tcMar>
              <w:top w:w="90" w:type="dxa"/>
              <w:start w:w="110" w:type="dxa"/>
              <w:bottom w:w="90" w:type="dxa"/>
              <w:end w:w="110" w:type="dxa"/>
            </w:tcMar>
            <w:shd w:fill="F2F5F5"/>
            <w:vAlign w:val="center"/>
          </w:tcPr>
          <w:p>
            <w:pPr>
              <w:spacing w:after="0"/>
            </w:pPr>
            <w:r>
              <w:rPr>
                <w:rFonts w:ascii="DejaVu Sans" w:hAnsi="DejaVu Sans"/>
                <w:color w:val="172A3A"/>
                <w:sz w:val="16"/>
              </w:rPr>
              <w:t>Moderate risk and 15–20% drawdown reference</w:t>
            </w:r>
          </w:p>
        </w:tc>
        <w:tc>
          <w:tcPr>
            <w:tcW w:type="dxa" w:w="5976"/>
            <w:tcMar>
              <w:top w:w="90" w:type="dxa"/>
              <w:start w:w="110" w:type="dxa"/>
              <w:bottom w:w="90" w:type="dxa"/>
              <w:end w:w="110" w:type="dxa"/>
            </w:tcMar>
            <w:shd w:fill="F2F5F5"/>
            <w:vAlign w:val="center"/>
          </w:tcPr>
          <w:p>
            <w:pPr>
              <w:spacing w:after="0"/>
            </w:pPr>
            <w:r>
              <w:rPr>
                <w:rFonts w:ascii="DejaVu Sans" w:hAnsi="DejaVu Sans"/>
                <w:color w:val="172A3A"/>
                <w:sz w:val="16"/>
              </w:rPr>
              <w:t>45% fixed income; demonstration drawdown -15.4%</w:t>
            </w:r>
          </w:p>
        </w:tc>
      </w:tr>
      <w:tr>
        <w:trPr>
          <w:cantSplit/>
        </w:trPr>
        <w:tc>
          <w:tcPr>
            <w:tcW w:type="dxa" w:w="3888"/>
            <w:tcMar>
              <w:top w:w="90" w:type="dxa"/>
              <w:start w:w="110" w:type="dxa"/>
              <w:bottom w:w="90" w:type="dxa"/>
              <w:end w:w="110" w:type="dxa"/>
            </w:tcMar>
            <w:vAlign w:val="center"/>
          </w:tcPr>
          <w:p>
            <w:pPr>
              <w:spacing w:after="0"/>
            </w:pPr>
            <w:r>
              <w:rPr>
                <w:rFonts w:ascii="DejaVu Sans" w:hAnsi="DejaVu Sans"/>
                <w:color w:val="172A3A"/>
                <w:sz w:val="16"/>
              </w:rPr>
              <w:t>3% annual charitable spending</w:t>
            </w:r>
          </w:p>
        </w:tc>
        <w:tc>
          <w:tcPr>
            <w:tcW w:type="dxa" w:w="5976"/>
            <w:tcMar>
              <w:top w:w="90" w:type="dxa"/>
              <w:start w:w="110" w:type="dxa"/>
              <w:bottom w:w="90" w:type="dxa"/>
              <w:end w:w="110" w:type="dxa"/>
            </w:tcMar>
            <w:vAlign w:val="center"/>
          </w:tcPr>
          <w:p>
            <w:pPr>
              <w:spacing w:after="0"/>
            </w:pPr>
            <w:r>
              <w:rPr>
                <w:rFonts w:ascii="DejaVu Sans" w:hAnsi="DejaVu Sans"/>
                <w:color w:val="172A3A"/>
                <w:sz w:val="16"/>
              </w:rPr>
              <w:t>Publicly traded sleeves; separate grant reserve still required</w:t>
            </w:r>
          </w:p>
        </w:tc>
      </w:tr>
      <w:tr>
        <w:trPr>
          <w:cantSplit/>
        </w:trPr>
        <w:tc>
          <w:tcPr>
            <w:tcW w:type="dxa" w:w="3888"/>
            <w:tcMar>
              <w:top w:w="90" w:type="dxa"/>
              <w:start w:w="110" w:type="dxa"/>
              <w:bottom w:w="90" w:type="dxa"/>
              <w:end w:w="110" w:type="dxa"/>
            </w:tcMar>
            <w:shd w:fill="F2F5F5"/>
            <w:vAlign w:val="center"/>
          </w:tcPr>
          <w:p>
            <w:pPr>
              <w:spacing w:after="0"/>
            </w:pPr>
            <w:r>
              <w:rPr>
                <w:rFonts w:ascii="DejaVu Sans" w:hAnsi="DejaVu Sans"/>
                <w:color w:val="172A3A"/>
                <w:sz w:val="16"/>
              </w:rPr>
              <w:t>0–40% per asset and at least 30% fixed income</w:t>
            </w:r>
          </w:p>
        </w:tc>
        <w:tc>
          <w:tcPr>
            <w:tcW w:type="dxa" w:w="5976"/>
            <w:tcMar>
              <w:top w:w="90" w:type="dxa"/>
              <w:start w:w="110" w:type="dxa"/>
              <w:bottom w:w="90" w:type="dxa"/>
              <w:end w:w="110" w:type="dxa"/>
            </w:tcMar>
            <w:shd w:fill="F2F5F5"/>
            <w:vAlign w:val="center"/>
          </w:tcPr>
          <w:p>
            <w:pPr>
              <w:spacing w:after="0"/>
            </w:pPr>
            <w:r>
              <w:rPr>
                <w:rFonts w:ascii="DejaVu Sans" w:hAnsi="DejaVu Sans"/>
                <w:color w:val="172A3A"/>
                <w:sz w:val="16"/>
              </w:rPr>
              <w:t>Largest position 35%; fixed income 45%</w:t>
            </w:r>
          </w:p>
        </w:tc>
      </w:tr>
    </w:tbl>
    <w:p>
      <w:pPr>
        <w:spacing w:after="0"/>
      </w:pPr>
    </w:p>
    <w:tbl>
      <w:tblPr>
        <w:tblW w:type="auto" w:w="0"/>
        <w:jc w:val="center"/>
        <w:tblLayout w:type="fixed"/>
        <w:tblLook w:firstColumn="1" w:firstRow="1" w:lastColumn="0" w:lastRow="0" w:noHBand="0" w:noVBand="1" w:val="04A0"/>
      </w:tblPr>
      <w:tblGrid>
        <w:gridCol w:w="10224"/>
      </w:tblGrid>
      <w:tr>
        <w:tc>
          <w:tcPr>
            <w:tcW w:type="dxa" w:w="9864"/>
            <w:shd w:fill="F9E9DC"/>
            <w:tcMar>
              <w:top w:w="120" w:type="dxa"/>
              <w:start w:w="170" w:type="dxa"/>
              <w:bottom w:w="120" w:type="dxa"/>
              <w:end w:w="170" w:type="dxa"/>
            </w:tcMar>
          </w:tcPr>
          <w:p>
            <w:pPr>
              <w:spacing w:after="60"/>
            </w:pPr>
            <w:r>
              <w:rPr>
                <w:rFonts w:ascii="DejaVu Sans" w:hAnsi="DejaVu Sans"/>
                <w:b/>
                <w:color w:val="A65020"/>
                <w:sz w:val="21"/>
              </w:rPr>
              <w:t>Evidence boundary</w:t>
            </w:r>
          </w:p>
          <w:p>
            <w:pPr>
              <w:spacing w:after="0" w:line="252" w:lineRule="auto"/>
            </w:pPr>
            <w:r>
              <w:rPr>
                <w:rFonts w:ascii="DejaVu Sans" w:hAnsi="DejaVu Sans"/>
                <w:color w:val="172A3A"/>
                <w:sz w:val="18"/>
              </w:rPr>
              <w:t>Yahoo Finance rate-limited the live validation attempt on 23 September 2026. Every numerical finding in this memo uses deterministic synthetic data and demonstrates the workflow, not historical investment performance.</w:t>
            </w:r>
          </w:p>
        </w:tc>
      </w:tr>
    </w:tbl>
    <w:p>
      <w:pPr>
        <w:spacing w:after="0"/>
      </w:pPr>
    </w:p>
    <w:p>
      <w:pPr>
        <w:pStyle w:val="Heading1"/>
        <w:spacing w:before="180" w:after="80"/>
      </w:pPr>
      <w:r>
        <w:rPr>
          <w:rFonts w:ascii="DejaVu Sans" w:hAnsi="DejaVu Sans"/>
          <w:b/>
          <w:color w:val="17324D"/>
          <w:sz w:val="32"/>
        </w:rPr>
        <w:t>Committee decision</w:t>
      </w:r>
    </w:p>
    <w:p>
      <w:pPr>
        <w:spacing w:after="100" w:line="259" w:lineRule="auto"/>
      </w:pPr>
      <w:r>
        <w:rPr>
          <w:rFonts w:ascii="DejaVu Sans" w:hAnsi="DejaVu Sans"/>
          <w:color w:val="172A3A"/>
          <w:sz w:val="20"/>
        </w:rPr>
        <w:t>Approve the diversified policy allocation only as the next research baseline. Require validated live prices, CPI history, costs, cash-reserve design and governance controls before considering implementation.</w:t>
      </w:r>
    </w:p>
    <w:p>
      <w:pPr>
        <w:pageBreakBefore/>
        <w:spacing w:after="20"/>
      </w:pPr>
      <w:r>
        <w:rPr>
          <w:rFonts w:ascii="DejaVu Sans" w:hAnsi="DejaVu Sans"/>
          <w:b/>
          <w:color w:val="0B6E69"/>
          <w:sz w:val="20"/>
        </w:rPr>
        <w:t>02</w:t>
      </w:r>
    </w:p>
    <w:p>
      <w:pPr>
        <w:spacing w:after="40"/>
      </w:pPr>
      <w:r>
        <w:rPr>
          <w:rFonts w:ascii="DejaVu Sans" w:hAnsi="DejaVu Sans"/>
          <w:b/>
          <w:color w:val="17324D"/>
          <w:sz w:val="46"/>
        </w:rPr>
        <w:t>Demonstration evidence</w:t>
      </w:r>
    </w:p>
    <w:p>
      <w:pPr>
        <w:spacing w:after="200"/>
      </w:pPr>
      <w:r>
        <w:rPr>
          <w:rFonts w:ascii="DejaVu Sans" w:hAnsi="DejaVu Sans"/>
          <w:color w:val="687783"/>
          <w:sz w:val="19"/>
        </w:rPr>
        <w:t>Deterministic synthetic sample  |  2 January 2018 to 22 September 2026</w:t>
      </w:r>
    </w:p>
    <w:tbl>
      <w:tblPr>
        <w:tblStyle w:val="TableGrid"/>
        <w:tblW w:type="auto" w:w="0"/>
        <w:jc w:val="center"/>
        <w:tblLayout w:type="fixed"/>
        <w:tblLook w:firstColumn="1" w:firstRow="1" w:lastColumn="0" w:lastRow="0" w:noHBand="0" w:noVBand="1" w:val="04A0"/>
      </w:tblPr>
      <w:tblGrid>
        <w:gridCol w:w="1704"/>
        <w:gridCol w:w="1704"/>
        <w:gridCol w:w="1704"/>
        <w:gridCol w:w="1704"/>
        <w:gridCol w:w="1704"/>
        <w:gridCol w:w="1704"/>
      </w:tblGrid>
      <w:tr>
        <w:trPr>
          <w:tblHeader w:val="true"/>
        </w:trPr>
        <w:tc>
          <w:tcPr>
            <w:tcW w:type="dxa" w:w="2448"/>
            <w:shd w:fill="17324D"/>
            <w:tcMar>
              <w:top w:w="90" w:type="dxa"/>
              <w:start w:w="110" w:type="dxa"/>
              <w:bottom w:w="90" w:type="dxa"/>
              <w:end w:w="110" w:type="dxa"/>
            </w:tcMar>
            <w:vAlign w:val="center"/>
          </w:tcPr>
          <w:p>
            <w:pPr>
              <w:jc w:val="left"/>
            </w:pPr>
            <w:r>
              <w:rPr>
                <w:rFonts w:ascii="DejaVu Sans" w:hAnsi="DejaVu Sans"/>
                <w:b/>
                <w:color w:val="FFFFFF"/>
                <w:sz w:val="15"/>
              </w:rPr>
              <w:t>Portfolio</w:t>
            </w:r>
          </w:p>
        </w:tc>
        <w:tc>
          <w:tcPr>
            <w:tcW w:type="dxa" w:w="1152"/>
            <w:shd w:fill="17324D"/>
            <w:tcMar>
              <w:top w:w="90" w:type="dxa"/>
              <w:start w:w="110" w:type="dxa"/>
              <w:bottom w:w="90" w:type="dxa"/>
              <w:end w:w="110" w:type="dxa"/>
            </w:tcMar>
            <w:vAlign w:val="center"/>
          </w:tcPr>
          <w:p>
            <w:pPr>
              <w:jc w:val="left"/>
            </w:pPr>
            <w:r>
              <w:rPr>
                <w:rFonts w:ascii="DejaVu Sans" w:hAnsi="DejaVu Sans"/>
                <w:b/>
                <w:color w:val="FFFFFF"/>
                <w:sz w:val="15"/>
              </w:rPr>
              <w:t>CAGR</w:t>
            </w:r>
          </w:p>
        </w:tc>
        <w:tc>
          <w:tcPr>
            <w:tcW w:type="dxa" w:w="1296"/>
            <w:shd w:fill="17324D"/>
            <w:tcMar>
              <w:top w:w="90" w:type="dxa"/>
              <w:start w:w="110" w:type="dxa"/>
              <w:bottom w:w="90" w:type="dxa"/>
              <w:end w:w="110" w:type="dxa"/>
            </w:tcMar>
            <w:vAlign w:val="center"/>
          </w:tcPr>
          <w:p>
            <w:pPr>
              <w:jc w:val="left"/>
            </w:pPr>
            <w:r>
              <w:rPr>
                <w:rFonts w:ascii="DejaVu Sans" w:hAnsi="DejaVu Sans"/>
                <w:b/>
                <w:color w:val="FFFFFF"/>
                <w:sz w:val="15"/>
              </w:rPr>
              <w:t>Volatility</w:t>
            </w:r>
          </w:p>
        </w:tc>
        <w:tc>
          <w:tcPr>
            <w:tcW w:type="dxa" w:w="936"/>
            <w:shd w:fill="17324D"/>
            <w:tcMar>
              <w:top w:w="90" w:type="dxa"/>
              <w:start w:w="110" w:type="dxa"/>
              <w:bottom w:w="90" w:type="dxa"/>
              <w:end w:w="110" w:type="dxa"/>
            </w:tcMar>
            <w:vAlign w:val="center"/>
          </w:tcPr>
          <w:p>
            <w:pPr>
              <w:jc w:val="left"/>
            </w:pPr>
            <w:r>
              <w:rPr>
                <w:rFonts w:ascii="DejaVu Sans" w:hAnsi="DejaVu Sans"/>
                <w:b/>
                <w:color w:val="FFFFFF"/>
                <w:sz w:val="15"/>
              </w:rPr>
              <w:t>Sharpe</w:t>
            </w:r>
          </w:p>
        </w:tc>
        <w:tc>
          <w:tcPr>
            <w:tcW w:type="dxa" w:w="1440"/>
            <w:shd w:fill="17324D"/>
            <w:tcMar>
              <w:top w:w="90" w:type="dxa"/>
              <w:start w:w="110" w:type="dxa"/>
              <w:bottom w:w="90" w:type="dxa"/>
              <w:end w:w="110" w:type="dxa"/>
            </w:tcMar>
            <w:vAlign w:val="center"/>
          </w:tcPr>
          <w:p>
            <w:pPr>
              <w:jc w:val="left"/>
            </w:pPr>
            <w:r>
              <w:rPr>
                <w:rFonts w:ascii="DejaVu Sans" w:hAnsi="DejaVu Sans"/>
                <w:b/>
                <w:color w:val="FFFFFF"/>
                <w:sz w:val="15"/>
              </w:rPr>
              <w:t>Max drawdown</w:t>
            </w:r>
          </w:p>
        </w:tc>
        <w:tc>
          <w:tcPr>
            <w:tcW w:type="dxa" w:w="1512"/>
            <w:shd w:fill="17324D"/>
            <w:tcMar>
              <w:top w:w="90" w:type="dxa"/>
              <w:start w:w="110" w:type="dxa"/>
              <w:bottom w:w="90" w:type="dxa"/>
              <w:end w:w="110" w:type="dxa"/>
            </w:tcMar>
            <w:vAlign w:val="center"/>
          </w:tcPr>
          <w:p>
            <w:pPr>
              <w:jc w:val="left"/>
            </w:pPr>
            <w:r>
              <w:rPr>
                <w:rFonts w:ascii="DejaVu Sans" w:hAnsi="DejaVu Sans"/>
                <w:b/>
                <w:color w:val="FFFFFF"/>
                <w:sz w:val="15"/>
              </w:rPr>
              <w:t>95% daily ES</w:t>
            </w:r>
          </w:p>
        </w:tc>
      </w:tr>
      <w:tr>
        <w:trPr>
          <w:cantSplit/>
        </w:trPr>
        <w:tc>
          <w:tcPr>
            <w:tcW w:type="dxa" w:w="2448"/>
            <w:tcMar>
              <w:top w:w="90" w:type="dxa"/>
              <w:start w:w="110" w:type="dxa"/>
              <w:bottom w:w="90" w:type="dxa"/>
              <w:end w:w="110" w:type="dxa"/>
            </w:tcMar>
            <w:vAlign w:val="center"/>
          </w:tcPr>
          <w:p>
            <w:pPr>
              <w:spacing w:after="0"/>
            </w:pPr>
            <w:r>
              <w:rPr>
                <w:rFonts w:ascii="DejaVu Sans" w:hAnsi="DejaVu Sans"/>
                <w:color w:val="172A3A"/>
                <w:sz w:val="15"/>
              </w:rPr>
              <w:t>Equal weight</w:t>
            </w:r>
          </w:p>
        </w:tc>
        <w:tc>
          <w:tcPr>
            <w:tcW w:type="dxa" w:w="1152"/>
            <w:tcMar>
              <w:top w:w="90" w:type="dxa"/>
              <w:start w:w="110" w:type="dxa"/>
              <w:bottom w:w="90" w:type="dxa"/>
              <w:end w:w="110" w:type="dxa"/>
            </w:tcMar>
            <w:vAlign w:val="center"/>
          </w:tcPr>
          <w:p>
            <w:pPr>
              <w:spacing w:after="0"/>
            </w:pPr>
            <w:r>
              <w:rPr>
                <w:rFonts w:ascii="DejaVu Sans" w:hAnsi="DejaVu Sans"/>
                <w:color w:val="172A3A"/>
                <w:sz w:val="15"/>
              </w:rPr>
              <w:t>1.6%</w:t>
            </w:r>
          </w:p>
        </w:tc>
        <w:tc>
          <w:tcPr>
            <w:tcW w:type="dxa" w:w="1296"/>
            <w:tcMar>
              <w:top w:w="90" w:type="dxa"/>
              <w:start w:w="110" w:type="dxa"/>
              <w:bottom w:w="90" w:type="dxa"/>
              <w:end w:w="110" w:type="dxa"/>
            </w:tcMar>
            <w:vAlign w:val="center"/>
          </w:tcPr>
          <w:p>
            <w:pPr>
              <w:spacing w:after="0"/>
            </w:pPr>
            <w:r>
              <w:rPr>
                <w:rFonts w:ascii="DejaVu Sans" w:hAnsi="DejaVu Sans"/>
                <w:color w:val="172A3A"/>
                <w:sz w:val="15"/>
              </w:rPr>
              <w:t>7.4%</w:t>
            </w:r>
          </w:p>
        </w:tc>
        <w:tc>
          <w:tcPr>
            <w:tcW w:type="dxa" w:w="936"/>
            <w:tcMar>
              <w:top w:w="90" w:type="dxa"/>
              <w:start w:w="110" w:type="dxa"/>
              <w:bottom w:w="90" w:type="dxa"/>
              <w:end w:w="110" w:type="dxa"/>
            </w:tcMar>
            <w:vAlign w:val="center"/>
          </w:tcPr>
          <w:p>
            <w:pPr>
              <w:spacing w:after="0"/>
            </w:pPr>
            <w:r>
              <w:rPr>
                <w:rFonts w:ascii="DejaVu Sans" w:hAnsi="DejaVu Sans"/>
                <w:color w:val="172A3A"/>
                <w:sz w:val="15"/>
              </w:rPr>
              <w:t>0.20</w:t>
            </w:r>
          </w:p>
        </w:tc>
        <w:tc>
          <w:tcPr>
            <w:tcW w:type="dxa" w:w="1440"/>
            <w:tcMar>
              <w:top w:w="90" w:type="dxa"/>
              <w:start w:w="110" w:type="dxa"/>
              <w:bottom w:w="90" w:type="dxa"/>
              <w:end w:w="110" w:type="dxa"/>
            </w:tcMar>
            <w:vAlign w:val="center"/>
          </w:tcPr>
          <w:p>
            <w:pPr>
              <w:spacing w:after="0"/>
            </w:pPr>
            <w:r>
              <w:rPr>
                <w:rFonts w:ascii="DejaVu Sans" w:hAnsi="DejaVu Sans"/>
                <w:color w:val="172A3A"/>
                <w:sz w:val="15"/>
              </w:rPr>
              <w:t>-27.3%</w:t>
            </w:r>
          </w:p>
        </w:tc>
        <w:tc>
          <w:tcPr>
            <w:tcW w:type="dxa" w:w="1512"/>
            <w:tcMar>
              <w:top w:w="90" w:type="dxa"/>
              <w:start w:w="110" w:type="dxa"/>
              <w:bottom w:w="90" w:type="dxa"/>
              <w:end w:w="110" w:type="dxa"/>
            </w:tcMar>
            <w:vAlign w:val="center"/>
          </w:tcPr>
          <w:p>
            <w:pPr>
              <w:spacing w:after="0"/>
            </w:pPr>
            <w:r>
              <w:rPr>
                <w:rFonts w:ascii="DejaVu Sans" w:hAnsi="DejaVu Sans"/>
                <w:color w:val="172A3A"/>
                <w:sz w:val="15"/>
              </w:rPr>
              <w:t>0.95%</w:t>
            </w:r>
          </w:p>
        </w:tc>
      </w:tr>
      <w:tr>
        <w:trPr>
          <w:cantSplit/>
        </w:trPr>
        <w:tc>
          <w:tcPr>
            <w:tcW w:type="dxa" w:w="2448"/>
            <w:tcMar>
              <w:top w:w="90" w:type="dxa"/>
              <w:start w:w="110" w:type="dxa"/>
              <w:bottom w:w="90" w:type="dxa"/>
              <w:end w:w="110" w:type="dxa"/>
            </w:tcMar>
            <w:shd w:fill="F2F5F5"/>
            <w:vAlign w:val="center"/>
          </w:tcPr>
          <w:p>
            <w:pPr>
              <w:spacing w:after="0"/>
            </w:pPr>
            <w:r>
              <w:rPr>
                <w:rFonts w:ascii="DejaVu Sans" w:hAnsi="DejaVu Sans"/>
                <w:color w:val="172A3A"/>
                <w:sz w:val="15"/>
              </w:rPr>
              <w:t>60/40 reference</w:t>
            </w:r>
          </w:p>
        </w:tc>
        <w:tc>
          <w:tcPr>
            <w:tcW w:type="dxa" w:w="1152"/>
            <w:tcMar>
              <w:top w:w="90" w:type="dxa"/>
              <w:start w:w="110" w:type="dxa"/>
              <w:bottom w:w="90" w:type="dxa"/>
              <w:end w:w="110" w:type="dxa"/>
            </w:tcMar>
            <w:shd w:fill="F2F5F5"/>
            <w:vAlign w:val="center"/>
          </w:tcPr>
          <w:p>
            <w:pPr>
              <w:spacing w:after="0"/>
            </w:pPr>
            <w:r>
              <w:rPr>
                <w:rFonts w:ascii="DejaVu Sans" w:hAnsi="DejaVu Sans"/>
                <w:color w:val="172A3A"/>
                <w:sz w:val="15"/>
              </w:rPr>
              <w:t>4.6%</w:t>
            </w:r>
          </w:p>
        </w:tc>
        <w:tc>
          <w:tcPr>
            <w:tcW w:type="dxa" w:w="1296"/>
            <w:tcMar>
              <w:top w:w="90" w:type="dxa"/>
              <w:start w:w="110" w:type="dxa"/>
              <w:bottom w:w="90" w:type="dxa"/>
              <w:end w:w="110" w:type="dxa"/>
            </w:tcMar>
            <w:shd w:fill="F2F5F5"/>
            <w:vAlign w:val="center"/>
          </w:tcPr>
          <w:p>
            <w:pPr>
              <w:spacing w:after="0"/>
            </w:pPr>
            <w:r>
              <w:rPr>
                <w:rFonts w:ascii="DejaVu Sans" w:hAnsi="DejaVu Sans"/>
                <w:color w:val="172A3A"/>
                <w:sz w:val="15"/>
              </w:rPr>
              <w:t>9.9%</w:t>
            </w:r>
          </w:p>
        </w:tc>
        <w:tc>
          <w:tcPr>
            <w:tcW w:type="dxa" w:w="936"/>
            <w:tcMar>
              <w:top w:w="90" w:type="dxa"/>
              <w:start w:w="110" w:type="dxa"/>
              <w:bottom w:w="90" w:type="dxa"/>
              <w:end w:w="110" w:type="dxa"/>
            </w:tcMar>
            <w:shd w:fill="F2F5F5"/>
            <w:vAlign w:val="center"/>
          </w:tcPr>
          <w:p>
            <w:pPr>
              <w:spacing w:after="0"/>
            </w:pPr>
            <w:r>
              <w:rPr>
                <w:rFonts w:ascii="DejaVu Sans" w:hAnsi="DejaVu Sans"/>
                <w:color w:val="172A3A"/>
                <w:sz w:val="15"/>
              </w:rPr>
              <w:t>0.47</w:t>
            </w:r>
          </w:p>
        </w:tc>
        <w:tc>
          <w:tcPr>
            <w:tcW w:type="dxa" w:w="1440"/>
            <w:tcMar>
              <w:top w:w="90" w:type="dxa"/>
              <w:start w:w="110" w:type="dxa"/>
              <w:bottom w:w="90" w:type="dxa"/>
              <w:end w:w="110" w:type="dxa"/>
            </w:tcMar>
            <w:shd w:fill="F2F5F5"/>
            <w:vAlign w:val="center"/>
          </w:tcPr>
          <w:p>
            <w:pPr>
              <w:spacing w:after="0"/>
            </w:pPr>
            <w:r>
              <w:rPr>
                <w:rFonts w:ascii="DejaVu Sans" w:hAnsi="DejaVu Sans"/>
                <w:color w:val="172A3A"/>
                <w:sz w:val="15"/>
              </w:rPr>
              <w:t>-17.1%</w:t>
            </w:r>
          </w:p>
        </w:tc>
        <w:tc>
          <w:tcPr>
            <w:tcW w:type="dxa" w:w="1512"/>
            <w:tcMar>
              <w:top w:w="90" w:type="dxa"/>
              <w:start w:w="110" w:type="dxa"/>
              <w:bottom w:w="90" w:type="dxa"/>
              <w:end w:w="110" w:type="dxa"/>
            </w:tcMar>
            <w:shd w:fill="F2F5F5"/>
            <w:vAlign w:val="center"/>
          </w:tcPr>
          <w:p>
            <w:pPr>
              <w:spacing w:after="0"/>
            </w:pPr>
            <w:r>
              <w:rPr>
                <w:rFonts w:ascii="DejaVu Sans" w:hAnsi="DejaVu Sans"/>
                <w:color w:val="172A3A"/>
                <w:sz w:val="15"/>
              </w:rPr>
              <w:t>1.28%</w:t>
            </w:r>
          </w:p>
        </w:tc>
      </w:tr>
      <w:tr>
        <w:trPr>
          <w:cantSplit/>
        </w:trPr>
        <w:tc>
          <w:tcPr>
            <w:tcW w:type="dxa" w:w="2448"/>
            <w:tcMar>
              <w:top w:w="90" w:type="dxa"/>
              <w:start w:w="110" w:type="dxa"/>
              <w:bottom w:w="90" w:type="dxa"/>
              <w:end w:w="110" w:type="dxa"/>
            </w:tcMar>
            <w:vAlign w:val="center"/>
          </w:tcPr>
          <w:p>
            <w:pPr>
              <w:spacing w:after="0"/>
            </w:pPr>
            <w:r>
              <w:rPr>
                <w:rFonts w:ascii="DejaVu Sans" w:hAnsi="DejaVu Sans"/>
                <w:color w:val="172A3A"/>
                <w:sz w:val="15"/>
              </w:rPr>
              <w:t>Diversified policy</w:t>
            </w:r>
          </w:p>
        </w:tc>
        <w:tc>
          <w:tcPr>
            <w:tcW w:type="dxa" w:w="1152"/>
            <w:tcMar>
              <w:top w:w="90" w:type="dxa"/>
              <w:start w:w="110" w:type="dxa"/>
              <w:bottom w:w="90" w:type="dxa"/>
              <w:end w:w="110" w:type="dxa"/>
            </w:tcMar>
            <w:vAlign w:val="center"/>
          </w:tcPr>
          <w:p>
            <w:pPr>
              <w:spacing w:after="0"/>
            </w:pPr>
            <w:r>
              <w:rPr>
                <w:rFonts w:ascii="DejaVu Sans" w:hAnsi="DejaVu Sans"/>
                <w:color w:val="172A3A"/>
                <w:sz w:val="15"/>
              </w:rPr>
              <w:t>3.9%</w:t>
            </w:r>
          </w:p>
        </w:tc>
        <w:tc>
          <w:tcPr>
            <w:tcW w:type="dxa" w:w="1296"/>
            <w:tcMar>
              <w:top w:w="90" w:type="dxa"/>
              <w:start w:w="110" w:type="dxa"/>
              <w:bottom w:w="90" w:type="dxa"/>
              <w:end w:w="110" w:type="dxa"/>
            </w:tcMar>
            <w:vAlign w:val="center"/>
          </w:tcPr>
          <w:p>
            <w:pPr>
              <w:spacing w:after="0"/>
            </w:pPr>
            <w:r>
              <w:rPr>
                <w:rFonts w:ascii="DejaVu Sans" w:hAnsi="DejaVu Sans"/>
                <w:color w:val="172A3A"/>
                <w:sz w:val="15"/>
              </w:rPr>
              <w:t>8.0%</w:t>
            </w:r>
          </w:p>
        </w:tc>
        <w:tc>
          <w:tcPr>
            <w:tcW w:type="dxa" w:w="936"/>
            <w:tcMar>
              <w:top w:w="90" w:type="dxa"/>
              <w:start w:w="110" w:type="dxa"/>
              <w:bottom w:w="90" w:type="dxa"/>
              <w:end w:w="110" w:type="dxa"/>
            </w:tcMar>
            <w:vAlign w:val="center"/>
          </w:tcPr>
          <w:p>
            <w:pPr>
              <w:spacing w:after="0"/>
            </w:pPr>
            <w:r>
              <w:rPr>
                <w:rFonts w:ascii="DejaVu Sans" w:hAnsi="DejaVu Sans"/>
                <w:color w:val="172A3A"/>
                <w:sz w:val="15"/>
              </w:rPr>
              <w:t>0.48</w:t>
            </w:r>
          </w:p>
        </w:tc>
        <w:tc>
          <w:tcPr>
            <w:tcW w:type="dxa" w:w="1440"/>
            <w:tcMar>
              <w:top w:w="90" w:type="dxa"/>
              <w:start w:w="110" w:type="dxa"/>
              <w:bottom w:w="90" w:type="dxa"/>
              <w:end w:w="110" w:type="dxa"/>
            </w:tcMar>
            <w:vAlign w:val="center"/>
          </w:tcPr>
          <w:p>
            <w:pPr>
              <w:spacing w:after="0"/>
            </w:pPr>
            <w:r>
              <w:rPr>
                <w:rFonts w:ascii="DejaVu Sans" w:hAnsi="DejaVu Sans"/>
                <w:color w:val="172A3A"/>
                <w:sz w:val="15"/>
              </w:rPr>
              <w:t>-15.4%</w:t>
            </w:r>
          </w:p>
        </w:tc>
        <w:tc>
          <w:tcPr>
            <w:tcW w:type="dxa" w:w="1512"/>
            <w:tcMar>
              <w:top w:w="90" w:type="dxa"/>
              <w:start w:w="110" w:type="dxa"/>
              <w:bottom w:w="90" w:type="dxa"/>
              <w:end w:w="110" w:type="dxa"/>
            </w:tcMar>
            <w:vAlign w:val="center"/>
          </w:tcPr>
          <w:p>
            <w:pPr>
              <w:spacing w:after="0"/>
            </w:pPr>
            <w:r>
              <w:rPr>
                <w:rFonts w:ascii="DejaVu Sans" w:hAnsi="DejaVu Sans"/>
                <w:color w:val="172A3A"/>
                <w:sz w:val="15"/>
              </w:rPr>
              <w:t>1.03%</w:t>
            </w:r>
          </w:p>
        </w:tc>
      </w:tr>
      <w:tr>
        <w:trPr>
          <w:cantSplit/>
        </w:trPr>
        <w:tc>
          <w:tcPr>
            <w:tcW w:type="dxa" w:w="2448"/>
            <w:tcMar>
              <w:top w:w="90" w:type="dxa"/>
              <w:start w:w="110" w:type="dxa"/>
              <w:bottom w:w="90" w:type="dxa"/>
              <w:end w:w="110" w:type="dxa"/>
            </w:tcMar>
            <w:shd w:fill="F2F5F5"/>
            <w:vAlign w:val="center"/>
          </w:tcPr>
          <w:p>
            <w:pPr>
              <w:spacing w:after="0"/>
            </w:pPr>
            <w:r>
              <w:rPr>
                <w:rFonts w:ascii="DejaVu Sans" w:hAnsi="DejaVu Sans"/>
                <w:color w:val="172A3A"/>
                <w:sz w:val="15"/>
              </w:rPr>
              <w:t>Minimum variance</w:t>
            </w:r>
          </w:p>
        </w:tc>
        <w:tc>
          <w:tcPr>
            <w:tcW w:type="dxa" w:w="1152"/>
            <w:tcMar>
              <w:top w:w="90" w:type="dxa"/>
              <w:start w:w="110" w:type="dxa"/>
              <w:bottom w:w="90" w:type="dxa"/>
              <w:end w:w="110" w:type="dxa"/>
            </w:tcMar>
            <w:shd w:fill="F2F5F5"/>
            <w:vAlign w:val="center"/>
          </w:tcPr>
          <w:p>
            <w:pPr>
              <w:spacing w:after="0"/>
            </w:pPr>
            <w:r>
              <w:rPr>
                <w:rFonts w:ascii="DejaVu Sans" w:hAnsi="DejaVu Sans"/>
                <w:color w:val="172A3A"/>
                <w:sz w:val="15"/>
              </w:rPr>
              <w:t>2.3%</w:t>
            </w:r>
          </w:p>
        </w:tc>
        <w:tc>
          <w:tcPr>
            <w:tcW w:type="dxa" w:w="1296"/>
            <w:tcMar>
              <w:top w:w="90" w:type="dxa"/>
              <w:start w:w="110" w:type="dxa"/>
              <w:bottom w:w="90" w:type="dxa"/>
              <w:end w:w="110" w:type="dxa"/>
            </w:tcMar>
            <w:shd w:fill="F2F5F5"/>
            <w:vAlign w:val="center"/>
          </w:tcPr>
          <w:p>
            <w:pPr>
              <w:spacing w:after="0"/>
            </w:pPr>
            <w:r>
              <w:rPr>
                <w:rFonts w:ascii="DejaVu Sans" w:hAnsi="DejaVu Sans"/>
                <w:color w:val="172A3A"/>
                <w:sz w:val="15"/>
              </w:rPr>
              <w:t>5.6%</w:t>
            </w:r>
          </w:p>
        </w:tc>
        <w:tc>
          <w:tcPr>
            <w:tcW w:type="dxa" w:w="936"/>
            <w:tcMar>
              <w:top w:w="90" w:type="dxa"/>
              <w:start w:w="110" w:type="dxa"/>
              <w:bottom w:w="90" w:type="dxa"/>
              <w:end w:w="110" w:type="dxa"/>
            </w:tcMar>
            <w:shd w:fill="F2F5F5"/>
            <w:vAlign w:val="center"/>
          </w:tcPr>
          <w:p>
            <w:pPr>
              <w:spacing w:after="0"/>
            </w:pPr>
            <w:r>
              <w:rPr>
                <w:rFonts w:ascii="DejaVu Sans" w:hAnsi="DejaVu Sans"/>
                <w:color w:val="172A3A"/>
                <w:sz w:val="15"/>
              </w:rPr>
              <w:t>0.37</w:t>
            </w:r>
          </w:p>
        </w:tc>
        <w:tc>
          <w:tcPr>
            <w:tcW w:type="dxa" w:w="1440"/>
            <w:tcMar>
              <w:top w:w="90" w:type="dxa"/>
              <w:start w:w="110" w:type="dxa"/>
              <w:bottom w:w="90" w:type="dxa"/>
              <w:end w:w="110" w:type="dxa"/>
            </w:tcMar>
            <w:shd w:fill="F2F5F5"/>
            <w:vAlign w:val="center"/>
          </w:tcPr>
          <w:p>
            <w:pPr>
              <w:spacing w:after="0"/>
            </w:pPr>
            <w:r>
              <w:rPr>
                <w:rFonts w:ascii="DejaVu Sans" w:hAnsi="DejaVu Sans"/>
                <w:color w:val="172A3A"/>
                <w:sz w:val="15"/>
              </w:rPr>
              <w:t>-16.8%</w:t>
            </w:r>
          </w:p>
        </w:tc>
        <w:tc>
          <w:tcPr>
            <w:tcW w:type="dxa" w:w="1512"/>
            <w:tcMar>
              <w:top w:w="90" w:type="dxa"/>
              <w:start w:w="110" w:type="dxa"/>
              <w:bottom w:w="90" w:type="dxa"/>
              <w:end w:w="110" w:type="dxa"/>
            </w:tcMar>
            <w:shd w:fill="F2F5F5"/>
            <w:vAlign w:val="center"/>
          </w:tcPr>
          <w:p>
            <w:pPr>
              <w:spacing w:after="0"/>
            </w:pPr>
            <w:r>
              <w:rPr>
                <w:rFonts w:ascii="DejaVu Sans" w:hAnsi="DejaVu Sans"/>
                <w:color w:val="172A3A"/>
                <w:sz w:val="15"/>
              </w:rPr>
              <w:t>0.72%</w:t>
            </w:r>
          </w:p>
        </w:tc>
      </w:tr>
      <w:tr>
        <w:trPr>
          <w:cantSplit/>
        </w:trPr>
        <w:tc>
          <w:tcPr>
            <w:tcW w:type="dxa" w:w="2448"/>
            <w:tcMar>
              <w:top w:w="90" w:type="dxa"/>
              <w:start w:w="110" w:type="dxa"/>
              <w:bottom w:w="90" w:type="dxa"/>
              <w:end w:w="110" w:type="dxa"/>
            </w:tcMar>
            <w:vAlign w:val="center"/>
          </w:tcPr>
          <w:p>
            <w:pPr>
              <w:spacing w:after="0"/>
            </w:pPr>
            <w:r>
              <w:rPr>
                <w:rFonts w:ascii="DejaVu Sans" w:hAnsi="DejaVu Sans"/>
                <w:color w:val="172A3A"/>
                <w:sz w:val="15"/>
              </w:rPr>
              <w:t>Maximum Sharpe</w:t>
            </w:r>
          </w:p>
        </w:tc>
        <w:tc>
          <w:tcPr>
            <w:tcW w:type="dxa" w:w="1152"/>
            <w:tcMar>
              <w:top w:w="90" w:type="dxa"/>
              <w:start w:w="110" w:type="dxa"/>
              <w:bottom w:w="90" w:type="dxa"/>
              <w:end w:w="110" w:type="dxa"/>
            </w:tcMar>
            <w:vAlign w:val="center"/>
          </w:tcPr>
          <w:p>
            <w:pPr>
              <w:spacing w:after="0"/>
            </w:pPr>
            <w:r>
              <w:rPr>
                <w:rFonts w:ascii="DejaVu Sans" w:hAnsi="DejaVu Sans"/>
                <w:color w:val="172A3A"/>
                <w:sz w:val="15"/>
              </w:rPr>
              <w:t>4.4%</w:t>
            </w:r>
          </w:p>
        </w:tc>
        <w:tc>
          <w:tcPr>
            <w:tcW w:type="dxa" w:w="1296"/>
            <w:tcMar>
              <w:top w:w="90" w:type="dxa"/>
              <w:start w:w="110" w:type="dxa"/>
              <w:bottom w:w="90" w:type="dxa"/>
              <w:end w:w="110" w:type="dxa"/>
            </w:tcMar>
            <w:vAlign w:val="center"/>
          </w:tcPr>
          <w:p>
            <w:pPr>
              <w:spacing w:after="0"/>
            </w:pPr>
            <w:r>
              <w:rPr>
                <w:rFonts w:ascii="DejaVu Sans" w:hAnsi="DejaVu Sans"/>
                <w:color w:val="172A3A"/>
                <w:sz w:val="15"/>
              </w:rPr>
              <w:t>7.0%</w:t>
            </w:r>
          </w:p>
        </w:tc>
        <w:tc>
          <w:tcPr>
            <w:tcW w:type="dxa" w:w="936"/>
            <w:tcMar>
              <w:top w:w="90" w:type="dxa"/>
              <w:start w:w="110" w:type="dxa"/>
              <w:bottom w:w="90" w:type="dxa"/>
              <w:end w:w="110" w:type="dxa"/>
            </w:tcMar>
            <w:vAlign w:val="center"/>
          </w:tcPr>
          <w:p>
            <w:pPr>
              <w:spacing w:after="0"/>
            </w:pPr>
            <w:r>
              <w:rPr>
                <w:rFonts w:ascii="DejaVu Sans" w:hAnsi="DejaVu Sans"/>
                <w:color w:val="172A3A"/>
                <w:sz w:val="15"/>
              </w:rPr>
              <w:t>0.61</w:t>
            </w:r>
          </w:p>
        </w:tc>
        <w:tc>
          <w:tcPr>
            <w:tcW w:type="dxa" w:w="1440"/>
            <w:tcMar>
              <w:top w:w="90" w:type="dxa"/>
              <w:start w:w="110" w:type="dxa"/>
              <w:bottom w:w="90" w:type="dxa"/>
              <w:end w:w="110" w:type="dxa"/>
            </w:tcMar>
            <w:vAlign w:val="center"/>
          </w:tcPr>
          <w:p>
            <w:pPr>
              <w:spacing w:after="0"/>
            </w:pPr>
            <w:r>
              <w:rPr>
                <w:rFonts w:ascii="DejaVu Sans" w:hAnsi="DejaVu Sans"/>
                <w:color w:val="172A3A"/>
                <w:sz w:val="15"/>
              </w:rPr>
              <w:t>-12.5%</w:t>
            </w:r>
          </w:p>
        </w:tc>
        <w:tc>
          <w:tcPr>
            <w:tcW w:type="dxa" w:w="1512"/>
            <w:tcMar>
              <w:top w:w="90" w:type="dxa"/>
              <w:start w:w="110" w:type="dxa"/>
              <w:bottom w:w="90" w:type="dxa"/>
              <w:end w:w="110" w:type="dxa"/>
            </w:tcMar>
            <w:vAlign w:val="center"/>
          </w:tcPr>
          <w:p>
            <w:pPr>
              <w:spacing w:after="0"/>
            </w:pPr>
            <w:r>
              <w:rPr>
                <w:rFonts w:ascii="DejaVu Sans" w:hAnsi="DejaVu Sans"/>
                <w:color w:val="172A3A"/>
                <w:sz w:val="15"/>
              </w:rPr>
              <w:t>0.90%</w:t>
            </w:r>
          </w:p>
        </w:tc>
      </w:tr>
    </w:tbl>
    <w:p>
      <w:pPr>
        <w:spacing w:after="0"/>
      </w:pPr>
    </w:p>
    <w:p>
      <w:pPr>
        <w:spacing w:after="120" w:line="259" w:lineRule="auto"/>
      </w:pPr>
      <w:r>
        <w:rPr>
          <w:rFonts w:ascii="DejaVu Sans" w:hAnsi="DejaVu Sans"/>
          <w:color w:val="172A3A"/>
          <w:sz w:val="18"/>
        </w:rPr>
        <w:t>The maximum-Sharpe result leads the synthetic risk-adjusted comparison, but it holds only VWRL, IGLT and AGBP. The result is a sensitivity output, not a sufficient client recommendation.</w:t>
      </w:r>
    </w:p>
    <w:p>
      <w:pPr>
        <w:pStyle w:val="Heading1"/>
        <w:spacing w:before="180" w:after="80"/>
      </w:pPr>
      <w:r>
        <w:rPr>
          <w:rFonts w:ascii="DejaVu Sans" w:hAnsi="DejaVu Sans"/>
          <w:b/>
          <w:color w:val="17324D"/>
          <w:sz w:val="32"/>
        </w:rPr>
        <w:t>Hypothetical stress results</w:t>
      </w:r>
    </w:p>
    <w:tbl>
      <w:tblPr>
        <w:tblStyle w:val="TableGrid"/>
        <w:tblW w:type="auto" w:w="0"/>
        <w:jc w:val="center"/>
        <w:tblLayout w:type="fixed"/>
        <w:tblLook w:firstColumn="1" w:firstRow="1" w:lastColumn="0" w:lastRow="0" w:noHBand="0" w:noVBand="1" w:val="04A0"/>
      </w:tblPr>
      <w:tblGrid>
        <w:gridCol w:w="1704"/>
        <w:gridCol w:w="1704"/>
        <w:gridCol w:w="1704"/>
        <w:gridCol w:w="1704"/>
        <w:gridCol w:w="1704"/>
        <w:gridCol w:w="1704"/>
      </w:tblGrid>
      <w:tr>
        <w:trPr>
          <w:tblHeader w:val="true"/>
        </w:trPr>
        <w:tc>
          <w:tcPr>
            <w:tcW w:type="dxa" w:w="2448"/>
            <w:shd w:fill="0B6E69"/>
            <w:tcMar>
              <w:top w:w="90" w:type="dxa"/>
              <w:start w:w="110" w:type="dxa"/>
              <w:bottom w:w="90" w:type="dxa"/>
              <w:end w:w="110" w:type="dxa"/>
            </w:tcMar>
            <w:vAlign w:val="center"/>
          </w:tcPr>
          <w:p>
            <w:pPr>
              <w:jc w:val="left"/>
            </w:pPr>
            <w:r>
              <w:rPr>
                <w:rFonts w:ascii="DejaVu Sans" w:hAnsi="DejaVu Sans"/>
                <w:b/>
                <w:color w:val="FFFFFF"/>
                <w:sz w:val="16"/>
              </w:rPr>
              <w:t>Scenario</w:t>
            </w:r>
          </w:p>
        </w:tc>
        <w:tc>
          <w:tcPr>
            <w:tcW w:type="dxa" w:w="1152"/>
            <w:shd w:fill="0B6E69"/>
            <w:tcMar>
              <w:top w:w="90" w:type="dxa"/>
              <w:start w:w="110" w:type="dxa"/>
              <w:bottom w:w="90" w:type="dxa"/>
              <w:end w:w="110" w:type="dxa"/>
            </w:tcMar>
            <w:vAlign w:val="center"/>
          </w:tcPr>
          <w:p>
            <w:pPr>
              <w:jc w:val="left"/>
            </w:pPr>
            <w:r>
              <w:rPr>
                <w:rFonts w:ascii="DejaVu Sans" w:hAnsi="DejaVu Sans"/>
                <w:b/>
                <w:color w:val="FFFFFF"/>
                <w:sz w:val="16"/>
              </w:rPr>
              <w:t>Equal</w:t>
            </w:r>
          </w:p>
        </w:tc>
        <w:tc>
          <w:tcPr>
            <w:tcW w:type="dxa" w:w="1152"/>
            <w:shd w:fill="0B6E69"/>
            <w:tcMar>
              <w:top w:w="90" w:type="dxa"/>
              <w:start w:w="110" w:type="dxa"/>
              <w:bottom w:w="90" w:type="dxa"/>
              <w:end w:w="110" w:type="dxa"/>
            </w:tcMar>
            <w:vAlign w:val="center"/>
          </w:tcPr>
          <w:p>
            <w:pPr>
              <w:jc w:val="left"/>
            </w:pPr>
            <w:r>
              <w:rPr>
                <w:rFonts w:ascii="DejaVu Sans" w:hAnsi="DejaVu Sans"/>
                <w:b/>
                <w:color w:val="FFFFFF"/>
                <w:sz w:val="16"/>
              </w:rPr>
              <w:t>60/40</w:t>
            </w:r>
          </w:p>
        </w:tc>
        <w:tc>
          <w:tcPr>
            <w:tcW w:type="dxa" w:w="1152"/>
            <w:shd w:fill="0B6E69"/>
            <w:tcMar>
              <w:top w:w="90" w:type="dxa"/>
              <w:start w:w="110" w:type="dxa"/>
              <w:bottom w:w="90" w:type="dxa"/>
              <w:end w:w="110" w:type="dxa"/>
            </w:tcMar>
            <w:vAlign w:val="center"/>
          </w:tcPr>
          <w:p>
            <w:pPr>
              <w:jc w:val="left"/>
            </w:pPr>
            <w:r>
              <w:rPr>
                <w:rFonts w:ascii="DejaVu Sans" w:hAnsi="DejaVu Sans"/>
                <w:b/>
                <w:color w:val="FFFFFF"/>
                <w:sz w:val="16"/>
              </w:rPr>
              <w:t>Policy</w:t>
            </w:r>
          </w:p>
        </w:tc>
        <w:tc>
          <w:tcPr>
            <w:tcW w:type="dxa" w:w="1152"/>
            <w:shd w:fill="0B6E69"/>
            <w:tcMar>
              <w:top w:w="90" w:type="dxa"/>
              <w:start w:w="110" w:type="dxa"/>
              <w:bottom w:w="90" w:type="dxa"/>
              <w:end w:w="110" w:type="dxa"/>
            </w:tcMar>
            <w:vAlign w:val="center"/>
          </w:tcPr>
          <w:p>
            <w:pPr>
              <w:jc w:val="left"/>
            </w:pPr>
            <w:r>
              <w:rPr>
                <w:rFonts w:ascii="DejaVu Sans" w:hAnsi="DejaVu Sans"/>
                <w:b/>
                <w:color w:val="FFFFFF"/>
                <w:sz w:val="16"/>
              </w:rPr>
              <w:t>Min var</w:t>
            </w:r>
          </w:p>
        </w:tc>
        <w:tc>
          <w:tcPr>
            <w:tcW w:type="dxa" w:w="1368"/>
            <w:shd w:fill="0B6E69"/>
            <w:tcMar>
              <w:top w:w="90" w:type="dxa"/>
              <w:start w:w="110" w:type="dxa"/>
              <w:bottom w:w="90" w:type="dxa"/>
              <w:end w:w="110" w:type="dxa"/>
            </w:tcMar>
            <w:vAlign w:val="center"/>
          </w:tcPr>
          <w:p>
            <w:pPr>
              <w:jc w:val="left"/>
            </w:pPr>
            <w:r>
              <w:rPr>
                <w:rFonts w:ascii="DejaVu Sans" w:hAnsi="DejaVu Sans"/>
                <w:b/>
                <w:color w:val="FFFFFF"/>
                <w:sz w:val="16"/>
              </w:rPr>
              <w:t>Max Sharpe</w:t>
            </w:r>
          </w:p>
        </w:tc>
      </w:tr>
      <w:tr>
        <w:trPr>
          <w:cantSplit/>
        </w:trPr>
        <w:tc>
          <w:tcPr>
            <w:tcW w:type="dxa" w:w="2448"/>
            <w:tcMar>
              <w:top w:w="90" w:type="dxa"/>
              <w:start w:w="110" w:type="dxa"/>
              <w:bottom w:w="90" w:type="dxa"/>
              <w:end w:w="110" w:type="dxa"/>
            </w:tcMar>
            <w:vAlign w:val="center"/>
          </w:tcPr>
          <w:p>
            <w:pPr>
              <w:spacing w:after="0"/>
            </w:pPr>
            <w:r>
              <w:rPr>
                <w:rFonts w:ascii="DejaVu Sans" w:hAnsi="DejaVu Sans"/>
                <w:color w:val="172A3A"/>
                <w:sz w:val="16"/>
              </w:rPr>
              <w:t>Growth shock</w:t>
            </w:r>
          </w:p>
        </w:tc>
        <w:tc>
          <w:tcPr>
            <w:tcW w:type="dxa" w:w="1152"/>
            <w:tcMar>
              <w:top w:w="90" w:type="dxa"/>
              <w:start w:w="110" w:type="dxa"/>
              <w:bottom w:w="90" w:type="dxa"/>
              <w:end w:w="110" w:type="dxa"/>
            </w:tcMar>
            <w:vAlign w:val="center"/>
          </w:tcPr>
          <w:p>
            <w:pPr>
              <w:spacing w:after="0"/>
            </w:pPr>
            <w:r>
              <w:rPr>
                <w:rFonts w:ascii="DejaVu Sans" w:hAnsi="DejaVu Sans"/>
                <w:color w:val="172A3A"/>
                <w:sz w:val="16"/>
              </w:rPr>
              <w:t>-7.0%</w:t>
            </w:r>
          </w:p>
        </w:tc>
        <w:tc>
          <w:tcPr>
            <w:tcW w:type="dxa" w:w="1152"/>
            <w:tcMar>
              <w:top w:w="90" w:type="dxa"/>
              <w:start w:w="110" w:type="dxa"/>
              <w:bottom w:w="90" w:type="dxa"/>
              <w:end w:w="110" w:type="dxa"/>
            </w:tcMar>
            <w:vAlign w:val="center"/>
          </w:tcPr>
          <w:p>
            <w:pPr>
              <w:spacing w:after="0"/>
            </w:pPr>
            <w:r>
              <w:rPr>
                <w:rFonts w:ascii="DejaVu Sans" w:hAnsi="DejaVu Sans"/>
                <w:color w:val="172A3A"/>
                <w:sz w:val="16"/>
              </w:rPr>
              <w:t>-13.8%</w:t>
            </w:r>
          </w:p>
        </w:tc>
        <w:tc>
          <w:tcPr>
            <w:tcW w:type="dxa" w:w="1152"/>
            <w:tcMar>
              <w:top w:w="90" w:type="dxa"/>
              <w:start w:w="110" w:type="dxa"/>
              <w:bottom w:w="90" w:type="dxa"/>
              <w:end w:w="110" w:type="dxa"/>
            </w:tcMar>
            <w:vAlign w:val="center"/>
          </w:tcPr>
          <w:p>
            <w:pPr>
              <w:spacing w:after="0"/>
            </w:pPr>
            <w:r>
              <w:rPr>
                <w:rFonts w:ascii="DejaVu Sans" w:hAnsi="DejaVu Sans"/>
                <w:color w:val="172A3A"/>
                <w:sz w:val="16"/>
              </w:rPr>
              <w:t>-10.0%</w:t>
            </w:r>
          </w:p>
        </w:tc>
        <w:tc>
          <w:tcPr>
            <w:tcW w:type="dxa" w:w="1152"/>
            <w:tcMar>
              <w:top w:w="90" w:type="dxa"/>
              <w:start w:w="110" w:type="dxa"/>
              <w:bottom w:w="90" w:type="dxa"/>
              <w:end w:w="110" w:type="dxa"/>
            </w:tcMar>
            <w:vAlign w:val="center"/>
          </w:tcPr>
          <w:p>
            <w:pPr>
              <w:spacing w:after="0"/>
            </w:pPr>
            <w:r>
              <w:rPr>
                <w:rFonts w:ascii="DejaVu Sans" w:hAnsi="DejaVu Sans"/>
                <w:color w:val="172A3A"/>
                <w:sz w:val="16"/>
              </w:rPr>
              <w:t>-0.8%</w:t>
            </w:r>
          </w:p>
        </w:tc>
        <w:tc>
          <w:tcPr>
            <w:tcW w:type="dxa" w:w="1368"/>
            <w:tcMar>
              <w:top w:w="90" w:type="dxa"/>
              <w:start w:w="110" w:type="dxa"/>
              <w:bottom w:w="90" w:type="dxa"/>
              <w:end w:w="110" w:type="dxa"/>
            </w:tcMar>
            <w:vAlign w:val="center"/>
          </w:tcPr>
          <w:p>
            <w:pPr>
              <w:spacing w:after="0"/>
            </w:pPr>
            <w:r>
              <w:rPr>
                <w:rFonts w:ascii="DejaVu Sans" w:hAnsi="DejaVu Sans"/>
                <w:color w:val="172A3A"/>
                <w:sz w:val="16"/>
              </w:rPr>
              <w:t>-6.7%</w:t>
            </w:r>
          </w:p>
        </w:tc>
      </w:tr>
      <w:tr>
        <w:trPr>
          <w:cantSplit/>
        </w:trPr>
        <w:tc>
          <w:tcPr>
            <w:tcW w:type="dxa" w:w="2448"/>
            <w:tcMar>
              <w:top w:w="90" w:type="dxa"/>
              <w:start w:w="110" w:type="dxa"/>
              <w:bottom w:w="90" w:type="dxa"/>
              <w:end w:w="110" w:type="dxa"/>
            </w:tcMar>
            <w:shd w:fill="F2F5F5"/>
            <w:vAlign w:val="center"/>
          </w:tcPr>
          <w:p>
            <w:pPr>
              <w:spacing w:after="0"/>
            </w:pPr>
            <w:r>
              <w:rPr>
                <w:rFonts w:ascii="DejaVu Sans" w:hAnsi="DejaVu Sans"/>
                <w:color w:val="172A3A"/>
                <w:sz w:val="16"/>
              </w:rPr>
              <w:t>Inflation shock</w:t>
            </w:r>
          </w:p>
        </w:tc>
        <w:tc>
          <w:tcPr>
            <w:tcW w:type="dxa" w:w="1152"/>
            <w:tcMar>
              <w:top w:w="90" w:type="dxa"/>
              <w:start w:w="110" w:type="dxa"/>
              <w:bottom w:w="90" w:type="dxa"/>
              <w:end w:w="110" w:type="dxa"/>
            </w:tcMar>
            <w:shd w:fill="F2F5F5"/>
            <w:vAlign w:val="center"/>
          </w:tcPr>
          <w:p>
            <w:pPr>
              <w:spacing w:after="0"/>
            </w:pPr>
            <w:r>
              <w:rPr>
                <w:rFonts w:ascii="DejaVu Sans" w:hAnsi="DejaVu Sans"/>
                <w:color w:val="172A3A"/>
                <w:sz w:val="16"/>
              </w:rPr>
              <w:t>-4.0%</w:t>
            </w:r>
          </w:p>
        </w:tc>
        <w:tc>
          <w:tcPr>
            <w:tcW w:type="dxa" w:w="1152"/>
            <w:tcMar>
              <w:top w:w="90" w:type="dxa"/>
              <w:start w:w="110" w:type="dxa"/>
              <w:bottom w:w="90" w:type="dxa"/>
              <w:end w:w="110" w:type="dxa"/>
            </w:tcMar>
            <w:shd w:fill="F2F5F5"/>
            <w:vAlign w:val="center"/>
          </w:tcPr>
          <w:p>
            <w:pPr>
              <w:spacing w:after="0"/>
            </w:pPr>
            <w:r>
              <w:rPr>
                <w:rFonts w:ascii="DejaVu Sans" w:hAnsi="DejaVu Sans"/>
                <w:color w:val="172A3A"/>
                <w:sz w:val="16"/>
              </w:rPr>
              <w:t>-10.4%</w:t>
            </w:r>
          </w:p>
        </w:tc>
        <w:tc>
          <w:tcPr>
            <w:tcW w:type="dxa" w:w="1152"/>
            <w:tcMar>
              <w:top w:w="90" w:type="dxa"/>
              <w:start w:w="110" w:type="dxa"/>
              <w:bottom w:w="90" w:type="dxa"/>
              <w:end w:w="110" w:type="dxa"/>
            </w:tcMar>
            <w:shd w:fill="F2F5F5"/>
            <w:vAlign w:val="center"/>
          </w:tcPr>
          <w:p>
            <w:pPr>
              <w:spacing w:after="0"/>
            </w:pPr>
            <w:r>
              <w:rPr>
                <w:rFonts w:ascii="DejaVu Sans" w:hAnsi="DejaVu Sans"/>
                <w:color w:val="172A3A"/>
                <w:sz w:val="16"/>
              </w:rPr>
              <w:t>-8.3%</w:t>
            </w:r>
          </w:p>
        </w:tc>
        <w:tc>
          <w:tcPr>
            <w:tcW w:type="dxa" w:w="1152"/>
            <w:tcMar>
              <w:top w:w="90" w:type="dxa"/>
              <w:start w:w="110" w:type="dxa"/>
              <w:bottom w:w="90" w:type="dxa"/>
              <w:end w:w="110" w:type="dxa"/>
            </w:tcMar>
            <w:shd w:fill="F2F5F5"/>
            <w:vAlign w:val="center"/>
          </w:tcPr>
          <w:p>
            <w:pPr>
              <w:spacing w:after="0"/>
            </w:pPr>
            <w:r>
              <w:rPr>
                <w:rFonts w:ascii="DejaVu Sans" w:hAnsi="DejaVu Sans"/>
                <w:color w:val="172A3A"/>
                <w:sz w:val="16"/>
              </w:rPr>
              <w:t>-8.3%</w:t>
            </w:r>
          </w:p>
        </w:tc>
        <w:tc>
          <w:tcPr>
            <w:tcW w:type="dxa" w:w="1368"/>
            <w:tcMar>
              <w:top w:w="90" w:type="dxa"/>
              <w:start w:w="110" w:type="dxa"/>
              <w:bottom w:w="90" w:type="dxa"/>
              <w:end w:w="110" w:type="dxa"/>
            </w:tcMar>
            <w:shd w:fill="F2F5F5"/>
            <w:vAlign w:val="center"/>
          </w:tcPr>
          <w:p>
            <w:pPr>
              <w:spacing w:after="0"/>
            </w:pPr>
            <w:r>
              <w:rPr>
                <w:rFonts w:ascii="DejaVu Sans" w:hAnsi="DejaVu Sans"/>
                <w:color w:val="172A3A"/>
                <w:sz w:val="16"/>
              </w:rPr>
              <w:t>-10.1%</w:t>
            </w:r>
          </w:p>
        </w:tc>
      </w:tr>
      <w:tr>
        <w:trPr>
          <w:cantSplit/>
        </w:trPr>
        <w:tc>
          <w:tcPr>
            <w:tcW w:type="dxa" w:w="2448"/>
            <w:tcMar>
              <w:top w:w="90" w:type="dxa"/>
              <w:start w:w="110" w:type="dxa"/>
              <w:bottom w:w="90" w:type="dxa"/>
              <w:end w:w="110" w:type="dxa"/>
            </w:tcMar>
            <w:vAlign w:val="center"/>
          </w:tcPr>
          <w:p>
            <w:pPr>
              <w:spacing w:after="0"/>
            </w:pPr>
            <w:r>
              <w:rPr>
                <w:rFonts w:ascii="DejaVu Sans" w:hAnsi="DejaVu Sans"/>
                <w:color w:val="172A3A"/>
                <w:sz w:val="16"/>
              </w:rPr>
              <w:t>Rates and credit</w:t>
            </w:r>
          </w:p>
        </w:tc>
        <w:tc>
          <w:tcPr>
            <w:tcW w:type="dxa" w:w="1152"/>
            <w:tcMar>
              <w:top w:w="90" w:type="dxa"/>
              <w:start w:w="110" w:type="dxa"/>
              <w:bottom w:w="90" w:type="dxa"/>
              <w:end w:w="110" w:type="dxa"/>
            </w:tcMar>
            <w:vAlign w:val="center"/>
          </w:tcPr>
          <w:p>
            <w:pPr>
              <w:spacing w:after="0"/>
            </w:pPr>
            <w:r>
              <w:rPr>
                <w:rFonts w:ascii="DejaVu Sans" w:hAnsi="DejaVu Sans"/>
                <w:color w:val="172A3A"/>
                <w:sz w:val="16"/>
              </w:rPr>
              <w:t>-8.3%</w:t>
            </w:r>
          </w:p>
        </w:tc>
        <w:tc>
          <w:tcPr>
            <w:tcW w:type="dxa" w:w="1152"/>
            <w:tcMar>
              <w:top w:w="90" w:type="dxa"/>
              <w:start w:w="110" w:type="dxa"/>
              <w:bottom w:w="90" w:type="dxa"/>
              <w:end w:w="110" w:type="dxa"/>
            </w:tcMar>
            <w:vAlign w:val="center"/>
          </w:tcPr>
          <w:p>
            <w:pPr>
              <w:spacing w:after="0"/>
            </w:pPr>
            <w:r>
              <w:rPr>
                <w:rFonts w:ascii="DejaVu Sans" w:hAnsi="DejaVu Sans"/>
                <w:color w:val="172A3A"/>
                <w:sz w:val="16"/>
              </w:rPr>
              <w:t>-10.4%</w:t>
            </w:r>
          </w:p>
        </w:tc>
        <w:tc>
          <w:tcPr>
            <w:tcW w:type="dxa" w:w="1152"/>
            <w:tcMar>
              <w:top w:w="90" w:type="dxa"/>
              <w:start w:w="110" w:type="dxa"/>
              <w:bottom w:w="90" w:type="dxa"/>
              <w:end w:w="110" w:type="dxa"/>
            </w:tcMar>
            <w:vAlign w:val="center"/>
          </w:tcPr>
          <w:p>
            <w:pPr>
              <w:spacing w:after="0"/>
            </w:pPr>
            <w:r>
              <w:rPr>
                <w:rFonts w:ascii="DejaVu Sans" w:hAnsi="DejaVu Sans"/>
                <w:color w:val="172A3A"/>
                <w:sz w:val="16"/>
              </w:rPr>
              <w:t>-9.6%</w:t>
            </w:r>
          </w:p>
        </w:tc>
        <w:tc>
          <w:tcPr>
            <w:tcW w:type="dxa" w:w="1152"/>
            <w:tcMar>
              <w:top w:w="90" w:type="dxa"/>
              <w:start w:w="110" w:type="dxa"/>
              <w:bottom w:w="90" w:type="dxa"/>
              <w:end w:w="110" w:type="dxa"/>
            </w:tcMar>
            <w:vAlign w:val="center"/>
          </w:tcPr>
          <w:p>
            <w:pPr>
              <w:spacing w:after="0"/>
            </w:pPr>
            <w:r>
              <w:rPr>
                <w:rFonts w:ascii="DejaVu Sans" w:hAnsi="DejaVu Sans"/>
                <w:color w:val="172A3A"/>
                <w:sz w:val="16"/>
              </w:rPr>
              <w:t>-9.8%</w:t>
            </w:r>
          </w:p>
        </w:tc>
        <w:tc>
          <w:tcPr>
            <w:tcW w:type="dxa" w:w="1368"/>
            <w:tcMar>
              <w:top w:w="90" w:type="dxa"/>
              <w:start w:w="110" w:type="dxa"/>
              <w:bottom w:w="90" w:type="dxa"/>
              <w:end w:w="110" w:type="dxa"/>
            </w:tcMar>
            <w:vAlign w:val="center"/>
          </w:tcPr>
          <w:p>
            <w:pPr>
              <w:spacing w:after="0"/>
            </w:pPr>
            <w:r>
              <w:rPr>
                <w:rFonts w:ascii="DejaVu Sans" w:hAnsi="DejaVu Sans"/>
                <w:color w:val="172A3A"/>
                <w:sz w:val="16"/>
              </w:rPr>
              <w:t>-10.6%</w:t>
            </w:r>
          </w:p>
        </w:tc>
      </w:tr>
    </w:tbl>
    <w:p>
      <w:pPr>
        <w:spacing w:after="0"/>
      </w:pPr>
    </w:p>
    <w:p>
      <w:pPr>
        <w:spacing w:after="100" w:line="259" w:lineRule="auto"/>
      </w:pPr>
      <w:r>
        <w:rPr>
          <w:rFonts w:ascii="DejaVu Sans" w:hAnsi="DejaVu Sans"/>
          <w:color w:val="172A3A"/>
          <w:sz w:val="18"/>
        </w:rPr>
        <w:t>The policy portfolio loses less than the 60/40 reference in every stated scenario, helped by fixed income and real assets. The rates-and-credit result remains material because all three bond sleeves are shocked at the same time.</w:t>
      </w:r>
    </w:p>
    <w:p>
      <w:pPr>
        <w:pStyle w:val="Heading1"/>
        <w:spacing w:before="180" w:after="80"/>
      </w:pPr>
      <w:r>
        <w:rPr>
          <w:rFonts w:ascii="DejaVu Sans" w:hAnsi="DejaVu Sans"/>
          <w:b/>
          <w:color w:val="17324D"/>
          <w:sz w:val="32"/>
        </w:rPr>
        <w:t>Risk is concentrated despite diversified capital</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4032"/>
            <w:shd w:fill="17324D"/>
            <w:tcMar>
              <w:top w:w="90" w:type="dxa"/>
              <w:start w:w="110" w:type="dxa"/>
              <w:bottom w:w="90" w:type="dxa"/>
              <w:end w:w="110" w:type="dxa"/>
            </w:tcMar>
            <w:vAlign w:val="center"/>
          </w:tcPr>
          <w:p>
            <w:pPr>
              <w:jc w:val="left"/>
            </w:pPr>
            <w:r>
              <w:rPr>
                <w:rFonts w:ascii="DejaVu Sans" w:hAnsi="DejaVu Sans"/>
                <w:b/>
                <w:color w:val="FFFFFF"/>
                <w:sz w:val="16"/>
              </w:rPr>
              <w:t>Sleeve</w:t>
            </w:r>
          </w:p>
        </w:tc>
        <w:tc>
          <w:tcPr>
            <w:tcW w:type="dxa" w:w="1584"/>
            <w:shd w:fill="17324D"/>
            <w:tcMar>
              <w:top w:w="90" w:type="dxa"/>
              <w:start w:w="110" w:type="dxa"/>
              <w:bottom w:w="90" w:type="dxa"/>
              <w:end w:w="110" w:type="dxa"/>
            </w:tcMar>
            <w:vAlign w:val="center"/>
          </w:tcPr>
          <w:p>
            <w:pPr>
              <w:jc w:val="left"/>
            </w:pPr>
            <w:r>
              <w:rPr>
                <w:rFonts w:ascii="DejaVu Sans" w:hAnsi="DejaVu Sans"/>
                <w:b/>
                <w:color w:val="FFFFFF"/>
                <w:sz w:val="16"/>
              </w:rPr>
              <w:t>Weight</w:t>
            </w:r>
          </w:p>
        </w:tc>
        <w:tc>
          <w:tcPr>
            <w:tcW w:type="dxa" w:w="3024"/>
            <w:shd w:fill="17324D"/>
            <w:tcMar>
              <w:top w:w="90" w:type="dxa"/>
              <w:start w:w="110" w:type="dxa"/>
              <w:bottom w:w="90" w:type="dxa"/>
              <w:end w:w="110" w:type="dxa"/>
            </w:tcMar>
            <w:vAlign w:val="center"/>
          </w:tcPr>
          <w:p>
            <w:pPr>
              <w:jc w:val="left"/>
            </w:pPr>
            <w:r>
              <w:rPr>
                <w:rFonts w:ascii="DejaVu Sans" w:hAnsi="DejaVu Sans"/>
                <w:b/>
                <w:color w:val="FFFFFF"/>
                <w:sz w:val="16"/>
              </w:rPr>
              <w:t>Share of policy volatility</w:t>
            </w:r>
          </w:p>
        </w:tc>
      </w:tr>
      <w:tr>
        <w:trPr>
          <w:cantSplit/>
        </w:trPr>
        <w:tc>
          <w:tcPr>
            <w:tcW w:type="dxa" w:w="4032"/>
            <w:tcMar>
              <w:top w:w="90" w:type="dxa"/>
              <w:start w:w="110" w:type="dxa"/>
              <w:bottom w:w="90" w:type="dxa"/>
              <w:end w:w="110" w:type="dxa"/>
            </w:tcMar>
            <w:vAlign w:val="center"/>
          </w:tcPr>
          <w:p>
            <w:pPr>
              <w:spacing w:after="0"/>
            </w:pPr>
            <w:r>
              <w:rPr>
                <w:rFonts w:ascii="DejaVu Sans" w:hAnsi="DejaVu Sans"/>
                <w:color w:val="172A3A"/>
                <w:sz w:val="16"/>
              </w:rPr>
              <w:t>Global equities</w:t>
            </w:r>
          </w:p>
        </w:tc>
        <w:tc>
          <w:tcPr>
            <w:tcW w:type="dxa" w:w="1584"/>
            <w:tcMar>
              <w:top w:w="90" w:type="dxa"/>
              <w:start w:w="110" w:type="dxa"/>
              <w:bottom w:w="90" w:type="dxa"/>
              <w:end w:w="110" w:type="dxa"/>
            </w:tcMar>
            <w:vAlign w:val="center"/>
          </w:tcPr>
          <w:p>
            <w:pPr>
              <w:spacing w:after="0"/>
            </w:pPr>
            <w:r>
              <w:rPr>
                <w:rFonts w:ascii="DejaVu Sans" w:hAnsi="DejaVu Sans"/>
                <w:color w:val="172A3A"/>
                <w:sz w:val="16"/>
              </w:rPr>
              <w:t>35%</w:t>
            </w:r>
          </w:p>
        </w:tc>
        <w:tc>
          <w:tcPr>
            <w:tcW w:type="dxa" w:w="3024"/>
            <w:tcMar>
              <w:top w:w="90" w:type="dxa"/>
              <w:start w:w="110" w:type="dxa"/>
              <w:bottom w:w="90" w:type="dxa"/>
              <w:end w:w="110" w:type="dxa"/>
            </w:tcMar>
            <w:vAlign w:val="center"/>
          </w:tcPr>
          <w:p>
            <w:pPr>
              <w:spacing w:after="0"/>
            </w:pPr>
            <w:r>
              <w:rPr>
                <w:rFonts w:ascii="DejaVu Sans" w:hAnsi="DejaVu Sans"/>
                <w:color w:val="172A3A"/>
                <w:sz w:val="16"/>
              </w:rPr>
              <w:t>66.1%</w:t>
            </w:r>
          </w:p>
        </w:tc>
      </w:tr>
      <w:tr>
        <w:trPr>
          <w:cantSplit/>
        </w:trPr>
        <w:tc>
          <w:tcPr>
            <w:tcW w:type="dxa" w:w="4032"/>
            <w:tcMar>
              <w:top w:w="90" w:type="dxa"/>
              <w:start w:w="110" w:type="dxa"/>
              <w:bottom w:w="90" w:type="dxa"/>
              <w:end w:w="110" w:type="dxa"/>
            </w:tcMar>
            <w:shd w:fill="F2F5F5"/>
            <w:vAlign w:val="center"/>
          </w:tcPr>
          <w:p>
            <w:pPr>
              <w:spacing w:after="0"/>
            </w:pPr>
            <w:r>
              <w:rPr>
                <w:rFonts w:ascii="DejaVu Sans" w:hAnsi="DejaVu Sans"/>
                <w:color w:val="172A3A"/>
                <w:sz w:val="16"/>
              </w:rPr>
              <w:t>UK equities</w:t>
            </w:r>
          </w:p>
        </w:tc>
        <w:tc>
          <w:tcPr>
            <w:tcW w:type="dxa" w:w="1584"/>
            <w:tcMar>
              <w:top w:w="90" w:type="dxa"/>
              <w:start w:w="110" w:type="dxa"/>
              <w:bottom w:w="90" w:type="dxa"/>
              <w:end w:w="110" w:type="dxa"/>
            </w:tcMar>
            <w:shd w:fill="F2F5F5"/>
            <w:vAlign w:val="center"/>
          </w:tcPr>
          <w:p>
            <w:pPr>
              <w:spacing w:after="0"/>
            </w:pPr>
            <w:r>
              <w:rPr>
                <w:rFonts w:ascii="DejaVu Sans" w:hAnsi="DejaVu Sans"/>
                <w:color w:val="172A3A"/>
                <w:sz w:val="16"/>
              </w:rPr>
              <w:t>10%</w:t>
            </w:r>
          </w:p>
        </w:tc>
        <w:tc>
          <w:tcPr>
            <w:tcW w:type="dxa" w:w="3024"/>
            <w:tcMar>
              <w:top w:w="90" w:type="dxa"/>
              <w:start w:w="110" w:type="dxa"/>
              <w:bottom w:w="90" w:type="dxa"/>
              <w:end w:w="110" w:type="dxa"/>
            </w:tcMar>
            <w:shd w:fill="F2F5F5"/>
            <w:vAlign w:val="center"/>
          </w:tcPr>
          <w:p>
            <w:pPr>
              <w:spacing w:after="0"/>
            </w:pPr>
            <w:r>
              <w:rPr>
                <w:rFonts w:ascii="DejaVu Sans" w:hAnsi="DejaVu Sans"/>
                <w:color w:val="172A3A"/>
                <w:sz w:val="16"/>
              </w:rPr>
              <w:t>16.1%</w:t>
            </w:r>
          </w:p>
        </w:tc>
      </w:tr>
      <w:tr>
        <w:trPr>
          <w:cantSplit/>
        </w:trPr>
        <w:tc>
          <w:tcPr>
            <w:tcW w:type="dxa" w:w="4032"/>
            <w:tcMar>
              <w:top w:w="90" w:type="dxa"/>
              <w:start w:w="110" w:type="dxa"/>
              <w:bottom w:w="90" w:type="dxa"/>
              <w:end w:w="110" w:type="dxa"/>
            </w:tcMar>
            <w:vAlign w:val="center"/>
          </w:tcPr>
          <w:p>
            <w:pPr>
              <w:spacing w:after="0"/>
            </w:pPr>
            <w:r>
              <w:rPr>
                <w:rFonts w:ascii="DejaVu Sans" w:hAnsi="DejaVu Sans"/>
                <w:color w:val="172A3A"/>
                <w:sz w:val="16"/>
              </w:rPr>
              <w:t>Three fixed-income sleeves</w:t>
            </w:r>
          </w:p>
        </w:tc>
        <w:tc>
          <w:tcPr>
            <w:tcW w:type="dxa" w:w="1584"/>
            <w:tcMar>
              <w:top w:w="90" w:type="dxa"/>
              <w:start w:w="110" w:type="dxa"/>
              <w:bottom w:w="90" w:type="dxa"/>
              <w:end w:w="110" w:type="dxa"/>
            </w:tcMar>
            <w:vAlign w:val="center"/>
          </w:tcPr>
          <w:p>
            <w:pPr>
              <w:spacing w:after="0"/>
            </w:pPr>
            <w:r>
              <w:rPr>
                <w:rFonts w:ascii="DejaVu Sans" w:hAnsi="DejaVu Sans"/>
                <w:color w:val="172A3A"/>
                <w:sz w:val="16"/>
              </w:rPr>
              <w:t>45%</w:t>
            </w:r>
          </w:p>
        </w:tc>
        <w:tc>
          <w:tcPr>
            <w:tcW w:type="dxa" w:w="3024"/>
            <w:tcMar>
              <w:top w:w="90" w:type="dxa"/>
              <w:start w:w="110" w:type="dxa"/>
              <w:bottom w:w="90" w:type="dxa"/>
              <w:end w:w="110" w:type="dxa"/>
            </w:tcMar>
            <w:vAlign w:val="center"/>
          </w:tcPr>
          <w:p>
            <w:pPr>
              <w:spacing w:after="0"/>
            </w:pPr>
            <w:r>
              <w:rPr>
                <w:rFonts w:ascii="DejaVu Sans" w:hAnsi="DejaVu Sans"/>
                <w:color w:val="172A3A"/>
                <w:sz w:val="16"/>
              </w:rPr>
              <w:t>9.2%</w:t>
            </w:r>
          </w:p>
        </w:tc>
      </w:tr>
      <w:tr>
        <w:trPr>
          <w:cantSplit/>
        </w:trPr>
        <w:tc>
          <w:tcPr>
            <w:tcW w:type="dxa" w:w="4032"/>
            <w:tcMar>
              <w:top w:w="90" w:type="dxa"/>
              <w:start w:w="110" w:type="dxa"/>
              <w:bottom w:w="90" w:type="dxa"/>
              <w:end w:w="110" w:type="dxa"/>
            </w:tcMar>
            <w:shd w:fill="F2F5F5"/>
            <w:vAlign w:val="center"/>
          </w:tcPr>
          <w:p>
            <w:pPr>
              <w:spacing w:after="0"/>
            </w:pPr>
            <w:r>
              <w:rPr>
                <w:rFonts w:ascii="DejaVu Sans" w:hAnsi="DejaVu Sans"/>
                <w:color w:val="172A3A"/>
                <w:sz w:val="16"/>
              </w:rPr>
              <w:t>Gold and commodities</w:t>
            </w:r>
          </w:p>
        </w:tc>
        <w:tc>
          <w:tcPr>
            <w:tcW w:type="dxa" w:w="1584"/>
            <w:tcMar>
              <w:top w:w="90" w:type="dxa"/>
              <w:start w:w="110" w:type="dxa"/>
              <w:bottom w:w="90" w:type="dxa"/>
              <w:end w:w="110" w:type="dxa"/>
            </w:tcMar>
            <w:shd w:fill="F2F5F5"/>
            <w:vAlign w:val="center"/>
          </w:tcPr>
          <w:p>
            <w:pPr>
              <w:spacing w:after="0"/>
            </w:pPr>
            <w:r>
              <w:rPr>
                <w:rFonts w:ascii="DejaVu Sans" w:hAnsi="DejaVu Sans"/>
                <w:color w:val="172A3A"/>
                <w:sz w:val="16"/>
              </w:rPr>
              <w:t>10%</w:t>
            </w:r>
          </w:p>
        </w:tc>
        <w:tc>
          <w:tcPr>
            <w:tcW w:type="dxa" w:w="3024"/>
            <w:tcMar>
              <w:top w:w="90" w:type="dxa"/>
              <w:start w:w="110" w:type="dxa"/>
              <w:bottom w:w="90" w:type="dxa"/>
              <w:end w:w="110" w:type="dxa"/>
            </w:tcMar>
            <w:shd w:fill="F2F5F5"/>
            <w:vAlign w:val="center"/>
          </w:tcPr>
          <w:p>
            <w:pPr>
              <w:spacing w:after="0"/>
            </w:pPr>
            <w:r>
              <w:rPr>
                <w:rFonts w:ascii="DejaVu Sans" w:hAnsi="DejaVu Sans"/>
                <w:color w:val="172A3A"/>
                <w:sz w:val="16"/>
              </w:rPr>
              <w:t>8.6%</w:t>
            </w:r>
          </w:p>
        </w:tc>
      </w:tr>
    </w:tbl>
    <w:p>
      <w:pPr>
        <w:spacing w:after="0"/>
      </w:pPr>
    </w:p>
    <w:tbl>
      <w:tblPr>
        <w:tblW w:type="auto" w:w="0"/>
        <w:jc w:val="center"/>
        <w:tblLayout w:type="fixed"/>
        <w:tblLook w:firstColumn="1" w:firstRow="1" w:lastColumn="0" w:lastRow="0" w:noHBand="0" w:noVBand="1" w:val="04A0"/>
      </w:tblPr>
      <w:tblGrid>
        <w:gridCol w:w="10224"/>
      </w:tblGrid>
      <w:tr>
        <w:tc>
          <w:tcPr>
            <w:tcW w:type="dxa" w:w="9864"/>
            <w:shd w:fill="E7F0EE"/>
            <w:tcMar>
              <w:top w:w="120" w:type="dxa"/>
              <w:start w:w="170" w:type="dxa"/>
              <w:bottom w:w="120" w:type="dxa"/>
              <w:end w:w="170" w:type="dxa"/>
            </w:tcMar>
          </w:tcPr>
          <w:p>
            <w:pPr>
              <w:spacing w:after="60"/>
            </w:pPr>
            <w:r>
              <w:rPr>
                <w:rFonts w:ascii="DejaVu Sans" w:hAnsi="DejaVu Sans"/>
                <w:b/>
                <w:color w:val="0B6E69"/>
                <w:sz w:val="21"/>
              </w:rPr>
              <w:t>Interpretation</w:t>
            </w:r>
          </w:p>
          <w:p>
            <w:pPr>
              <w:spacing w:after="0" w:line="252" w:lineRule="auto"/>
            </w:pPr>
            <w:r>
              <w:rPr>
                <w:rFonts w:ascii="DejaVu Sans" w:hAnsi="DejaVu Sans"/>
                <w:color w:val="172A3A"/>
                <w:sz w:val="18"/>
              </w:rPr>
              <w:t>Global and UK equities represent 45% of policy capital but about 82% of covariance-based volatility. Equal weight is therefore not equal risk.</w:t>
            </w:r>
          </w:p>
        </w:tc>
      </w:tr>
    </w:tbl>
    <w:p>
      <w:pPr>
        <w:spacing w:after="0"/>
      </w:pPr>
    </w:p>
    <w:p>
      <w:pPr>
        <w:pageBreakBefore/>
        <w:spacing w:after="20"/>
      </w:pPr>
      <w:r>
        <w:rPr>
          <w:rFonts w:ascii="DejaVu Sans" w:hAnsi="DejaVu Sans"/>
          <w:b/>
          <w:color w:val="0B6E69"/>
          <w:sz w:val="20"/>
        </w:rPr>
        <w:t>03</w:t>
      </w:r>
    </w:p>
    <w:p>
      <w:pPr>
        <w:spacing w:after="40"/>
      </w:pPr>
      <w:r>
        <w:rPr>
          <w:rFonts w:ascii="DejaVu Sans" w:hAnsi="DejaVu Sans"/>
          <w:b/>
          <w:color w:val="17324D"/>
          <w:sz w:val="46"/>
        </w:rPr>
        <w:t>Portfolio choice</w:t>
      </w:r>
    </w:p>
    <w:p>
      <w:pPr>
        <w:spacing w:after="200"/>
      </w:pPr>
      <w:r>
        <w:rPr>
          <w:rFonts w:ascii="DejaVu Sans" w:hAnsi="DejaVu Sans"/>
          <w:color w:val="687783"/>
          <w:sz w:val="19"/>
        </w:rPr>
        <w:t>A client allocation should survive more than one estimated objective function</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3672"/>
            <w:shd w:fill="17324D"/>
            <w:tcMar>
              <w:top w:w="90" w:type="dxa"/>
              <w:start w:w="110" w:type="dxa"/>
              <w:bottom w:w="90" w:type="dxa"/>
              <w:end w:w="110" w:type="dxa"/>
            </w:tcMar>
            <w:vAlign w:val="center"/>
          </w:tcPr>
          <w:p>
            <w:pPr>
              <w:jc w:val="left"/>
            </w:pPr>
            <w:r>
              <w:rPr>
                <w:rFonts w:ascii="DejaVu Sans" w:hAnsi="DejaVu Sans"/>
                <w:b/>
                <w:color w:val="FFFFFF"/>
                <w:sz w:val="16"/>
              </w:rPr>
              <w:t>Sleeve</w:t>
            </w:r>
          </w:p>
        </w:tc>
        <w:tc>
          <w:tcPr>
            <w:tcW w:type="dxa" w:w="1584"/>
            <w:shd w:fill="17324D"/>
            <w:tcMar>
              <w:top w:w="90" w:type="dxa"/>
              <w:start w:w="110" w:type="dxa"/>
              <w:bottom w:w="90" w:type="dxa"/>
              <w:end w:w="110" w:type="dxa"/>
            </w:tcMar>
            <w:vAlign w:val="center"/>
          </w:tcPr>
          <w:p>
            <w:pPr>
              <w:jc w:val="left"/>
            </w:pPr>
            <w:r>
              <w:rPr>
                <w:rFonts w:ascii="DejaVu Sans" w:hAnsi="DejaVu Sans"/>
                <w:b/>
                <w:color w:val="FFFFFF"/>
                <w:sz w:val="16"/>
              </w:rPr>
              <w:t>Policy</w:t>
            </w:r>
          </w:p>
        </w:tc>
        <w:tc>
          <w:tcPr>
            <w:tcW w:type="dxa" w:w="1944"/>
            <w:shd w:fill="17324D"/>
            <w:tcMar>
              <w:top w:w="90" w:type="dxa"/>
              <w:start w:w="110" w:type="dxa"/>
              <w:bottom w:w="90" w:type="dxa"/>
              <w:end w:w="110" w:type="dxa"/>
            </w:tcMar>
            <w:vAlign w:val="center"/>
          </w:tcPr>
          <w:p>
            <w:pPr>
              <w:jc w:val="left"/>
            </w:pPr>
            <w:r>
              <w:rPr>
                <w:rFonts w:ascii="DejaVu Sans" w:hAnsi="DejaVu Sans"/>
                <w:b/>
                <w:color w:val="FFFFFF"/>
                <w:sz w:val="16"/>
              </w:rPr>
              <w:t>Minimum variance</w:t>
            </w:r>
          </w:p>
        </w:tc>
        <w:tc>
          <w:tcPr>
            <w:tcW w:type="dxa" w:w="1944"/>
            <w:shd w:fill="17324D"/>
            <w:tcMar>
              <w:top w:w="90" w:type="dxa"/>
              <w:start w:w="110" w:type="dxa"/>
              <w:bottom w:w="90" w:type="dxa"/>
              <w:end w:w="110" w:type="dxa"/>
            </w:tcMar>
            <w:vAlign w:val="center"/>
          </w:tcPr>
          <w:p>
            <w:pPr>
              <w:jc w:val="left"/>
            </w:pPr>
            <w:r>
              <w:rPr>
                <w:rFonts w:ascii="DejaVu Sans" w:hAnsi="DejaVu Sans"/>
                <w:b/>
                <w:color w:val="FFFFFF"/>
                <w:sz w:val="16"/>
              </w:rPr>
              <w:t>Maximum Sharpe</w:t>
            </w:r>
          </w:p>
        </w:tc>
      </w:tr>
      <w:tr>
        <w:trPr>
          <w:cantSplit/>
        </w:trPr>
        <w:tc>
          <w:tcPr>
            <w:tcW w:type="dxa" w:w="3672"/>
            <w:tcMar>
              <w:top w:w="90" w:type="dxa"/>
              <w:start w:w="110" w:type="dxa"/>
              <w:bottom w:w="90" w:type="dxa"/>
              <w:end w:w="110" w:type="dxa"/>
            </w:tcMar>
            <w:vAlign w:val="center"/>
          </w:tcPr>
          <w:p>
            <w:pPr>
              <w:spacing w:after="0"/>
            </w:pPr>
            <w:r>
              <w:rPr>
                <w:rFonts w:ascii="DejaVu Sans" w:hAnsi="DejaVu Sans"/>
                <w:color w:val="172A3A"/>
                <w:sz w:val="16"/>
              </w:rPr>
              <w:t>VWRL global equities</w:t>
            </w:r>
          </w:p>
        </w:tc>
        <w:tc>
          <w:tcPr>
            <w:tcW w:type="dxa" w:w="1584"/>
            <w:tcMar>
              <w:top w:w="90" w:type="dxa"/>
              <w:start w:w="110" w:type="dxa"/>
              <w:bottom w:w="90" w:type="dxa"/>
              <w:end w:w="110" w:type="dxa"/>
            </w:tcMar>
            <w:vAlign w:val="center"/>
          </w:tcPr>
          <w:p>
            <w:pPr>
              <w:spacing w:after="0"/>
            </w:pPr>
            <w:r>
              <w:rPr>
                <w:rFonts w:ascii="DejaVu Sans" w:hAnsi="DejaVu Sans"/>
                <w:color w:val="172A3A"/>
                <w:sz w:val="16"/>
              </w:rPr>
              <w:t>35.0%</w:t>
            </w:r>
          </w:p>
        </w:tc>
        <w:tc>
          <w:tcPr>
            <w:tcW w:type="dxa" w:w="1944"/>
            <w:tcMar>
              <w:top w:w="90" w:type="dxa"/>
              <w:start w:w="110" w:type="dxa"/>
              <w:bottom w:w="90" w:type="dxa"/>
              <w:end w:w="110" w:type="dxa"/>
            </w:tcMar>
            <w:vAlign w:val="center"/>
          </w:tcPr>
          <w:p>
            <w:pPr>
              <w:spacing w:after="0"/>
            </w:pPr>
            <w:r>
              <w:rPr>
                <w:rFonts w:ascii="DejaVu Sans" w:hAnsi="DejaVu Sans"/>
                <w:color w:val="172A3A"/>
                <w:sz w:val="16"/>
              </w:rPr>
              <w:t>10.4%</w:t>
            </w:r>
          </w:p>
        </w:tc>
        <w:tc>
          <w:tcPr>
            <w:tcW w:type="dxa" w:w="1944"/>
            <w:tcMar>
              <w:top w:w="90" w:type="dxa"/>
              <w:start w:w="110" w:type="dxa"/>
              <w:bottom w:w="90" w:type="dxa"/>
              <w:end w:w="110" w:type="dxa"/>
            </w:tcMar>
            <w:vAlign w:val="center"/>
          </w:tcPr>
          <w:p>
            <w:pPr>
              <w:spacing w:after="0"/>
            </w:pPr>
            <w:r>
              <w:rPr>
                <w:rFonts w:ascii="DejaVu Sans" w:hAnsi="DejaVu Sans"/>
                <w:color w:val="172A3A"/>
                <w:sz w:val="16"/>
              </w:rPr>
              <w:t>35.9%</w:t>
            </w:r>
          </w:p>
        </w:tc>
      </w:tr>
      <w:tr>
        <w:trPr>
          <w:cantSplit/>
        </w:trPr>
        <w:tc>
          <w:tcPr>
            <w:tcW w:type="dxa" w:w="3672"/>
            <w:tcMar>
              <w:top w:w="90" w:type="dxa"/>
              <w:start w:w="110" w:type="dxa"/>
              <w:bottom w:w="90" w:type="dxa"/>
              <w:end w:w="110" w:type="dxa"/>
            </w:tcMar>
            <w:shd w:fill="F2F5F5"/>
            <w:vAlign w:val="center"/>
          </w:tcPr>
          <w:p>
            <w:pPr>
              <w:spacing w:after="0"/>
            </w:pPr>
            <w:r>
              <w:rPr>
                <w:rFonts w:ascii="DejaVu Sans" w:hAnsi="DejaVu Sans"/>
                <w:color w:val="172A3A"/>
                <w:sz w:val="16"/>
              </w:rPr>
              <w:t>CUKX UK equities</w:t>
            </w:r>
          </w:p>
        </w:tc>
        <w:tc>
          <w:tcPr>
            <w:tcW w:type="dxa" w:w="1584"/>
            <w:tcMar>
              <w:top w:w="90" w:type="dxa"/>
              <w:start w:w="110" w:type="dxa"/>
              <w:bottom w:w="90" w:type="dxa"/>
              <w:end w:w="110" w:type="dxa"/>
            </w:tcMar>
            <w:shd w:fill="F2F5F5"/>
            <w:vAlign w:val="center"/>
          </w:tcPr>
          <w:p>
            <w:pPr>
              <w:spacing w:after="0"/>
            </w:pPr>
            <w:r>
              <w:rPr>
                <w:rFonts w:ascii="DejaVu Sans" w:hAnsi="DejaVu Sans"/>
                <w:color w:val="172A3A"/>
                <w:sz w:val="16"/>
              </w:rPr>
              <w:t>10.0%</w:t>
            </w:r>
          </w:p>
        </w:tc>
        <w:tc>
          <w:tcPr>
            <w:tcW w:type="dxa" w:w="1944"/>
            <w:tcMar>
              <w:top w:w="90" w:type="dxa"/>
              <w:start w:w="110" w:type="dxa"/>
              <w:bottom w:w="90" w:type="dxa"/>
              <w:end w:w="110" w:type="dxa"/>
            </w:tcMar>
            <w:shd w:fill="F2F5F5"/>
            <w:vAlign w:val="center"/>
          </w:tcPr>
          <w:p>
            <w:pPr>
              <w:spacing w:after="0"/>
            </w:pPr>
            <w:r>
              <w:rPr>
                <w:rFonts w:ascii="DejaVu Sans" w:hAnsi="DejaVu Sans"/>
                <w:color w:val="172A3A"/>
                <w:sz w:val="16"/>
              </w:rPr>
              <w:t>6.3%</w:t>
            </w:r>
          </w:p>
        </w:tc>
        <w:tc>
          <w:tcPr>
            <w:tcW w:type="dxa" w:w="1944"/>
            <w:tcMar>
              <w:top w:w="90" w:type="dxa"/>
              <w:start w:w="110" w:type="dxa"/>
              <w:bottom w:w="90" w:type="dxa"/>
              <w:end w:w="110" w:type="dxa"/>
            </w:tcMar>
            <w:shd w:fill="F2F5F5"/>
            <w:vAlign w:val="center"/>
          </w:tcPr>
          <w:p>
            <w:pPr>
              <w:spacing w:after="0"/>
            </w:pPr>
            <w:r>
              <w:rPr>
                <w:rFonts w:ascii="DejaVu Sans" w:hAnsi="DejaVu Sans"/>
                <w:color w:val="172A3A"/>
                <w:sz w:val="16"/>
              </w:rPr>
              <w:t>0.0%</w:t>
            </w:r>
          </w:p>
        </w:tc>
      </w:tr>
      <w:tr>
        <w:trPr>
          <w:cantSplit/>
        </w:trPr>
        <w:tc>
          <w:tcPr>
            <w:tcW w:type="dxa" w:w="3672"/>
            <w:tcMar>
              <w:top w:w="90" w:type="dxa"/>
              <w:start w:w="110" w:type="dxa"/>
              <w:bottom w:w="90" w:type="dxa"/>
              <w:end w:w="110" w:type="dxa"/>
            </w:tcMar>
            <w:vAlign w:val="center"/>
          </w:tcPr>
          <w:p>
            <w:pPr>
              <w:spacing w:after="0"/>
            </w:pPr>
            <w:r>
              <w:rPr>
                <w:rFonts w:ascii="DejaVu Sans" w:hAnsi="DejaVu Sans"/>
                <w:color w:val="172A3A"/>
                <w:sz w:val="16"/>
              </w:rPr>
              <w:t>IGLT UK gilts</w:t>
            </w:r>
          </w:p>
        </w:tc>
        <w:tc>
          <w:tcPr>
            <w:tcW w:type="dxa" w:w="1584"/>
            <w:tcMar>
              <w:top w:w="90" w:type="dxa"/>
              <w:start w:w="110" w:type="dxa"/>
              <w:bottom w:w="90" w:type="dxa"/>
              <w:end w:w="110" w:type="dxa"/>
            </w:tcMar>
            <w:vAlign w:val="center"/>
          </w:tcPr>
          <w:p>
            <w:pPr>
              <w:spacing w:after="0"/>
            </w:pPr>
            <w:r>
              <w:rPr>
                <w:rFonts w:ascii="DejaVu Sans" w:hAnsi="DejaVu Sans"/>
                <w:color w:val="172A3A"/>
                <w:sz w:val="16"/>
              </w:rPr>
              <w:t>15.0%</w:t>
            </w:r>
          </w:p>
        </w:tc>
        <w:tc>
          <w:tcPr>
            <w:tcW w:type="dxa" w:w="1944"/>
            <w:tcMar>
              <w:top w:w="90" w:type="dxa"/>
              <w:start w:w="110" w:type="dxa"/>
              <w:bottom w:w="90" w:type="dxa"/>
              <w:end w:w="110" w:type="dxa"/>
            </w:tcMar>
            <w:vAlign w:val="center"/>
          </w:tcPr>
          <w:p>
            <w:pPr>
              <w:spacing w:after="0"/>
            </w:pPr>
            <w:r>
              <w:rPr>
                <w:rFonts w:ascii="DejaVu Sans" w:hAnsi="DejaVu Sans"/>
                <w:color w:val="172A3A"/>
                <w:sz w:val="16"/>
              </w:rPr>
              <w:t>36.2%</w:t>
            </w:r>
          </w:p>
        </w:tc>
        <w:tc>
          <w:tcPr>
            <w:tcW w:type="dxa" w:w="1944"/>
            <w:tcMar>
              <w:top w:w="90" w:type="dxa"/>
              <w:start w:w="110" w:type="dxa"/>
              <w:bottom w:w="90" w:type="dxa"/>
              <w:end w:w="110" w:type="dxa"/>
            </w:tcMar>
            <w:vAlign w:val="center"/>
          </w:tcPr>
          <w:p>
            <w:pPr>
              <w:spacing w:after="0"/>
            </w:pPr>
            <w:r>
              <w:rPr>
                <w:rFonts w:ascii="DejaVu Sans" w:hAnsi="DejaVu Sans"/>
                <w:color w:val="172A3A"/>
                <w:sz w:val="16"/>
              </w:rPr>
              <w:t>32.5%</w:t>
            </w:r>
          </w:p>
        </w:tc>
      </w:tr>
      <w:tr>
        <w:trPr>
          <w:cantSplit/>
        </w:trPr>
        <w:tc>
          <w:tcPr>
            <w:tcW w:type="dxa" w:w="3672"/>
            <w:tcMar>
              <w:top w:w="90" w:type="dxa"/>
              <w:start w:w="110" w:type="dxa"/>
              <w:bottom w:w="90" w:type="dxa"/>
              <w:end w:w="110" w:type="dxa"/>
            </w:tcMar>
            <w:shd w:fill="F2F5F5"/>
            <w:vAlign w:val="center"/>
          </w:tcPr>
          <w:p>
            <w:pPr>
              <w:spacing w:after="0"/>
            </w:pPr>
            <w:r>
              <w:rPr>
                <w:rFonts w:ascii="DejaVu Sans" w:hAnsi="DejaVu Sans"/>
                <w:color w:val="172A3A"/>
                <w:sz w:val="16"/>
              </w:rPr>
              <w:t>AGBP global bonds</w:t>
            </w:r>
          </w:p>
        </w:tc>
        <w:tc>
          <w:tcPr>
            <w:tcW w:type="dxa" w:w="1584"/>
            <w:tcMar>
              <w:top w:w="90" w:type="dxa"/>
              <w:start w:w="110" w:type="dxa"/>
              <w:bottom w:w="90" w:type="dxa"/>
              <w:end w:w="110" w:type="dxa"/>
            </w:tcMar>
            <w:shd w:fill="F2F5F5"/>
            <w:vAlign w:val="center"/>
          </w:tcPr>
          <w:p>
            <w:pPr>
              <w:spacing w:after="0"/>
            </w:pPr>
            <w:r>
              <w:rPr>
                <w:rFonts w:ascii="DejaVu Sans" w:hAnsi="DejaVu Sans"/>
                <w:color w:val="172A3A"/>
                <w:sz w:val="16"/>
              </w:rPr>
              <w:t>20.0%</w:t>
            </w:r>
          </w:p>
        </w:tc>
        <w:tc>
          <w:tcPr>
            <w:tcW w:type="dxa" w:w="1944"/>
            <w:tcMar>
              <w:top w:w="90" w:type="dxa"/>
              <w:start w:w="110" w:type="dxa"/>
              <w:bottom w:w="90" w:type="dxa"/>
              <w:end w:w="110" w:type="dxa"/>
            </w:tcMar>
            <w:shd w:fill="F2F5F5"/>
            <w:vAlign w:val="center"/>
          </w:tcPr>
          <w:p>
            <w:pPr>
              <w:spacing w:after="0"/>
            </w:pPr>
            <w:r>
              <w:rPr>
                <w:rFonts w:ascii="DejaVu Sans" w:hAnsi="DejaVu Sans"/>
                <w:color w:val="172A3A"/>
                <w:sz w:val="16"/>
              </w:rPr>
              <w:t>40.0%</w:t>
            </w:r>
          </w:p>
        </w:tc>
        <w:tc>
          <w:tcPr>
            <w:tcW w:type="dxa" w:w="1944"/>
            <w:tcMar>
              <w:top w:w="90" w:type="dxa"/>
              <w:start w:w="110" w:type="dxa"/>
              <w:bottom w:w="90" w:type="dxa"/>
              <w:end w:w="110" w:type="dxa"/>
            </w:tcMar>
            <w:shd w:fill="F2F5F5"/>
            <w:vAlign w:val="center"/>
          </w:tcPr>
          <w:p>
            <w:pPr>
              <w:spacing w:after="0"/>
            </w:pPr>
            <w:r>
              <w:rPr>
                <w:rFonts w:ascii="DejaVu Sans" w:hAnsi="DejaVu Sans"/>
                <w:color w:val="172A3A"/>
                <w:sz w:val="16"/>
              </w:rPr>
              <w:t>31.6%</w:t>
            </w:r>
          </w:p>
        </w:tc>
      </w:tr>
      <w:tr>
        <w:trPr>
          <w:cantSplit/>
        </w:trPr>
        <w:tc>
          <w:tcPr>
            <w:tcW w:type="dxa" w:w="3672"/>
            <w:tcMar>
              <w:top w:w="90" w:type="dxa"/>
              <w:start w:w="110" w:type="dxa"/>
              <w:bottom w:w="90" w:type="dxa"/>
              <w:end w:w="110" w:type="dxa"/>
            </w:tcMar>
            <w:vAlign w:val="center"/>
          </w:tcPr>
          <w:p>
            <w:pPr>
              <w:spacing w:after="0"/>
            </w:pPr>
            <w:r>
              <w:rPr>
                <w:rFonts w:ascii="DejaVu Sans" w:hAnsi="DejaVu Sans"/>
                <w:color w:val="172A3A"/>
                <w:sz w:val="16"/>
              </w:rPr>
              <w:t>SLXX sterling credit</w:t>
            </w:r>
          </w:p>
        </w:tc>
        <w:tc>
          <w:tcPr>
            <w:tcW w:type="dxa" w:w="1584"/>
            <w:tcMar>
              <w:top w:w="90" w:type="dxa"/>
              <w:start w:w="110" w:type="dxa"/>
              <w:bottom w:w="90" w:type="dxa"/>
              <w:end w:w="110" w:type="dxa"/>
            </w:tcMar>
            <w:vAlign w:val="center"/>
          </w:tcPr>
          <w:p>
            <w:pPr>
              <w:spacing w:after="0"/>
            </w:pPr>
            <w:r>
              <w:rPr>
                <w:rFonts w:ascii="DejaVu Sans" w:hAnsi="DejaVu Sans"/>
                <w:color w:val="172A3A"/>
                <w:sz w:val="16"/>
              </w:rPr>
              <w:t>10.0%</w:t>
            </w:r>
          </w:p>
        </w:tc>
        <w:tc>
          <w:tcPr>
            <w:tcW w:type="dxa" w:w="1944"/>
            <w:tcMar>
              <w:top w:w="90" w:type="dxa"/>
              <w:start w:w="110" w:type="dxa"/>
              <w:bottom w:w="90" w:type="dxa"/>
              <w:end w:w="110" w:type="dxa"/>
            </w:tcMar>
            <w:vAlign w:val="center"/>
          </w:tcPr>
          <w:p>
            <w:pPr>
              <w:spacing w:after="0"/>
            </w:pPr>
            <w:r>
              <w:rPr>
                <w:rFonts w:ascii="DejaVu Sans" w:hAnsi="DejaVu Sans"/>
                <w:color w:val="172A3A"/>
                <w:sz w:val="16"/>
              </w:rPr>
              <w:t>0.0%</w:t>
            </w:r>
          </w:p>
        </w:tc>
        <w:tc>
          <w:tcPr>
            <w:tcW w:type="dxa" w:w="1944"/>
            <w:tcMar>
              <w:top w:w="90" w:type="dxa"/>
              <w:start w:w="110" w:type="dxa"/>
              <w:bottom w:w="90" w:type="dxa"/>
              <w:end w:w="110" w:type="dxa"/>
            </w:tcMar>
            <w:vAlign w:val="center"/>
          </w:tcPr>
          <w:p>
            <w:pPr>
              <w:spacing w:after="0"/>
            </w:pPr>
            <w:r>
              <w:rPr>
                <w:rFonts w:ascii="DejaVu Sans" w:hAnsi="DejaVu Sans"/>
                <w:color w:val="172A3A"/>
                <w:sz w:val="16"/>
              </w:rPr>
              <w:t>0.0%</w:t>
            </w:r>
          </w:p>
        </w:tc>
      </w:tr>
      <w:tr>
        <w:trPr>
          <w:cantSplit/>
        </w:trPr>
        <w:tc>
          <w:tcPr>
            <w:tcW w:type="dxa" w:w="3672"/>
            <w:tcMar>
              <w:top w:w="90" w:type="dxa"/>
              <w:start w:w="110" w:type="dxa"/>
              <w:bottom w:w="90" w:type="dxa"/>
              <w:end w:w="110" w:type="dxa"/>
            </w:tcMar>
            <w:shd w:fill="F2F5F5"/>
            <w:vAlign w:val="center"/>
          </w:tcPr>
          <w:p>
            <w:pPr>
              <w:spacing w:after="0"/>
            </w:pPr>
            <w:r>
              <w:rPr>
                <w:rFonts w:ascii="DejaVu Sans" w:hAnsi="DejaVu Sans"/>
                <w:color w:val="172A3A"/>
                <w:sz w:val="16"/>
              </w:rPr>
              <w:t>SGLN physical gold</w:t>
            </w:r>
          </w:p>
        </w:tc>
        <w:tc>
          <w:tcPr>
            <w:tcW w:type="dxa" w:w="1584"/>
            <w:tcMar>
              <w:top w:w="90" w:type="dxa"/>
              <w:start w:w="110" w:type="dxa"/>
              <w:bottom w:w="90" w:type="dxa"/>
              <w:end w:w="110" w:type="dxa"/>
            </w:tcMar>
            <w:shd w:fill="F2F5F5"/>
            <w:vAlign w:val="center"/>
          </w:tcPr>
          <w:p>
            <w:pPr>
              <w:spacing w:after="0"/>
            </w:pPr>
            <w:r>
              <w:rPr>
                <w:rFonts w:ascii="DejaVu Sans" w:hAnsi="DejaVu Sans"/>
                <w:color w:val="172A3A"/>
                <w:sz w:val="16"/>
              </w:rPr>
              <w:t>7.0%</w:t>
            </w:r>
          </w:p>
        </w:tc>
        <w:tc>
          <w:tcPr>
            <w:tcW w:type="dxa" w:w="1944"/>
            <w:tcMar>
              <w:top w:w="90" w:type="dxa"/>
              <w:start w:w="110" w:type="dxa"/>
              <w:bottom w:w="90" w:type="dxa"/>
              <w:end w:w="110" w:type="dxa"/>
            </w:tcMar>
            <w:shd w:fill="F2F5F5"/>
            <w:vAlign w:val="center"/>
          </w:tcPr>
          <w:p>
            <w:pPr>
              <w:spacing w:after="0"/>
            </w:pPr>
            <w:r>
              <w:rPr>
                <w:rFonts w:ascii="DejaVu Sans" w:hAnsi="DejaVu Sans"/>
                <w:color w:val="172A3A"/>
                <w:sz w:val="16"/>
              </w:rPr>
              <w:t>7.1%</w:t>
            </w:r>
          </w:p>
        </w:tc>
        <w:tc>
          <w:tcPr>
            <w:tcW w:type="dxa" w:w="1944"/>
            <w:tcMar>
              <w:top w:w="90" w:type="dxa"/>
              <w:start w:w="110" w:type="dxa"/>
              <w:bottom w:w="90" w:type="dxa"/>
              <w:end w:w="110" w:type="dxa"/>
            </w:tcMar>
            <w:shd w:fill="F2F5F5"/>
            <w:vAlign w:val="center"/>
          </w:tcPr>
          <w:p>
            <w:pPr>
              <w:spacing w:after="0"/>
            </w:pPr>
            <w:r>
              <w:rPr>
                <w:rFonts w:ascii="DejaVu Sans" w:hAnsi="DejaVu Sans"/>
                <w:color w:val="172A3A"/>
                <w:sz w:val="16"/>
              </w:rPr>
              <w:t>0.0%</w:t>
            </w:r>
          </w:p>
        </w:tc>
      </w:tr>
      <w:tr>
        <w:trPr>
          <w:cantSplit/>
        </w:trPr>
        <w:tc>
          <w:tcPr>
            <w:tcW w:type="dxa" w:w="3672"/>
            <w:tcMar>
              <w:top w:w="90" w:type="dxa"/>
              <w:start w:w="110" w:type="dxa"/>
              <w:bottom w:w="90" w:type="dxa"/>
              <w:end w:w="110" w:type="dxa"/>
            </w:tcMar>
            <w:vAlign w:val="center"/>
          </w:tcPr>
          <w:p>
            <w:pPr>
              <w:spacing w:after="0"/>
            </w:pPr>
            <w:r>
              <w:rPr>
                <w:rFonts w:ascii="DejaVu Sans" w:hAnsi="DejaVu Sans"/>
                <w:color w:val="172A3A"/>
                <w:sz w:val="16"/>
              </w:rPr>
              <w:t>AGCP commodities</w:t>
            </w:r>
          </w:p>
        </w:tc>
        <w:tc>
          <w:tcPr>
            <w:tcW w:type="dxa" w:w="1584"/>
            <w:tcMar>
              <w:top w:w="90" w:type="dxa"/>
              <w:start w:w="110" w:type="dxa"/>
              <w:bottom w:w="90" w:type="dxa"/>
              <w:end w:w="110" w:type="dxa"/>
            </w:tcMar>
            <w:vAlign w:val="center"/>
          </w:tcPr>
          <w:p>
            <w:pPr>
              <w:spacing w:after="0"/>
            </w:pPr>
            <w:r>
              <w:rPr>
                <w:rFonts w:ascii="DejaVu Sans" w:hAnsi="DejaVu Sans"/>
                <w:color w:val="172A3A"/>
                <w:sz w:val="16"/>
              </w:rPr>
              <w:t>3.0%</w:t>
            </w:r>
          </w:p>
        </w:tc>
        <w:tc>
          <w:tcPr>
            <w:tcW w:type="dxa" w:w="1944"/>
            <w:tcMar>
              <w:top w:w="90" w:type="dxa"/>
              <w:start w:w="110" w:type="dxa"/>
              <w:bottom w:w="90" w:type="dxa"/>
              <w:end w:w="110" w:type="dxa"/>
            </w:tcMar>
            <w:vAlign w:val="center"/>
          </w:tcPr>
          <w:p>
            <w:pPr>
              <w:spacing w:after="0"/>
            </w:pPr>
            <w:r>
              <w:rPr>
                <w:rFonts w:ascii="DejaVu Sans" w:hAnsi="DejaVu Sans"/>
                <w:color w:val="172A3A"/>
                <w:sz w:val="16"/>
              </w:rPr>
              <w:t>0.0%</w:t>
            </w:r>
          </w:p>
        </w:tc>
        <w:tc>
          <w:tcPr>
            <w:tcW w:type="dxa" w:w="1944"/>
            <w:tcMar>
              <w:top w:w="90" w:type="dxa"/>
              <w:start w:w="110" w:type="dxa"/>
              <w:bottom w:w="90" w:type="dxa"/>
              <w:end w:w="110" w:type="dxa"/>
            </w:tcMar>
            <w:vAlign w:val="center"/>
          </w:tcPr>
          <w:p>
            <w:pPr>
              <w:spacing w:after="0"/>
            </w:pPr>
            <w:r>
              <w:rPr>
                <w:rFonts w:ascii="DejaVu Sans" w:hAnsi="DejaVu Sans"/>
                <w:color w:val="172A3A"/>
                <w:sz w:val="16"/>
              </w:rPr>
              <w:t>0.0%</w:t>
            </w:r>
          </w:p>
        </w:tc>
      </w:tr>
    </w:tbl>
    <w:p>
      <w:pPr>
        <w:spacing w:after="0"/>
      </w:pPr>
    </w:p>
    <w:p>
      <w:pPr>
        <w:pStyle w:val="Heading1"/>
        <w:spacing w:before="180" w:after="80"/>
      </w:pPr>
      <w:r>
        <w:rPr>
          <w:rFonts w:ascii="DejaVu Sans" w:hAnsi="DejaVu Sans"/>
          <w:b/>
          <w:color w:val="17324D"/>
          <w:sz w:val="32"/>
        </w:rPr>
        <w:t>Why the policy portfolio advances</w:t>
      </w:r>
    </w:p>
    <w:p>
      <w:pPr>
        <w:pStyle w:val="ListBullet"/>
        <w:spacing w:after="60"/>
        <w:ind w:left="259" w:hanging="173"/>
      </w:pPr>
      <w:r>
        <w:rPr>
          <w:rFonts w:ascii="DejaVu Sans" w:hAnsi="DejaVu Sans"/>
          <w:color w:val="172A3A"/>
          <w:sz w:val="18"/>
        </w:rPr>
        <w:t>It passes every coded mandate rule and retains all seven sources of exposure.</w:t>
      </w:r>
    </w:p>
    <w:p>
      <w:pPr>
        <w:pStyle w:val="ListBullet"/>
        <w:spacing w:after="60"/>
        <w:ind w:left="259" w:hanging="173"/>
      </w:pPr>
      <w:r>
        <w:rPr>
          <w:rFonts w:ascii="DejaVu Sans" w:hAnsi="DejaVu Sans"/>
          <w:color w:val="172A3A"/>
          <w:sz w:val="18"/>
        </w:rPr>
        <w:t>Its 45% fixed-income allocation supports the moderate-risk brief without allowing one bond sleeve to dominate.</w:t>
      </w:r>
    </w:p>
    <w:p>
      <w:pPr>
        <w:pStyle w:val="ListBullet"/>
        <w:spacing w:after="60"/>
        <w:ind w:left="259" w:hanging="173"/>
      </w:pPr>
      <w:r>
        <w:rPr>
          <w:rFonts w:ascii="DejaVu Sans" w:hAnsi="DejaVu Sans"/>
          <w:color w:val="172A3A"/>
          <w:sz w:val="18"/>
        </w:rPr>
        <w:t>Gold and broad commodities introduce inflation-sensitive exposures absent from the 60/40 reference.</w:t>
      </w:r>
    </w:p>
    <w:p>
      <w:pPr>
        <w:pStyle w:val="ListBullet"/>
        <w:spacing w:after="60"/>
        <w:ind w:left="259" w:hanging="173"/>
      </w:pPr>
      <w:r>
        <w:rPr>
          <w:rFonts w:ascii="DejaVu Sans" w:hAnsi="DejaVu Sans"/>
          <w:color w:val="172A3A"/>
          <w:sz w:val="18"/>
        </w:rPr>
        <w:t>The allocation is understandable enough to govern and challenge at committee level.</w:t>
      </w:r>
    </w:p>
    <w:p>
      <w:pPr>
        <w:pStyle w:val="Heading1"/>
        <w:spacing w:before="180" w:after="80"/>
      </w:pPr>
      <w:r>
        <w:rPr>
          <w:rFonts w:ascii="DejaVu Sans" w:hAnsi="DejaVu Sans"/>
          <w:b/>
          <w:color w:val="17324D"/>
          <w:sz w:val="32"/>
        </w:rPr>
        <w:t>Why the optimisers remain diagnostics</w:t>
      </w:r>
    </w:p>
    <w:p>
      <w:pPr>
        <w:spacing w:after="100" w:line="259" w:lineRule="auto"/>
      </w:pPr>
      <w:r>
        <w:rPr>
          <w:rFonts w:ascii="DejaVu Sans" w:hAnsi="DejaVu Sans"/>
          <w:color w:val="172A3A"/>
          <w:sz w:val="18"/>
        </w:rPr>
        <w:t>Minimum variance places 76.2% in IGLT and AGBP. Maximum Sharpe holds only three sleeves. Both outputs meet the formal bounds, but their concentration reflects the synthetic sample means and covariance matrix. Small input changes can produce different answers.</w:t>
      </w:r>
    </w:p>
    <w:p>
      <w:pPr>
        <w:spacing w:after="100" w:line="259" w:lineRule="auto"/>
      </w:pPr>
      <w:r>
        <w:rPr>
          <w:rFonts w:ascii="DejaVu Sans" w:hAnsi="DejaVu Sans"/>
          <w:color w:val="172A3A"/>
          <w:sz w:val="18"/>
        </w:rPr>
        <w:t>The sensitivity grid reruns both objectives across three asset caps and three fixed-income floors. All 18 runs converge, which supports code reliability but does not make the estimated optimum stable or suitable.</w:t>
      </w:r>
    </w:p>
    <w:tbl>
      <w:tblPr>
        <w:tblW w:type="auto" w:w="0"/>
        <w:jc w:val="center"/>
        <w:tblLayout w:type="fixed"/>
        <w:tblLook w:firstColumn="1" w:firstRow="1" w:lastColumn="0" w:lastRow="0" w:noHBand="0" w:noVBand="1" w:val="04A0"/>
      </w:tblPr>
      <w:tblGrid>
        <w:gridCol w:w="10224"/>
      </w:tblGrid>
      <w:tr>
        <w:tc>
          <w:tcPr>
            <w:tcW w:type="dxa" w:w="9864"/>
            <w:shd w:fill="E7F0EE"/>
            <w:tcMar>
              <w:top w:w="120" w:type="dxa"/>
              <w:start w:w="170" w:type="dxa"/>
              <w:bottom w:w="120" w:type="dxa"/>
              <w:end w:w="170" w:type="dxa"/>
            </w:tcMar>
          </w:tcPr>
          <w:p>
            <w:pPr>
              <w:spacing w:after="60"/>
            </w:pPr>
            <w:r>
              <w:rPr>
                <w:rFonts w:ascii="DejaVu Sans" w:hAnsi="DejaVu Sans"/>
                <w:b/>
                <w:color w:val="0B6E69"/>
                <w:sz w:val="21"/>
              </w:rPr>
              <w:t>Governance principle</w:t>
            </w:r>
          </w:p>
          <w:p>
            <w:pPr>
              <w:spacing w:after="0" w:line="252" w:lineRule="auto"/>
            </w:pPr>
            <w:r>
              <w:rPr>
                <w:rFonts w:ascii="DejaVu Sans" w:hAnsi="DejaVu Sans"/>
                <w:color w:val="172A3A"/>
                <w:sz w:val="18"/>
              </w:rPr>
              <w:t>Use optimisation to identify trade-offs and concentrations. Set the strategic allocation from the mandate, risk capacity, liquidity needs, costs and committee judgement.</w:t>
            </w:r>
          </w:p>
        </w:tc>
      </w:tr>
    </w:tbl>
    <w:p>
      <w:pPr>
        <w:spacing w:after="0"/>
      </w:pPr>
    </w:p>
    <w:p>
      <w:pPr>
        <w:pStyle w:val="Heading1"/>
        <w:spacing w:before="180" w:after="80"/>
      </w:pPr>
      <w:r>
        <w:rPr>
          <w:rFonts w:ascii="DejaVu Sans" w:hAnsi="DejaVu Sans"/>
          <w:b/>
          <w:color w:val="17324D"/>
          <w:sz w:val="32"/>
        </w:rPr>
        <w:t>Implementation conditions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600"/>
            <w:shd w:fill="17324D"/>
            <w:tcMar>
              <w:top w:w="90" w:type="dxa"/>
              <w:start w:w="110" w:type="dxa"/>
              <w:bottom w:w="90" w:type="dxa"/>
              <w:end w:w="110" w:type="dxa"/>
            </w:tcMar>
            <w:vAlign w:val="center"/>
          </w:tcPr>
          <w:p>
            <w:pPr>
              <w:jc w:val="left"/>
            </w:pPr>
            <w:r>
              <w:rPr>
                <w:rFonts w:ascii="DejaVu Sans" w:hAnsi="DejaVu Sans"/>
                <w:b/>
                <w:color w:val="FFFFFF"/>
                <w:sz w:val="16"/>
              </w:rPr>
              <w:t>Required evidence</w:t>
            </w:r>
          </w:p>
        </w:tc>
        <w:tc>
          <w:tcPr>
            <w:tcW w:type="dxa" w:w="5760"/>
            <w:shd w:fill="17324D"/>
            <w:tcMar>
              <w:top w:w="90" w:type="dxa"/>
              <w:start w:w="110" w:type="dxa"/>
              <w:bottom w:w="90" w:type="dxa"/>
              <w:end w:w="110" w:type="dxa"/>
            </w:tcMar>
            <w:vAlign w:val="center"/>
          </w:tcPr>
          <w:p>
            <w:pPr>
              <w:jc w:val="left"/>
            </w:pPr>
            <w:r>
              <w:rPr>
                <w:rFonts w:ascii="DejaVu Sans" w:hAnsi="DejaVu Sans"/>
                <w:b/>
                <w:color w:val="FFFFFF"/>
                <w:sz w:val="16"/>
              </w:rPr>
              <w:t>Reason</w:t>
            </w:r>
          </w:p>
        </w:tc>
      </w:tr>
      <w:tr>
        <w:trPr>
          <w:cantSplit/>
        </w:trPr>
        <w:tc>
          <w:tcPr>
            <w:tcW w:type="dxa" w:w="3600"/>
            <w:tcMar>
              <w:top w:w="90" w:type="dxa"/>
              <w:start w:w="110" w:type="dxa"/>
              <w:bottom w:w="90" w:type="dxa"/>
              <w:end w:w="110" w:type="dxa"/>
            </w:tcMar>
            <w:vAlign w:val="center"/>
          </w:tcPr>
          <w:p>
            <w:pPr>
              <w:spacing w:after="0"/>
            </w:pPr>
            <w:r>
              <w:rPr>
                <w:rFonts w:ascii="DejaVu Sans" w:hAnsi="DejaVu Sans"/>
                <w:color w:val="172A3A"/>
                <w:sz w:val="16"/>
              </w:rPr>
              <w:t>Validated common live history</w:t>
            </w:r>
          </w:p>
        </w:tc>
        <w:tc>
          <w:tcPr>
            <w:tcW w:type="dxa" w:w="5760"/>
            <w:tcMar>
              <w:top w:w="90" w:type="dxa"/>
              <w:start w:w="110" w:type="dxa"/>
              <w:bottom w:w="90" w:type="dxa"/>
              <w:end w:w="110" w:type="dxa"/>
            </w:tcMar>
            <w:vAlign w:val="center"/>
          </w:tcPr>
          <w:p>
            <w:pPr>
              <w:spacing w:after="0"/>
            </w:pPr>
            <w:r>
              <w:rPr>
                <w:rFonts w:ascii="DejaVu Sans" w:hAnsi="DejaVu Sans"/>
                <w:color w:val="172A3A"/>
                <w:sz w:val="16"/>
              </w:rPr>
              <w:t>Replace synthetic outputs with auditable market evidence</w:t>
            </w:r>
          </w:p>
        </w:tc>
      </w:tr>
      <w:tr>
        <w:trPr>
          <w:cantSplit/>
        </w:trPr>
        <w:tc>
          <w:tcPr>
            <w:tcW w:type="dxa" w:w="3600"/>
            <w:tcMar>
              <w:top w:w="90" w:type="dxa"/>
              <w:start w:w="110" w:type="dxa"/>
              <w:bottom w:w="90" w:type="dxa"/>
              <w:end w:w="110" w:type="dxa"/>
            </w:tcMar>
            <w:shd w:fill="F2F5F5"/>
            <w:vAlign w:val="center"/>
          </w:tcPr>
          <w:p>
            <w:pPr>
              <w:spacing w:after="0"/>
            </w:pPr>
            <w:r>
              <w:rPr>
                <w:rFonts w:ascii="DejaVu Sans" w:hAnsi="DejaVu Sans"/>
                <w:color w:val="172A3A"/>
                <w:sz w:val="16"/>
              </w:rPr>
              <w:t>UK CPI benchmark</w:t>
            </w:r>
          </w:p>
        </w:tc>
        <w:tc>
          <w:tcPr>
            <w:tcW w:type="dxa" w:w="5760"/>
            <w:tcMar>
              <w:top w:w="90" w:type="dxa"/>
              <w:start w:w="110" w:type="dxa"/>
              <w:bottom w:w="90" w:type="dxa"/>
              <w:end w:w="110" w:type="dxa"/>
            </w:tcMar>
            <w:shd w:fill="F2F5F5"/>
            <w:vAlign w:val="center"/>
          </w:tcPr>
          <w:p>
            <w:pPr>
              <w:spacing w:after="0"/>
            </w:pPr>
            <w:r>
              <w:rPr>
                <w:rFonts w:ascii="DejaVu Sans" w:hAnsi="DejaVu Sans"/>
                <w:color w:val="172A3A"/>
                <w:sz w:val="16"/>
              </w:rPr>
              <w:t>Test the stated real-return objective</w:t>
            </w:r>
          </w:p>
        </w:tc>
      </w:tr>
      <w:tr>
        <w:trPr>
          <w:cantSplit/>
        </w:trPr>
        <w:tc>
          <w:tcPr>
            <w:tcW w:type="dxa" w:w="3600"/>
            <w:tcMar>
              <w:top w:w="90" w:type="dxa"/>
              <w:start w:w="110" w:type="dxa"/>
              <w:bottom w:w="90" w:type="dxa"/>
              <w:end w:w="110" w:type="dxa"/>
            </w:tcMar>
            <w:vAlign w:val="center"/>
          </w:tcPr>
          <w:p>
            <w:pPr>
              <w:spacing w:after="0"/>
            </w:pPr>
            <w:r>
              <w:rPr>
                <w:rFonts w:ascii="DejaVu Sans" w:hAnsi="DejaVu Sans"/>
                <w:color w:val="172A3A"/>
                <w:sz w:val="16"/>
              </w:rPr>
              <w:t>Product costs and trading assumptions</w:t>
            </w:r>
          </w:p>
        </w:tc>
        <w:tc>
          <w:tcPr>
            <w:tcW w:type="dxa" w:w="5760"/>
            <w:tcMar>
              <w:top w:w="90" w:type="dxa"/>
              <w:start w:w="110" w:type="dxa"/>
              <w:bottom w:w="90" w:type="dxa"/>
              <w:end w:w="110" w:type="dxa"/>
            </w:tcMar>
            <w:vAlign w:val="center"/>
          </w:tcPr>
          <w:p>
            <w:pPr>
              <w:spacing w:after="0"/>
            </w:pPr>
            <w:r>
              <w:rPr>
                <w:rFonts w:ascii="DejaVu Sans" w:hAnsi="DejaVu Sans"/>
                <w:color w:val="172A3A"/>
                <w:sz w:val="16"/>
              </w:rPr>
              <w:t>Estimate net rather than gross outcomes</w:t>
            </w:r>
          </w:p>
        </w:tc>
      </w:tr>
      <w:tr>
        <w:trPr>
          <w:cantSplit/>
        </w:trPr>
        <w:tc>
          <w:tcPr>
            <w:tcW w:type="dxa" w:w="3600"/>
            <w:tcMar>
              <w:top w:w="90" w:type="dxa"/>
              <w:start w:w="110" w:type="dxa"/>
              <w:bottom w:w="90" w:type="dxa"/>
              <w:end w:w="110" w:type="dxa"/>
            </w:tcMar>
            <w:shd w:fill="F2F5F5"/>
            <w:vAlign w:val="center"/>
          </w:tcPr>
          <w:p>
            <w:pPr>
              <w:spacing w:after="0"/>
            </w:pPr>
            <w:r>
              <w:rPr>
                <w:rFonts w:ascii="DejaVu Sans" w:hAnsi="DejaVu Sans"/>
                <w:color w:val="172A3A"/>
                <w:sz w:val="16"/>
              </w:rPr>
              <w:t>Grant reserve and rebalancing policy</w:t>
            </w:r>
          </w:p>
        </w:tc>
        <w:tc>
          <w:tcPr>
            <w:tcW w:type="dxa" w:w="5760"/>
            <w:tcMar>
              <w:top w:w="90" w:type="dxa"/>
              <w:start w:w="110" w:type="dxa"/>
              <w:bottom w:w="90" w:type="dxa"/>
              <w:end w:w="110" w:type="dxa"/>
            </w:tcMar>
            <w:shd w:fill="F2F5F5"/>
            <w:vAlign w:val="center"/>
          </w:tcPr>
          <w:p>
            <w:pPr>
              <w:spacing w:after="0"/>
            </w:pPr>
            <w:r>
              <w:rPr>
                <w:rFonts w:ascii="DejaVu Sans" w:hAnsi="DejaVu Sans"/>
                <w:color w:val="172A3A"/>
                <w:sz w:val="16"/>
              </w:rPr>
              <w:t>Protect near-term distributions and define control</w:t>
            </w:r>
          </w:p>
        </w:tc>
      </w:tr>
      <w:tr>
        <w:trPr>
          <w:cantSplit/>
        </w:trPr>
        <w:tc>
          <w:tcPr>
            <w:tcW w:type="dxa" w:w="3600"/>
            <w:tcMar>
              <w:top w:w="90" w:type="dxa"/>
              <w:start w:w="110" w:type="dxa"/>
              <w:bottom w:w="90" w:type="dxa"/>
              <w:end w:w="110" w:type="dxa"/>
            </w:tcMar>
            <w:vAlign w:val="center"/>
          </w:tcPr>
          <w:p>
            <w:pPr>
              <w:spacing w:after="0"/>
            </w:pPr>
            <w:r>
              <w:rPr>
                <w:rFonts w:ascii="DejaVu Sans" w:hAnsi="DejaVu Sans"/>
                <w:color w:val="172A3A"/>
                <w:sz w:val="16"/>
              </w:rPr>
              <w:t>Rolling and out-of-sample tests</w:t>
            </w:r>
          </w:p>
        </w:tc>
        <w:tc>
          <w:tcPr>
            <w:tcW w:type="dxa" w:w="5760"/>
            <w:tcMar>
              <w:top w:w="90" w:type="dxa"/>
              <w:start w:w="110" w:type="dxa"/>
              <w:bottom w:w="90" w:type="dxa"/>
              <w:end w:w="110" w:type="dxa"/>
            </w:tcMar>
            <w:vAlign w:val="center"/>
          </w:tcPr>
          <w:p>
            <w:pPr>
              <w:spacing w:after="0"/>
            </w:pPr>
            <w:r>
              <w:rPr>
                <w:rFonts w:ascii="DejaVu Sans" w:hAnsi="DejaVu Sans"/>
                <w:color w:val="172A3A"/>
                <w:sz w:val="16"/>
              </w:rPr>
              <w:t>Reduce reliance on one fitted sample</w:t>
            </w:r>
          </w:p>
        </w:tc>
      </w:tr>
    </w:tbl>
    <w:p>
      <w:pPr>
        <w:spacing w:after="0"/>
      </w:pPr>
    </w:p>
    <w:p>
      <w:pPr>
        <w:pageBreakBefore/>
        <w:spacing w:after="20"/>
      </w:pPr>
      <w:r>
        <w:rPr>
          <w:rFonts w:ascii="DejaVu Sans" w:hAnsi="DejaVu Sans"/>
          <w:b/>
          <w:color w:val="0B6E69"/>
          <w:sz w:val="20"/>
        </w:rPr>
        <w:t>04</w:t>
      </w:r>
    </w:p>
    <w:p>
      <w:pPr>
        <w:spacing w:after="40"/>
      </w:pPr>
      <w:r>
        <w:rPr>
          <w:rFonts w:ascii="DejaVu Sans" w:hAnsi="DejaVu Sans"/>
          <w:b/>
          <w:color w:val="17324D"/>
          <w:sz w:val="46"/>
        </w:rPr>
        <w:t>Validation and limitations</w:t>
      </w:r>
    </w:p>
    <w:p>
      <w:pPr>
        <w:spacing w:after="200"/>
      </w:pPr>
      <w:r>
        <w:rPr>
          <w:rFonts w:ascii="DejaVu Sans" w:hAnsi="DejaVu Sans"/>
          <w:color w:val="687783"/>
          <w:sz w:val="19"/>
        </w:rPr>
        <w:t>What has been proved in v1 and what remains unresolved</w:t>
      </w:r>
    </w:p>
    <w:p>
      <w:pPr>
        <w:pStyle w:val="Heading1"/>
        <w:spacing w:before="180" w:after="80"/>
      </w:pPr>
      <w:r>
        <w:rPr>
          <w:rFonts w:ascii="DejaVu Sans" w:hAnsi="DejaVu Sans"/>
          <w:b/>
          <w:color w:val="17324D"/>
          <w:sz w:val="32"/>
        </w:rPr>
        <w:t>Validation evidence</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240"/>
            <w:shd w:fill="17324D"/>
            <w:tcMar>
              <w:top w:w="90" w:type="dxa"/>
              <w:start w:w="110" w:type="dxa"/>
              <w:bottom w:w="90" w:type="dxa"/>
              <w:end w:w="110" w:type="dxa"/>
            </w:tcMar>
            <w:vAlign w:val="center"/>
          </w:tcPr>
          <w:p>
            <w:pPr>
              <w:jc w:val="left"/>
            </w:pPr>
            <w:r>
              <w:rPr>
                <w:rFonts w:ascii="DejaVu Sans" w:hAnsi="DejaVu Sans"/>
                <w:b/>
                <w:color w:val="FFFFFF"/>
                <w:sz w:val="16"/>
              </w:rPr>
              <w:t>Control</w:t>
            </w:r>
          </w:p>
        </w:tc>
        <w:tc>
          <w:tcPr>
            <w:tcW w:type="dxa" w:w="6120"/>
            <w:shd w:fill="17324D"/>
            <w:tcMar>
              <w:top w:w="90" w:type="dxa"/>
              <w:start w:w="110" w:type="dxa"/>
              <w:bottom w:w="90" w:type="dxa"/>
              <w:end w:w="110" w:type="dxa"/>
            </w:tcMar>
            <w:vAlign w:val="center"/>
          </w:tcPr>
          <w:p>
            <w:pPr>
              <w:jc w:val="left"/>
            </w:pPr>
            <w:r>
              <w:rPr>
                <w:rFonts w:ascii="DejaVu Sans" w:hAnsi="DejaVu Sans"/>
                <w:b/>
                <w:color w:val="FFFFFF"/>
                <w:sz w:val="16"/>
              </w:rPr>
              <w:t>Result</w:t>
            </w:r>
          </w:p>
        </w:tc>
      </w:tr>
      <w:tr>
        <w:trPr>
          <w:cantSplit/>
        </w:trPr>
        <w:tc>
          <w:tcPr>
            <w:tcW w:type="dxa" w:w="3240"/>
            <w:tcMar>
              <w:top w:w="90" w:type="dxa"/>
              <w:start w:w="110" w:type="dxa"/>
              <w:bottom w:w="90" w:type="dxa"/>
              <w:end w:w="110" w:type="dxa"/>
            </w:tcMar>
            <w:vAlign w:val="center"/>
          </w:tcPr>
          <w:p>
            <w:pPr>
              <w:spacing w:after="0"/>
            </w:pPr>
            <w:r>
              <w:rPr>
                <w:rFonts w:ascii="DejaVu Sans" w:hAnsi="DejaVu Sans"/>
                <w:color w:val="172A3A"/>
                <w:sz w:val="16"/>
              </w:rPr>
              <w:t>Automated tests</w:t>
            </w:r>
          </w:p>
        </w:tc>
        <w:tc>
          <w:tcPr>
            <w:tcW w:type="dxa" w:w="6120"/>
            <w:tcMar>
              <w:top w:w="90" w:type="dxa"/>
              <w:start w:w="110" w:type="dxa"/>
              <w:bottom w:w="90" w:type="dxa"/>
              <w:end w:w="110" w:type="dxa"/>
            </w:tcMar>
            <w:vAlign w:val="center"/>
          </w:tcPr>
          <w:p>
            <w:pPr>
              <w:spacing w:after="0"/>
            </w:pPr>
            <w:r>
              <w:rPr>
                <w:rFonts w:ascii="DejaVu Sans" w:hAnsi="DejaVu Sans"/>
                <w:color w:val="172A3A"/>
                <w:sz w:val="16"/>
              </w:rPr>
              <w:t>63 passed in a clean Python 3.12 environment</w:t>
            </w:r>
          </w:p>
        </w:tc>
      </w:tr>
      <w:tr>
        <w:trPr>
          <w:cantSplit/>
        </w:trPr>
        <w:tc>
          <w:tcPr>
            <w:tcW w:type="dxa" w:w="3240"/>
            <w:tcMar>
              <w:top w:w="90" w:type="dxa"/>
              <w:start w:w="110" w:type="dxa"/>
              <w:bottom w:w="90" w:type="dxa"/>
              <w:end w:w="110" w:type="dxa"/>
            </w:tcMar>
            <w:shd w:fill="F2F5F5"/>
            <w:vAlign w:val="center"/>
          </w:tcPr>
          <w:p>
            <w:pPr>
              <w:spacing w:after="0"/>
            </w:pPr>
            <w:r>
              <w:rPr>
                <w:rFonts w:ascii="DejaVu Sans" w:hAnsi="DejaVu Sans"/>
                <w:color w:val="172A3A"/>
                <w:sz w:val="16"/>
              </w:rPr>
              <w:t>Streamlit clean start</w:t>
            </w:r>
          </w:p>
        </w:tc>
        <w:tc>
          <w:tcPr>
            <w:tcW w:type="dxa" w:w="6120"/>
            <w:tcMar>
              <w:top w:w="90" w:type="dxa"/>
              <w:start w:w="110" w:type="dxa"/>
              <w:bottom w:w="90" w:type="dxa"/>
              <w:end w:w="110" w:type="dxa"/>
            </w:tcMar>
            <w:shd w:fill="F2F5F5"/>
            <w:vAlign w:val="center"/>
          </w:tcPr>
          <w:p>
            <w:pPr>
              <w:spacing w:after="0"/>
            </w:pPr>
            <w:r>
              <w:rPr>
                <w:rFonts w:ascii="DejaVu Sans" w:hAnsi="DejaVu Sans"/>
                <w:color w:val="172A3A"/>
                <w:sz w:val="16"/>
              </w:rPr>
              <w:t>Health endpoint returned ok</w:t>
            </w:r>
          </w:p>
        </w:tc>
      </w:tr>
      <w:tr>
        <w:trPr>
          <w:cantSplit/>
        </w:trPr>
        <w:tc>
          <w:tcPr>
            <w:tcW w:type="dxa" w:w="3240"/>
            <w:tcMar>
              <w:top w:w="90" w:type="dxa"/>
              <w:start w:w="110" w:type="dxa"/>
              <w:bottom w:w="90" w:type="dxa"/>
              <w:end w:w="110" w:type="dxa"/>
            </w:tcMar>
            <w:vAlign w:val="center"/>
          </w:tcPr>
          <w:p>
            <w:pPr>
              <w:spacing w:after="0"/>
            </w:pPr>
            <w:r>
              <w:rPr>
                <w:rFonts w:ascii="DejaVu Sans" w:hAnsi="DejaVu Sans"/>
                <w:color w:val="172A3A"/>
                <w:sz w:val="16"/>
              </w:rPr>
              <w:t>Portfolio constraints</w:t>
            </w:r>
          </w:p>
        </w:tc>
        <w:tc>
          <w:tcPr>
            <w:tcW w:type="dxa" w:w="6120"/>
            <w:tcMar>
              <w:top w:w="90" w:type="dxa"/>
              <w:start w:w="110" w:type="dxa"/>
              <w:bottom w:w="90" w:type="dxa"/>
              <w:end w:w="110" w:type="dxa"/>
            </w:tcMar>
            <w:vAlign w:val="center"/>
          </w:tcPr>
          <w:p>
            <w:pPr>
              <w:spacing w:after="0"/>
            </w:pPr>
            <w:r>
              <w:rPr>
                <w:rFonts w:ascii="DejaVu Sans" w:hAnsi="DejaVu Sans"/>
                <w:color w:val="172A3A"/>
                <w:sz w:val="16"/>
              </w:rPr>
              <w:t>Five weight sums, bounds and fixed-income floors passed</w:t>
            </w:r>
          </w:p>
        </w:tc>
      </w:tr>
      <w:tr>
        <w:trPr>
          <w:cantSplit/>
        </w:trPr>
        <w:tc>
          <w:tcPr>
            <w:tcW w:type="dxa" w:w="3240"/>
            <w:tcMar>
              <w:top w:w="90" w:type="dxa"/>
              <w:start w:w="110" w:type="dxa"/>
              <w:bottom w:w="90" w:type="dxa"/>
              <w:end w:w="110" w:type="dxa"/>
            </w:tcMar>
            <w:shd w:fill="F2F5F5"/>
            <w:vAlign w:val="center"/>
          </w:tcPr>
          <w:p>
            <w:pPr>
              <w:spacing w:after="0"/>
            </w:pPr>
            <w:r>
              <w:rPr>
                <w:rFonts w:ascii="DejaVu Sans" w:hAnsi="DejaVu Sans"/>
                <w:color w:val="172A3A"/>
                <w:sz w:val="16"/>
              </w:rPr>
              <w:t>Return contributions</w:t>
            </w:r>
          </w:p>
        </w:tc>
        <w:tc>
          <w:tcPr>
            <w:tcW w:type="dxa" w:w="6120"/>
            <w:tcMar>
              <w:top w:w="90" w:type="dxa"/>
              <w:start w:w="110" w:type="dxa"/>
              <w:bottom w:w="90" w:type="dxa"/>
              <w:end w:w="110" w:type="dxa"/>
            </w:tcMar>
            <w:shd w:fill="F2F5F5"/>
            <w:vAlign w:val="center"/>
          </w:tcPr>
          <w:p>
            <w:pPr>
              <w:spacing w:after="0"/>
            </w:pPr>
            <w:r>
              <w:rPr>
                <w:rFonts w:ascii="DejaVu Sans" w:hAnsi="DejaVu Sans"/>
                <w:color w:val="172A3A"/>
                <w:sz w:val="16"/>
              </w:rPr>
              <w:t>Reconciled to arithmetic portfolio return</w:t>
            </w:r>
          </w:p>
        </w:tc>
      </w:tr>
      <w:tr>
        <w:trPr>
          <w:cantSplit/>
        </w:trPr>
        <w:tc>
          <w:tcPr>
            <w:tcW w:type="dxa" w:w="3240"/>
            <w:tcMar>
              <w:top w:w="90" w:type="dxa"/>
              <w:start w:w="110" w:type="dxa"/>
              <w:bottom w:w="90" w:type="dxa"/>
              <w:end w:w="110" w:type="dxa"/>
            </w:tcMar>
            <w:vAlign w:val="center"/>
          </w:tcPr>
          <w:p>
            <w:pPr>
              <w:spacing w:after="0"/>
            </w:pPr>
            <w:r>
              <w:rPr>
                <w:rFonts w:ascii="DejaVu Sans" w:hAnsi="DejaVu Sans"/>
                <w:color w:val="172A3A"/>
                <w:sz w:val="16"/>
              </w:rPr>
              <w:t>Risk contributions</w:t>
            </w:r>
          </w:p>
        </w:tc>
        <w:tc>
          <w:tcPr>
            <w:tcW w:type="dxa" w:w="6120"/>
            <w:tcMar>
              <w:top w:w="90" w:type="dxa"/>
              <w:start w:w="110" w:type="dxa"/>
              <w:bottom w:w="90" w:type="dxa"/>
              <w:end w:w="110" w:type="dxa"/>
            </w:tcMar>
            <w:vAlign w:val="center"/>
          </w:tcPr>
          <w:p>
            <w:pPr>
              <w:spacing w:after="0"/>
            </w:pPr>
            <w:r>
              <w:rPr>
                <w:rFonts w:ascii="DejaVu Sans" w:hAnsi="DejaVu Sans"/>
                <w:color w:val="172A3A"/>
                <w:sz w:val="16"/>
              </w:rPr>
              <w:t>Reconciled to covariance-based portfolio volatility</w:t>
            </w:r>
          </w:p>
        </w:tc>
      </w:tr>
      <w:tr>
        <w:trPr>
          <w:cantSplit/>
        </w:trPr>
        <w:tc>
          <w:tcPr>
            <w:tcW w:type="dxa" w:w="3240"/>
            <w:tcMar>
              <w:top w:w="90" w:type="dxa"/>
              <w:start w:w="110" w:type="dxa"/>
              <w:bottom w:w="90" w:type="dxa"/>
              <w:end w:w="110" w:type="dxa"/>
            </w:tcMar>
            <w:shd w:fill="F2F5F5"/>
            <w:vAlign w:val="center"/>
          </w:tcPr>
          <w:p>
            <w:pPr>
              <w:spacing w:after="0"/>
            </w:pPr>
            <w:r>
              <w:rPr>
                <w:rFonts w:ascii="DejaVu Sans" w:hAnsi="DejaVu Sans"/>
                <w:color w:val="172A3A"/>
                <w:sz w:val="16"/>
              </w:rPr>
              <w:t>Optimisation</w:t>
            </w:r>
          </w:p>
        </w:tc>
        <w:tc>
          <w:tcPr>
            <w:tcW w:type="dxa" w:w="6120"/>
            <w:tcMar>
              <w:top w:w="90" w:type="dxa"/>
              <w:start w:w="110" w:type="dxa"/>
              <w:bottom w:w="90" w:type="dxa"/>
              <w:end w:w="110" w:type="dxa"/>
            </w:tcMar>
            <w:shd w:fill="F2F5F5"/>
            <w:vAlign w:val="center"/>
          </w:tcPr>
          <w:p>
            <w:pPr>
              <w:spacing w:after="0"/>
            </w:pPr>
            <w:r>
              <w:rPr>
                <w:rFonts w:ascii="DejaVu Sans" w:hAnsi="DejaVu Sans"/>
                <w:color w:val="172A3A"/>
                <w:sz w:val="16"/>
              </w:rPr>
              <w:t>Core runs and 18 sensitivity runs converged; failures raise errors</w:t>
            </w:r>
          </w:p>
        </w:tc>
      </w:tr>
    </w:tbl>
    <w:p>
      <w:pPr>
        <w:spacing w:after="0"/>
      </w:pPr>
    </w:p>
    <w:p>
      <w:pPr>
        <w:pStyle w:val="Heading1"/>
        <w:spacing w:before="180" w:after="80"/>
      </w:pPr>
      <w:r>
        <w:rPr>
          <w:rFonts w:ascii="DejaVu Sans" w:hAnsi="DejaVu Sans"/>
          <w:b/>
          <w:color w:val="17324D"/>
          <w:sz w:val="32"/>
        </w:rPr>
        <w:t>Known limitations</w:t>
      </w:r>
    </w:p>
    <w:p>
      <w:pPr>
        <w:pStyle w:val="ListBullet"/>
        <w:spacing w:after="60"/>
        <w:ind w:left="259" w:hanging="173"/>
      </w:pPr>
      <w:r>
        <w:rPr>
          <w:rFonts w:ascii="DejaVu Sans" w:hAnsi="DejaVu Sans"/>
          <w:color w:val="172A3A"/>
          <w:sz w:val="18"/>
        </w:rPr>
        <w:t>Yahoo Finance rate-limited the live run, so the committed numerical results are synthetic demonstrations.</w:t>
      </w:r>
    </w:p>
    <w:p>
      <w:pPr>
        <w:pStyle w:val="ListBullet"/>
        <w:spacing w:after="60"/>
        <w:ind w:left="259" w:hanging="173"/>
      </w:pPr>
      <w:r>
        <w:rPr>
          <w:rFonts w:ascii="DejaVu Sans" w:hAnsi="DejaVu Sans"/>
          <w:color w:val="172A3A"/>
          <w:sz w:val="18"/>
        </w:rPr>
        <w:t>The model does not ingest CPI, liabilities, withdrawals, tax, external fees, spreads or market impact.</w:t>
      </w:r>
    </w:p>
    <w:p>
      <w:pPr>
        <w:pStyle w:val="ListBullet"/>
        <w:spacing w:after="60"/>
        <w:ind w:left="259" w:hanging="173"/>
      </w:pPr>
      <w:r>
        <w:rPr>
          <w:rFonts w:ascii="DejaVu Sans" w:hAnsi="DejaVu Sans"/>
          <w:color w:val="172A3A"/>
          <w:sz w:val="18"/>
        </w:rPr>
        <w:t>Optimisation is in-sample and sensitive to means, covariance, the sample window and constraints.</w:t>
      </w:r>
    </w:p>
    <w:p>
      <w:pPr>
        <w:pStyle w:val="ListBullet"/>
        <w:spacing w:after="60"/>
        <w:ind w:left="259" w:hanging="173"/>
      </w:pPr>
      <w:r>
        <w:rPr>
          <w:rFonts w:ascii="DejaVu Sans" w:hAnsi="DejaVu Sans"/>
          <w:color w:val="172A3A"/>
          <w:sz w:val="18"/>
        </w:rPr>
        <w:t>GBP-listed returns embed currency effects; local-market and foreign-exchange returns are not separated.</w:t>
      </w:r>
    </w:p>
    <w:p>
      <w:pPr>
        <w:pStyle w:val="ListBullet"/>
        <w:spacing w:after="60"/>
        <w:ind w:left="259" w:hanging="173"/>
      </w:pPr>
      <w:r>
        <w:rPr>
          <w:rFonts w:ascii="DejaVu Sans" w:hAnsi="DejaVu Sans"/>
          <w:color w:val="172A3A"/>
          <w:sz w:val="18"/>
        </w:rPr>
        <w:t>Linear stress shocks omit nonlinear payoffs, trading suspensions, liquidity stress and changing correlations.</w:t>
      </w:r>
    </w:p>
    <w:p>
      <w:pPr>
        <w:pStyle w:val="ListBullet"/>
        <w:spacing w:after="60"/>
        <w:ind w:left="259" w:hanging="173"/>
      </w:pPr>
      <w:r>
        <w:rPr>
          <w:rFonts w:ascii="DejaVu Sans" w:hAnsi="DejaVu Sans"/>
          <w:color w:val="172A3A"/>
          <w:sz w:val="18"/>
        </w:rPr>
        <w:t>The fund proxies overlap and public listing does not guarantee continuous crisis liquidity.</w:t>
      </w:r>
    </w:p>
    <w:p>
      <w:pPr>
        <w:pStyle w:val="ListBullet"/>
        <w:spacing w:after="60"/>
        <w:ind w:left="259" w:hanging="173"/>
      </w:pPr>
      <w:r>
        <w:rPr>
          <w:rFonts w:ascii="DejaVu Sans" w:hAnsi="DejaVu Sans"/>
          <w:color w:val="172A3A"/>
          <w:sz w:val="18"/>
        </w:rPr>
        <w:t>VaR, Expected Shortfall and drawdown do not represent the maximum possible future loss.</w:t>
      </w:r>
    </w:p>
    <w:tbl>
      <w:tblPr>
        <w:tblW w:type="auto" w:w="0"/>
        <w:jc w:val="center"/>
        <w:tblLayout w:type="fixed"/>
        <w:tblLook w:firstColumn="1" w:firstRow="1" w:lastColumn="0" w:lastRow="0" w:noHBand="0" w:noVBand="1" w:val="04A0"/>
      </w:tblPr>
      <w:tblGrid>
        <w:gridCol w:w="10224"/>
      </w:tblGrid>
      <w:tr>
        <w:tc>
          <w:tcPr>
            <w:tcW w:type="dxa" w:w="9864"/>
            <w:shd w:fill="F9E9DC"/>
            <w:tcMar>
              <w:top w:w="120" w:type="dxa"/>
              <w:start w:w="170" w:type="dxa"/>
              <w:bottom w:w="120" w:type="dxa"/>
              <w:end w:w="170" w:type="dxa"/>
            </w:tcMar>
          </w:tcPr>
          <w:p>
            <w:pPr>
              <w:spacing w:after="60"/>
            </w:pPr>
            <w:r>
              <w:rPr>
                <w:rFonts w:ascii="DejaVu Sans" w:hAnsi="DejaVu Sans"/>
                <w:b/>
                <w:color w:val="A65020"/>
                <w:sz w:val="21"/>
              </w:rPr>
              <w:t>Final v1 conclusion</w:t>
            </w:r>
          </w:p>
          <w:p>
            <w:pPr>
              <w:spacing w:after="0" w:line="252" w:lineRule="auto"/>
            </w:pPr>
            <w:r>
              <w:rPr>
                <w:rFonts w:ascii="DejaVu Sans" w:hAnsi="DejaVu Sans"/>
                <w:color w:val="172A3A"/>
                <w:sz w:val="18"/>
              </w:rPr>
              <w:t>The diversified policy portfolio is suitable for the next research stage, not for immediate implementation. The code and interface are validated; historical performance and delivery of CPI +3% are not.</w:t>
            </w:r>
          </w:p>
        </w:tc>
      </w:tr>
    </w:tbl>
    <w:p>
      <w:pPr>
        <w:spacing w:after="0"/>
      </w:pPr>
    </w:p>
    <w:p>
      <w:pPr>
        <w:pStyle w:val="Heading1"/>
        <w:spacing w:before="180" w:after="80"/>
      </w:pPr>
      <w:r>
        <w:rPr>
          <w:rFonts w:ascii="DejaVu Sans" w:hAnsi="DejaVu Sans"/>
          <w:b/>
          <w:color w:val="17324D"/>
          <w:sz w:val="32"/>
        </w:rPr>
        <w:t>Audit trail</w:t>
      </w:r>
    </w:p>
    <w:p>
      <w:pPr>
        <w:spacing w:after="100" w:line="259" w:lineRule="auto"/>
      </w:pPr>
      <w:r>
        <w:rPr>
          <w:rFonts w:ascii="DejaVu Sans" w:hAnsi="DejaVu Sans"/>
          <w:color w:val="172A3A"/>
          <w:sz w:val="17"/>
        </w:rPr>
        <w:t>The repository contains the calculation modules, 63 tests, methodology, evidence tables, manifest, Streamlit interface and five-slide committee summary. Run `python -m pytest -q` and `python -m src.v1 --mode demo --output-dir outputs/demo` to reproduce the acceptance evidence.</w:t>
      </w:r>
    </w:p>
    <w:p>
      <w:pPr>
        <w:spacing w:after="0" w:line="259" w:lineRule="auto"/>
      </w:pPr>
      <w:r>
        <w:rPr>
          <w:rFonts w:ascii="DejaVu Sans" w:hAnsi="DejaVu Sans"/>
          <w:color w:val="687783"/>
          <w:sz w:val="17"/>
        </w:rPr>
        <w:t>Prepared by Yusuf Nuriye  |  Educational project  |  23 September 2026</w:t>
      </w:r>
    </w:p>
    <w:sectPr w:rsidR="00FC693F" w:rsidRPr="0006063C" w:rsidSect="00034616">
      <w:headerReference w:type="default" r:id="rId9"/>
      <w:footerReference w:type="default" r:id="rId10"/>
      <w:pgSz w:w="12240" w:h="15840"/>
      <w:pgMar w:top="893"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968"/>
      <w:gridCol w:w="4968"/>
    </w:tblGrid>
    <w:tr>
      <w:tc>
        <w:tcPr>
          <w:tcW w:type="dxa" w:w="4968"/>
        </w:tcPr>
        <w:p>
          <w:r>
            <w:rPr>
              <w:rFonts w:ascii="DejaVu Sans" w:hAnsi="DejaVu Sans"/>
              <w:color w:val="687783"/>
              <w:sz w:val="14"/>
            </w:rPr>
            <w:t>Educational simulation  |  Synthetic demonstration data</w:t>
          </w:r>
        </w:p>
      </w:tc>
      <w:tc>
        <w:tcPr>
          <w:tcW w:type="dxa" w:w="4968"/>
        </w:tcPr>
        <w:p>
          <w:pPr>
            <w:jc w:val="right"/>
          </w:pPr>
          <w:r>
            <w:rPr>
              <w:rFonts w:ascii="DejaVu Sans" w:hAnsi="DejaVu Sans"/>
              <w:color w:val="687783"/>
              <w:sz w:val="14"/>
            </w:rPr>
            <w:t>Yusuf Nuriye</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968"/>
      <w:gridCol w:w="4968"/>
    </w:tblGrid>
    <w:tr>
      <w:tc>
        <w:tcPr>
          <w:tcW w:type="dxa" w:w="4968"/>
        </w:tcPr>
        <w:p>
          <w:r>
            <w:rPr>
              <w:rFonts w:ascii="DejaVu Sans" w:hAnsi="DejaVu Sans"/>
              <w:b/>
              <w:color w:val="687783"/>
              <w:sz w:val="14"/>
            </w:rPr>
            <w:t>HARBOURSTONE FOUNDATION</w:t>
          </w:r>
        </w:p>
      </w:tc>
      <w:tc>
        <w:tcPr>
          <w:tcW w:type="dxa" w:w="4968"/>
        </w:tcPr>
        <w:p>
          <w:pPr>
            <w:jc w:val="right"/>
          </w:pPr>
          <w:r>
            <w:rPr>
              <w:rFonts w:ascii="DejaVu Sans" w:hAnsi="DejaVu Sans"/>
              <w:b/>
              <w:color w:val="687783"/>
              <w:sz w:val="14"/>
            </w:rPr>
            <w:t>INVESTMENT MEMO  |  23 SEPTEMBER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