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ind w:left="285" w:right="279"/>
      </w:pPr>
      <w:r>
        <w:rPr/>
        <w:t>Kvasir-SEG Veri Kümesi Üzerinde Optimize Edilmiş</w:t>
      </w:r>
      <w:r>
        <w:rPr>
          <w:spacing w:val="-8"/>
        </w:rPr>
        <w:t> </w:t>
      </w:r>
      <w:r>
        <w:rPr/>
        <w:t>MiT-B0</w:t>
      </w:r>
      <w:r>
        <w:rPr>
          <w:spacing w:val="-6"/>
        </w:rPr>
        <w:t> </w:t>
      </w:r>
      <w:r>
        <w:rPr/>
        <w:t>Kodlayıcılı</w:t>
      </w:r>
      <w:r>
        <w:rPr>
          <w:spacing w:val="-5"/>
        </w:rPr>
        <w:t> </w:t>
      </w:r>
      <w:r>
        <w:rPr/>
        <w:t>U-Net</w:t>
      </w:r>
      <w:r>
        <w:rPr>
          <w:spacing w:val="-11"/>
        </w:rPr>
        <w:t> </w:t>
      </w:r>
      <w:r>
        <w:rPr/>
        <w:t>Mimarisi</w:t>
      </w:r>
      <w:r>
        <w:rPr>
          <w:spacing w:val="-5"/>
        </w:rPr>
        <w:t> </w:t>
      </w:r>
      <w:r>
        <w:rPr/>
        <w:t>ile Gelişmiş Polip Segmentasyonu</w:t>
      </w:r>
    </w:p>
    <w:p>
      <w:pPr>
        <w:pStyle w:val="Title"/>
        <w:spacing w:line="242" w:lineRule="auto" w:before="263"/>
        <w:ind w:firstLine="0"/>
      </w:pPr>
      <w:r>
        <w:rPr/>
        <w:t>(Advanced</w:t>
      </w:r>
      <w:r>
        <w:rPr>
          <w:spacing w:val="-11"/>
        </w:rPr>
        <w:t> </w:t>
      </w:r>
      <w:r>
        <w:rPr/>
        <w:t>Polyp</w:t>
      </w:r>
      <w:r>
        <w:rPr>
          <w:spacing w:val="-11"/>
        </w:rPr>
        <w:t> </w:t>
      </w:r>
      <w:r>
        <w:rPr/>
        <w:t>Segmentation</w:t>
      </w:r>
      <w:r>
        <w:rPr>
          <w:spacing w:val="-11"/>
        </w:rPr>
        <w:t> </w:t>
      </w:r>
      <w:r>
        <w:rPr/>
        <w:t>Using</w:t>
      </w:r>
      <w:r>
        <w:rPr>
          <w:spacing w:val="-9"/>
        </w:rPr>
        <w:t> </w:t>
      </w:r>
      <w:r>
        <w:rPr/>
        <w:t>Optimized U-Net</w:t>
      </w:r>
      <w:r>
        <w:rPr>
          <w:spacing w:val="-1"/>
        </w:rPr>
        <w:t> </w:t>
      </w:r>
      <w:r>
        <w:rPr/>
        <w:t>Architecture with</w:t>
      </w:r>
      <w:r>
        <w:rPr>
          <w:spacing w:val="-8"/>
        </w:rPr>
        <w:t> </w:t>
      </w:r>
      <w:r>
        <w:rPr/>
        <w:t>MiT-B0</w:t>
      </w:r>
      <w:r>
        <w:rPr>
          <w:spacing w:val="-1"/>
        </w:rPr>
        <w:t> </w:t>
      </w:r>
      <w:r>
        <w:rPr/>
        <w:t>Encoder on</w:t>
      </w:r>
      <w:r>
        <w:rPr>
          <w:spacing w:val="-3"/>
        </w:rPr>
        <w:t> </w:t>
      </w:r>
      <w:r>
        <w:rPr/>
        <w:t>the Kvasir-SEG Dataset)</w:t>
      </w:r>
    </w:p>
    <w:p>
      <w:pPr>
        <w:pStyle w:val="BodyText"/>
        <w:rPr>
          <w:b/>
        </w:rPr>
      </w:pPr>
    </w:p>
    <w:p>
      <w:pPr>
        <w:pStyle w:val="BodyText"/>
        <w:spacing w:before="86"/>
        <w:rPr>
          <w:b/>
        </w:rPr>
      </w:pPr>
    </w:p>
    <w:p>
      <w:pPr>
        <w:pStyle w:val="BodyText"/>
        <w:spacing w:after="0"/>
        <w:rPr>
          <w:b/>
        </w:rPr>
        <w:sectPr>
          <w:type w:val="continuous"/>
          <w:pgSz w:w="11910" w:h="16840"/>
          <w:pgMar w:top="480" w:bottom="280" w:left="850" w:right="850"/>
        </w:sectPr>
      </w:pPr>
    </w:p>
    <w:p>
      <w:pPr>
        <w:spacing w:line="266" w:lineRule="auto" w:before="92"/>
        <w:ind w:left="1261" w:right="38" w:firstLine="655"/>
        <w:jc w:val="right"/>
        <w:rPr>
          <w:sz w:val="18"/>
        </w:rPr>
      </w:pPr>
      <w:r>
        <w:rPr>
          <w:sz w:val="18"/>
        </w:rPr>
        <w:t>Yusuf</w:t>
      </w:r>
      <w:r>
        <w:rPr>
          <w:spacing w:val="-12"/>
          <w:sz w:val="18"/>
        </w:rPr>
        <w:t> </w:t>
      </w:r>
      <w:r>
        <w:rPr>
          <w:sz w:val="18"/>
        </w:rPr>
        <w:t>ŞAKİR Fırat Üniversitesi </w:t>
      </w:r>
      <w:hyperlink r:id="rId5">
        <w:r>
          <w:rPr>
            <w:color w:val="0000FF"/>
            <w:spacing w:val="-2"/>
            <w:sz w:val="18"/>
            <w:u w:val="single" w:color="0000FF"/>
          </w:rPr>
          <w:t>sakiryusuf@gmail.com</w:t>
        </w:r>
      </w:hyperlink>
    </w:p>
    <w:p>
      <w:pPr>
        <w:spacing w:before="16"/>
        <w:ind w:left="0" w:right="38" w:firstLine="0"/>
        <w:jc w:val="right"/>
        <w:rPr>
          <w:sz w:val="18"/>
        </w:rPr>
      </w:pPr>
      <w:r>
        <w:rPr>
          <w:sz w:val="18"/>
        </w:rPr>
        <w:t>+90</w:t>
      </w:r>
      <w:r>
        <w:rPr>
          <w:spacing w:val="-1"/>
          <w:sz w:val="18"/>
        </w:rPr>
        <w:t> </w:t>
      </w:r>
      <w:r>
        <w:rPr>
          <w:sz w:val="18"/>
        </w:rPr>
        <w:t>539 357</w:t>
      </w:r>
      <w:r>
        <w:rPr>
          <w:spacing w:val="-1"/>
          <w:sz w:val="18"/>
        </w:rPr>
        <w:t> </w:t>
      </w:r>
      <w:r>
        <w:rPr>
          <w:sz w:val="18"/>
        </w:rPr>
        <w:t>21 </w:t>
      </w:r>
      <w:r>
        <w:rPr>
          <w:spacing w:val="-5"/>
          <w:sz w:val="18"/>
        </w:rPr>
        <w:t>12</w:t>
      </w:r>
    </w:p>
    <w:p>
      <w:pPr>
        <w:spacing w:line="266" w:lineRule="auto" w:before="92"/>
        <w:ind w:left="1271" w:right="3649" w:hanging="10"/>
        <w:jc w:val="right"/>
        <w:rPr>
          <w:sz w:val="18"/>
        </w:rPr>
      </w:pPr>
      <w:r>
        <w:rPr/>
        <w:br w:type="column"/>
      </w:r>
      <w:r>
        <w:rPr>
          <w:sz w:val="18"/>
        </w:rPr>
        <w:t>Doç.</w:t>
      </w:r>
      <w:r>
        <w:rPr>
          <w:spacing w:val="-11"/>
          <w:sz w:val="18"/>
        </w:rPr>
        <w:t> </w:t>
      </w:r>
      <w:r>
        <w:rPr>
          <w:sz w:val="18"/>
        </w:rPr>
        <w:t>Dr.</w:t>
      </w:r>
      <w:r>
        <w:rPr>
          <w:spacing w:val="-11"/>
          <w:sz w:val="18"/>
        </w:rPr>
        <w:t> </w:t>
      </w:r>
      <w:r>
        <w:rPr>
          <w:sz w:val="18"/>
        </w:rPr>
        <w:t>Erdal</w:t>
      </w:r>
      <w:r>
        <w:rPr>
          <w:spacing w:val="-11"/>
          <w:sz w:val="18"/>
        </w:rPr>
        <w:t> </w:t>
      </w:r>
      <w:r>
        <w:rPr>
          <w:sz w:val="18"/>
        </w:rPr>
        <w:t>ÖZBAY Fırat Üniversitesi </w:t>
      </w:r>
      <w:hyperlink r:id="rId6">
        <w:r>
          <w:rPr>
            <w:color w:val="0000FF"/>
            <w:spacing w:val="-2"/>
            <w:sz w:val="18"/>
            <w:u w:val="single" w:color="0000FF"/>
          </w:rPr>
          <w:t>erdalozbay@firat.edu.tr</w:t>
        </w:r>
      </w:hyperlink>
    </w:p>
    <w:p>
      <w:pPr>
        <w:spacing w:before="16"/>
        <w:ind w:left="0" w:right="3651" w:firstLine="0"/>
        <w:jc w:val="right"/>
        <w:rPr>
          <w:sz w:val="18"/>
        </w:rPr>
      </w:pPr>
      <w:r>
        <w:rPr>
          <w:sz w:val="18"/>
        </w:rPr>
        <w:t>0(424) - 607 63 </w:t>
      </w:r>
      <w:r>
        <w:rPr>
          <w:spacing w:val="-5"/>
          <w:sz w:val="18"/>
        </w:rPr>
        <w:t>03</w:t>
      </w:r>
    </w:p>
    <w:p>
      <w:pPr>
        <w:spacing w:after="0"/>
        <w:jc w:val="right"/>
        <w:rPr>
          <w:sz w:val="18"/>
        </w:rPr>
        <w:sectPr>
          <w:type w:val="continuous"/>
          <w:pgSz w:w="11910" w:h="16840"/>
          <w:pgMar w:top="480" w:bottom="280" w:left="850" w:right="850"/>
          <w:cols w:num="2" w:equalWidth="0">
            <w:col w:w="2982" w:space="584"/>
            <w:col w:w="6644"/>
          </w:cols>
        </w:sectPr>
      </w:pPr>
    </w:p>
    <w:p>
      <w:pPr>
        <w:pStyle w:val="BodyText"/>
      </w:pPr>
    </w:p>
    <w:p>
      <w:pPr>
        <w:pStyle w:val="BodyText"/>
        <w:spacing w:before="128"/>
      </w:pPr>
    </w:p>
    <w:p>
      <w:pPr>
        <w:pStyle w:val="BodyText"/>
        <w:spacing w:after="0"/>
        <w:sectPr>
          <w:type w:val="continuous"/>
          <w:pgSz w:w="11910" w:h="16840"/>
          <w:pgMar w:top="480" w:bottom="280" w:left="850" w:right="850"/>
        </w:sectPr>
      </w:pPr>
    </w:p>
    <w:p>
      <w:pPr>
        <w:pStyle w:val="BodyText"/>
        <w:spacing w:line="259" w:lineRule="auto" w:before="112"/>
        <w:ind w:left="225" w:right="21" w:firstLine="290"/>
        <w:jc w:val="both"/>
      </w:pPr>
      <w:r>
        <w:rPr>
          <w:b/>
          <w:i/>
        </w:rPr>
        <w:t>Özet</w:t>
      </w:r>
      <w:r>
        <w:rPr/>
        <w:t>—Kolorektal kanserin erken teşhisi, mortalite ve morbidite</w:t>
      </w:r>
      <w:r>
        <w:rPr>
          <w:spacing w:val="-8"/>
        </w:rPr>
        <w:t> </w:t>
      </w:r>
      <w:r>
        <w:rPr/>
        <w:t>oranlarının</w:t>
      </w:r>
      <w:r>
        <w:rPr>
          <w:spacing w:val="-9"/>
        </w:rPr>
        <w:t> </w:t>
      </w:r>
      <w:r>
        <w:rPr/>
        <w:t>azaltılmasında</w:t>
      </w:r>
      <w:r>
        <w:rPr>
          <w:spacing w:val="-8"/>
        </w:rPr>
        <w:t> </w:t>
      </w:r>
      <w:r>
        <w:rPr/>
        <w:t>kritik</w:t>
      </w:r>
      <w:r>
        <w:rPr>
          <w:spacing w:val="-5"/>
        </w:rPr>
        <w:t> </w:t>
      </w:r>
      <w:r>
        <w:rPr/>
        <w:t>öneme</w:t>
      </w:r>
      <w:r>
        <w:rPr>
          <w:spacing w:val="-8"/>
        </w:rPr>
        <w:t> </w:t>
      </w:r>
      <w:r>
        <w:rPr/>
        <w:t>sahiptir. Bu</w:t>
      </w:r>
      <w:r>
        <w:rPr>
          <w:spacing w:val="-13"/>
        </w:rPr>
        <w:t> </w:t>
      </w:r>
      <w:r>
        <w:rPr/>
        <w:t>bağlamda,</w:t>
      </w:r>
      <w:r>
        <w:rPr>
          <w:spacing w:val="-12"/>
        </w:rPr>
        <w:t> </w:t>
      </w:r>
      <w:r>
        <w:rPr/>
        <w:t>kolonoskopi</w:t>
      </w:r>
      <w:r>
        <w:rPr>
          <w:spacing w:val="-13"/>
        </w:rPr>
        <w:t> </w:t>
      </w:r>
      <w:r>
        <w:rPr/>
        <w:t>görüntülerinde</w:t>
      </w:r>
      <w:r>
        <w:rPr>
          <w:spacing w:val="-12"/>
        </w:rPr>
        <w:t> </w:t>
      </w:r>
      <w:r>
        <w:rPr/>
        <w:t>poliplerin</w:t>
      </w:r>
      <w:r>
        <w:rPr>
          <w:spacing w:val="-13"/>
        </w:rPr>
        <w:t> </w:t>
      </w:r>
      <w:r>
        <w:rPr/>
        <w:t>doğru ve hızlı biçimde segmentasyonu klinik karar destek sistemleri açısından önemli bir rol oynamaktadır. Ancak manuel</w:t>
      </w:r>
      <w:r>
        <w:rPr>
          <w:spacing w:val="-13"/>
        </w:rPr>
        <w:t> </w:t>
      </w:r>
      <w:r>
        <w:rPr/>
        <w:t>analiz</w:t>
      </w:r>
      <w:r>
        <w:rPr>
          <w:spacing w:val="-9"/>
        </w:rPr>
        <w:t> </w:t>
      </w:r>
      <w:r>
        <w:rPr/>
        <w:t>süreçleri</w:t>
      </w:r>
      <w:r>
        <w:rPr>
          <w:spacing w:val="-10"/>
        </w:rPr>
        <w:t> </w:t>
      </w:r>
      <w:r>
        <w:rPr/>
        <w:t>zaman</w:t>
      </w:r>
      <w:r>
        <w:rPr>
          <w:spacing w:val="-10"/>
        </w:rPr>
        <w:t> </w:t>
      </w:r>
      <w:r>
        <w:rPr/>
        <w:t>alıcı</w:t>
      </w:r>
      <w:r>
        <w:rPr>
          <w:spacing w:val="-10"/>
        </w:rPr>
        <w:t> </w:t>
      </w:r>
      <w:r>
        <w:rPr/>
        <w:t>ve</w:t>
      </w:r>
      <w:r>
        <w:rPr>
          <w:spacing w:val="-8"/>
        </w:rPr>
        <w:t> </w:t>
      </w:r>
      <w:r>
        <w:rPr/>
        <w:t>operatör</w:t>
      </w:r>
      <w:r>
        <w:rPr>
          <w:spacing w:val="-11"/>
        </w:rPr>
        <w:t> </w:t>
      </w:r>
      <w:r>
        <w:rPr/>
        <w:t>bağımlıdır. Bu çalışmada, kolonoskopi görüntülerinde poliplerin otomatik anlamsal segmentasyonu için derin öğrenme tabanlı ve tamamen otomatikleştirilmiş bir yaklaşım sunulmaktadır.</w:t>
      </w:r>
      <w:r>
        <w:rPr>
          <w:spacing w:val="-3"/>
        </w:rPr>
        <w:t> </w:t>
      </w:r>
      <w:r>
        <w:rPr/>
        <w:t>Önerilen</w:t>
      </w:r>
      <w:r>
        <w:rPr>
          <w:spacing w:val="-3"/>
        </w:rPr>
        <w:t> </w:t>
      </w:r>
      <w:r>
        <w:rPr/>
        <w:t>yöntem,</w:t>
      </w:r>
      <w:r>
        <w:rPr>
          <w:spacing w:val="-7"/>
        </w:rPr>
        <w:t> </w:t>
      </w:r>
      <w:r>
        <w:rPr/>
        <w:t>Kvasir-SEG</w:t>
      </w:r>
      <w:r>
        <w:rPr>
          <w:spacing w:val="-6"/>
        </w:rPr>
        <w:t> </w:t>
      </w:r>
      <w:r>
        <w:rPr/>
        <w:t>veri</w:t>
      </w:r>
      <w:r>
        <w:rPr>
          <w:spacing w:val="-3"/>
        </w:rPr>
        <w:t> </w:t>
      </w:r>
      <w:r>
        <w:rPr/>
        <w:t>kümesi üzerinde eğitilen UNet mimarisine dayanmaktadır ve </w:t>
      </w:r>
      <w:r>
        <w:rPr>
          <w:spacing w:val="-2"/>
        </w:rPr>
        <w:t>eğitim</w:t>
      </w:r>
      <w:r>
        <w:rPr>
          <w:spacing w:val="-5"/>
        </w:rPr>
        <w:t> </w:t>
      </w:r>
      <w:r>
        <w:rPr>
          <w:spacing w:val="-2"/>
        </w:rPr>
        <w:t>süreci</w:t>
      </w:r>
      <w:r>
        <w:rPr>
          <w:spacing w:val="-5"/>
        </w:rPr>
        <w:t> </w:t>
      </w:r>
      <w:r>
        <w:rPr>
          <w:spacing w:val="-2"/>
        </w:rPr>
        <w:t>otomatik</w:t>
      </w:r>
      <w:r>
        <w:rPr>
          <w:spacing w:val="-4"/>
        </w:rPr>
        <w:t> </w:t>
      </w:r>
      <w:r>
        <w:rPr>
          <w:spacing w:val="-2"/>
        </w:rPr>
        <w:t>veri</w:t>
      </w:r>
      <w:r>
        <w:rPr>
          <w:spacing w:val="-5"/>
        </w:rPr>
        <w:t> </w:t>
      </w:r>
      <w:r>
        <w:rPr>
          <w:spacing w:val="-2"/>
        </w:rPr>
        <w:t>artırma</w:t>
      </w:r>
      <w:r>
        <w:rPr>
          <w:spacing w:val="-3"/>
        </w:rPr>
        <w:t> </w:t>
      </w:r>
      <w:r>
        <w:rPr>
          <w:spacing w:val="-2"/>
        </w:rPr>
        <w:t>araması,</w:t>
      </w:r>
      <w:r>
        <w:rPr>
          <w:spacing w:val="-5"/>
        </w:rPr>
        <w:t> </w:t>
      </w:r>
      <w:r>
        <w:rPr>
          <w:spacing w:val="-2"/>
        </w:rPr>
        <w:t>hiperparametre </w:t>
      </w:r>
      <w:r>
        <w:rPr/>
        <w:t>optimizasyonu ve erken durdurma destekli nihai eğitim aşamalarından</w:t>
      </w:r>
      <w:r>
        <w:rPr>
          <w:spacing w:val="-13"/>
        </w:rPr>
        <w:t> </w:t>
      </w:r>
      <w:r>
        <w:rPr/>
        <w:t>oluşmaktadır.</w:t>
      </w:r>
      <w:r>
        <w:rPr>
          <w:spacing w:val="-12"/>
        </w:rPr>
        <w:t> </w:t>
      </w:r>
      <w:r>
        <w:rPr/>
        <w:t>Segmentasyon</w:t>
      </w:r>
      <w:r>
        <w:rPr>
          <w:spacing w:val="-13"/>
        </w:rPr>
        <w:t> </w:t>
      </w:r>
      <w:r>
        <w:rPr/>
        <w:t>performansını artırmak amacıyla Binary Cross-Entropy ve Dice kayıplarını birleştiren hibrit bir kayıp fonksiyonu kullanılmış, Unet mimarisinden elde edilen çıktılar birleştirilmiştir.</w:t>
      </w:r>
      <w:r>
        <w:rPr>
          <w:spacing w:val="-4"/>
        </w:rPr>
        <w:t> </w:t>
      </w:r>
      <w:r>
        <w:rPr/>
        <w:t>Deneysel</w:t>
      </w:r>
      <w:r>
        <w:rPr>
          <w:spacing w:val="-7"/>
        </w:rPr>
        <w:t> </w:t>
      </w:r>
      <w:r>
        <w:rPr/>
        <w:t>sonuçlar,</w:t>
      </w:r>
      <w:r>
        <w:rPr>
          <w:spacing w:val="-4"/>
        </w:rPr>
        <w:t> </w:t>
      </w:r>
      <w:r>
        <w:rPr/>
        <w:t>önerilen</w:t>
      </w:r>
      <w:r>
        <w:rPr>
          <w:spacing w:val="-4"/>
        </w:rPr>
        <w:t> </w:t>
      </w:r>
      <w:r>
        <w:rPr/>
        <w:t>yöntemin</w:t>
      </w:r>
      <w:r>
        <w:rPr>
          <w:spacing w:val="-4"/>
        </w:rPr>
        <w:t> </w:t>
      </w:r>
      <w:r>
        <w:rPr/>
        <w:t>test </w:t>
      </w:r>
      <w:r>
        <w:rPr>
          <w:spacing w:val="-2"/>
        </w:rPr>
        <w:t>seti</w:t>
      </w:r>
      <w:r>
        <w:rPr>
          <w:spacing w:val="-11"/>
        </w:rPr>
        <w:t> </w:t>
      </w:r>
      <w:r>
        <w:rPr>
          <w:spacing w:val="-2"/>
        </w:rPr>
        <w:t>üzerinde</w:t>
      </w:r>
      <w:r>
        <w:rPr>
          <w:spacing w:val="-6"/>
        </w:rPr>
        <w:t> </w:t>
      </w:r>
      <w:r>
        <w:rPr>
          <w:spacing w:val="-2"/>
        </w:rPr>
        <w:t>%89,33</w:t>
      </w:r>
      <w:r>
        <w:rPr>
          <w:spacing w:val="-7"/>
        </w:rPr>
        <w:t> </w:t>
      </w:r>
      <w:r>
        <w:rPr>
          <w:spacing w:val="-2"/>
        </w:rPr>
        <w:t>Dice</w:t>
      </w:r>
      <w:r>
        <w:rPr>
          <w:spacing w:val="-11"/>
        </w:rPr>
        <w:t> </w:t>
      </w:r>
      <w:r>
        <w:rPr>
          <w:spacing w:val="-2"/>
        </w:rPr>
        <w:t>skoru</w:t>
      </w:r>
      <w:r>
        <w:rPr>
          <w:spacing w:val="-6"/>
        </w:rPr>
        <w:t> </w:t>
      </w:r>
      <w:r>
        <w:rPr>
          <w:spacing w:val="-2"/>
        </w:rPr>
        <w:t>ve</w:t>
      </w:r>
      <w:r>
        <w:rPr>
          <w:spacing w:val="-6"/>
        </w:rPr>
        <w:t> </w:t>
      </w:r>
      <w:r>
        <w:rPr>
          <w:spacing w:val="-2"/>
        </w:rPr>
        <w:t>%83,53</w:t>
      </w:r>
      <w:r>
        <w:rPr>
          <w:spacing w:val="-7"/>
        </w:rPr>
        <w:t> </w:t>
      </w:r>
      <w:r>
        <w:rPr>
          <w:spacing w:val="-2"/>
        </w:rPr>
        <w:t>IoU</w:t>
      </w:r>
      <w:r>
        <w:rPr>
          <w:spacing w:val="-7"/>
        </w:rPr>
        <w:t> </w:t>
      </w:r>
      <w:r>
        <w:rPr>
          <w:spacing w:val="-2"/>
        </w:rPr>
        <w:t>değeri</w:t>
      </w:r>
      <w:r>
        <w:rPr>
          <w:spacing w:val="-11"/>
        </w:rPr>
        <w:t> </w:t>
      </w:r>
      <w:r>
        <w:rPr>
          <w:spacing w:val="-2"/>
        </w:rPr>
        <w:t>elde </w:t>
      </w:r>
      <w:r>
        <w:rPr/>
        <w:t>ettiğini</w:t>
      </w:r>
      <w:r>
        <w:rPr>
          <w:spacing w:val="-3"/>
        </w:rPr>
        <w:t> </w:t>
      </w:r>
      <w:r>
        <w:rPr/>
        <w:t>göstermektedir.</w:t>
      </w:r>
    </w:p>
    <w:p>
      <w:pPr>
        <w:spacing w:line="242" w:lineRule="auto" w:before="117"/>
        <w:ind w:left="55" w:right="0" w:firstLine="275"/>
        <w:jc w:val="both"/>
        <w:rPr>
          <w:b/>
          <w:i/>
          <w:sz w:val="18"/>
        </w:rPr>
      </w:pPr>
      <w:r>
        <w:rPr>
          <w:b/>
          <w:i/>
          <w:sz w:val="18"/>
        </w:rPr>
        <w:t>Anahtar Kelimeler — Kolorektal Kanser · Polip Segmentasyonu · Anlamsal Segmentasyon · Kvasir-SEG · UNet</w:t>
      </w:r>
    </w:p>
    <w:p>
      <w:pPr>
        <w:pStyle w:val="BodyText"/>
        <w:rPr>
          <w:b/>
          <w:i/>
          <w:sz w:val="18"/>
        </w:rPr>
      </w:pPr>
    </w:p>
    <w:p>
      <w:pPr>
        <w:pStyle w:val="BodyText"/>
        <w:spacing w:before="30"/>
        <w:rPr>
          <w:b/>
          <w:i/>
          <w:sz w:val="18"/>
        </w:rPr>
      </w:pPr>
    </w:p>
    <w:p>
      <w:pPr>
        <w:pStyle w:val="BodyText"/>
        <w:ind w:left="55" w:firstLine="275"/>
        <w:jc w:val="both"/>
      </w:pPr>
      <w:r>
        <w:rPr/>
        <w:t>Abstract—Early detection of colorectal cancer is of critical</w:t>
      </w:r>
      <w:r>
        <w:rPr>
          <w:spacing w:val="-11"/>
        </w:rPr>
        <w:t> </w:t>
      </w:r>
      <w:r>
        <w:rPr/>
        <w:t>importance</w:t>
      </w:r>
      <w:r>
        <w:rPr>
          <w:spacing w:val="-9"/>
        </w:rPr>
        <w:t> </w:t>
      </w:r>
      <w:r>
        <w:rPr/>
        <w:t>in</w:t>
      </w:r>
      <w:r>
        <w:rPr>
          <w:spacing w:val="-11"/>
        </w:rPr>
        <w:t> </w:t>
      </w:r>
      <w:r>
        <w:rPr/>
        <w:t>reducing</w:t>
      </w:r>
      <w:r>
        <w:rPr>
          <w:spacing w:val="-10"/>
        </w:rPr>
        <w:t> </w:t>
      </w:r>
      <w:r>
        <w:rPr/>
        <w:t>mortality</w:t>
      </w:r>
      <w:r>
        <w:rPr>
          <w:spacing w:val="-11"/>
        </w:rPr>
        <w:t> </w:t>
      </w:r>
      <w:r>
        <w:rPr/>
        <w:t>and</w:t>
      </w:r>
      <w:r>
        <w:rPr>
          <w:spacing w:val="-10"/>
        </w:rPr>
        <w:t> </w:t>
      </w:r>
      <w:r>
        <w:rPr/>
        <w:t>morbidity</w:t>
      </w:r>
      <w:r>
        <w:rPr>
          <w:spacing w:val="-10"/>
        </w:rPr>
        <w:t> </w:t>
      </w:r>
      <w:r>
        <w:rPr/>
        <w:t>rates. In</w:t>
      </w:r>
      <w:r>
        <w:rPr>
          <w:spacing w:val="-11"/>
        </w:rPr>
        <w:t> </w:t>
      </w:r>
      <w:r>
        <w:rPr/>
        <w:t>this</w:t>
      </w:r>
      <w:r>
        <w:rPr>
          <w:spacing w:val="-9"/>
        </w:rPr>
        <w:t> </w:t>
      </w:r>
      <w:r>
        <w:rPr/>
        <w:t>context,</w:t>
      </w:r>
      <w:r>
        <w:rPr>
          <w:spacing w:val="-10"/>
        </w:rPr>
        <w:t> </w:t>
      </w:r>
      <w:r>
        <w:rPr/>
        <w:t>the</w:t>
      </w:r>
      <w:r>
        <w:rPr>
          <w:spacing w:val="-9"/>
        </w:rPr>
        <w:t> </w:t>
      </w:r>
      <w:r>
        <w:rPr/>
        <w:t>accurate</w:t>
      </w:r>
      <w:r>
        <w:rPr>
          <w:spacing w:val="-10"/>
        </w:rPr>
        <w:t> </w:t>
      </w:r>
      <w:r>
        <w:rPr/>
        <w:t>and</w:t>
      </w:r>
      <w:r>
        <w:rPr>
          <w:spacing w:val="-13"/>
        </w:rPr>
        <w:t> </w:t>
      </w:r>
      <w:r>
        <w:rPr/>
        <w:t>rapid</w:t>
      </w:r>
      <w:r>
        <w:rPr>
          <w:spacing w:val="-9"/>
        </w:rPr>
        <w:t> </w:t>
      </w:r>
      <w:r>
        <w:rPr/>
        <w:t>segmentation</w:t>
      </w:r>
      <w:r>
        <w:rPr>
          <w:spacing w:val="-10"/>
        </w:rPr>
        <w:t> </w:t>
      </w:r>
      <w:r>
        <w:rPr/>
        <w:t>of</w:t>
      </w:r>
      <w:r>
        <w:rPr>
          <w:spacing w:val="-12"/>
        </w:rPr>
        <w:t> </w:t>
      </w:r>
      <w:r>
        <w:rPr/>
        <w:t>polyps in</w:t>
      </w:r>
      <w:r>
        <w:rPr>
          <w:spacing w:val="-13"/>
        </w:rPr>
        <w:t> </w:t>
      </w:r>
      <w:r>
        <w:rPr/>
        <w:t>colonoscopy</w:t>
      </w:r>
      <w:r>
        <w:rPr>
          <w:spacing w:val="-12"/>
        </w:rPr>
        <w:t> </w:t>
      </w:r>
      <w:r>
        <w:rPr/>
        <w:t>images</w:t>
      </w:r>
      <w:r>
        <w:rPr>
          <w:spacing w:val="-13"/>
        </w:rPr>
        <w:t> </w:t>
      </w:r>
      <w:r>
        <w:rPr/>
        <w:t>plays</w:t>
      </w:r>
      <w:r>
        <w:rPr>
          <w:spacing w:val="-12"/>
        </w:rPr>
        <w:t> </w:t>
      </w:r>
      <w:r>
        <w:rPr/>
        <w:t>a</w:t>
      </w:r>
      <w:r>
        <w:rPr>
          <w:spacing w:val="-13"/>
        </w:rPr>
        <w:t> </w:t>
      </w:r>
      <w:r>
        <w:rPr/>
        <w:t>pivotal</w:t>
      </w:r>
      <w:r>
        <w:rPr>
          <w:spacing w:val="-12"/>
        </w:rPr>
        <w:t> </w:t>
      </w:r>
      <w:r>
        <w:rPr/>
        <w:t>role</w:t>
      </w:r>
      <w:r>
        <w:rPr>
          <w:spacing w:val="-13"/>
        </w:rPr>
        <w:t> </w:t>
      </w:r>
      <w:r>
        <w:rPr/>
        <w:t>in</w:t>
      </w:r>
      <w:r>
        <w:rPr>
          <w:spacing w:val="-12"/>
        </w:rPr>
        <w:t> </w:t>
      </w:r>
      <w:r>
        <w:rPr/>
        <w:t>clinical</w:t>
      </w:r>
      <w:r>
        <w:rPr>
          <w:spacing w:val="-13"/>
        </w:rPr>
        <w:t> </w:t>
      </w:r>
      <w:r>
        <w:rPr/>
        <w:t>decision support systems. However, manual analysis processes are </w:t>
      </w:r>
      <w:r>
        <w:rPr>
          <w:spacing w:val="-2"/>
        </w:rPr>
        <w:t>time-consuming and operator-dependent. In this study,</w:t>
      </w:r>
      <w:r>
        <w:rPr>
          <w:spacing w:val="-8"/>
        </w:rPr>
        <w:t> </w:t>
      </w:r>
      <w:r>
        <w:rPr>
          <w:spacing w:val="-2"/>
        </w:rPr>
        <w:t>a deep </w:t>
      </w:r>
      <w:r>
        <w:rPr/>
        <w:t>learning-based</w:t>
      </w:r>
      <w:r>
        <w:rPr>
          <w:spacing w:val="-9"/>
        </w:rPr>
        <w:t> </w:t>
      </w:r>
      <w:r>
        <w:rPr/>
        <w:t>and</w:t>
      </w:r>
      <w:r>
        <w:rPr>
          <w:spacing w:val="-9"/>
        </w:rPr>
        <w:t> </w:t>
      </w:r>
      <w:r>
        <w:rPr/>
        <w:t>fully</w:t>
      </w:r>
      <w:r>
        <w:rPr>
          <w:spacing w:val="-10"/>
        </w:rPr>
        <w:t> </w:t>
      </w:r>
      <w:r>
        <w:rPr/>
        <w:t>automated</w:t>
      </w:r>
      <w:r>
        <w:rPr>
          <w:spacing w:val="-9"/>
        </w:rPr>
        <w:t> </w:t>
      </w:r>
      <w:r>
        <w:rPr/>
        <w:t>approach</w:t>
      </w:r>
      <w:r>
        <w:rPr>
          <w:spacing w:val="-9"/>
        </w:rPr>
        <w:t> </w:t>
      </w:r>
      <w:r>
        <w:rPr/>
        <w:t>is</w:t>
      </w:r>
      <w:r>
        <w:rPr>
          <w:spacing w:val="-8"/>
        </w:rPr>
        <w:t> </w:t>
      </w:r>
      <w:r>
        <w:rPr/>
        <w:t>presented</w:t>
      </w:r>
      <w:r>
        <w:rPr>
          <w:spacing w:val="-9"/>
        </w:rPr>
        <w:t> </w:t>
      </w:r>
      <w:r>
        <w:rPr/>
        <w:t>for the</w:t>
      </w:r>
      <w:r>
        <w:rPr>
          <w:spacing w:val="-3"/>
        </w:rPr>
        <w:t> </w:t>
      </w:r>
      <w:r>
        <w:rPr/>
        <w:t>semantic</w:t>
      </w:r>
      <w:r>
        <w:rPr>
          <w:spacing w:val="-4"/>
        </w:rPr>
        <w:t> </w:t>
      </w:r>
      <w:r>
        <w:rPr/>
        <w:t>segmentation</w:t>
      </w:r>
      <w:r>
        <w:rPr>
          <w:spacing w:val="-4"/>
        </w:rPr>
        <w:t> </w:t>
      </w:r>
      <w:r>
        <w:rPr/>
        <w:t>of</w:t>
      </w:r>
      <w:r>
        <w:rPr>
          <w:spacing w:val="-6"/>
        </w:rPr>
        <w:t> </w:t>
      </w:r>
      <w:r>
        <w:rPr/>
        <w:t>polyps</w:t>
      </w:r>
      <w:r>
        <w:rPr>
          <w:spacing w:val="-3"/>
        </w:rPr>
        <w:t> </w:t>
      </w:r>
      <w:r>
        <w:rPr/>
        <w:t>in</w:t>
      </w:r>
      <w:r>
        <w:rPr>
          <w:spacing w:val="-4"/>
        </w:rPr>
        <w:t> </w:t>
      </w:r>
      <w:r>
        <w:rPr/>
        <w:t>colonoscopy</w:t>
      </w:r>
      <w:r>
        <w:rPr>
          <w:spacing w:val="-4"/>
        </w:rPr>
        <w:t> </w:t>
      </w:r>
      <w:r>
        <w:rPr/>
        <w:t>images. The proposed method relies on UNet architecture trained on the Kvasir-SEG dataset, where the training pipeline comprises automated data augmentation search, hyperparameter optimization, and a final training phase supported</w:t>
      </w:r>
      <w:r>
        <w:rPr>
          <w:spacing w:val="79"/>
        </w:rPr>
        <w:t> </w:t>
      </w:r>
      <w:r>
        <w:rPr/>
        <w:t>by</w:t>
      </w:r>
      <w:r>
        <w:rPr>
          <w:spacing w:val="80"/>
        </w:rPr>
        <w:t> </w:t>
      </w:r>
      <w:r>
        <w:rPr/>
        <w:t>early</w:t>
      </w:r>
      <w:r>
        <w:rPr>
          <w:spacing w:val="79"/>
        </w:rPr>
        <w:t> </w:t>
      </w:r>
      <w:r>
        <w:rPr/>
        <w:t>stopping.</w:t>
      </w:r>
      <w:r>
        <w:rPr>
          <w:spacing w:val="80"/>
        </w:rPr>
        <w:t> </w:t>
      </w:r>
      <w:r>
        <w:rPr/>
        <w:t>To</w:t>
      </w:r>
      <w:r>
        <w:rPr>
          <w:spacing w:val="79"/>
        </w:rPr>
        <w:t> </w:t>
      </w:r>
      <w:r>
        <w:rPr/>
        <w:t>enhance</w:t>
      </w:r>
      <w:r>
        <w:rPr>
          <w:spacing w:val="56"/>
          <w:w w:val="150"/>
        </w:rPr>
        <w:t> </w:t>
      </w:r>
      <w:r>
        <w:rPr>
          <w:spacing w:val="-2"/>
        </w:rPr>
        <w:t>segmentation</w:t>
      </w:r>
    </w:p>
    <w:p>
      <w:pPr>
        <w:pStyle w:val="BodyText"/>
        <w:spacing w:before="92"/>
        <w:ind w:left="55" w:right="46"/>
        <w:jc w:val="both"/>
      </w:pPr>
      <w:r>
        <w:rPr/>
        <w:br w:type="column"/>
      </w:r>
      <w:r>
        <w:rPr/>
        <w:t>performance,</w:t>
      </w:r>
      <w:r>
        <w:rPr>
          <w:spacing w:val="-13"/>
        </w:rPr>
        <w:t> </w:t>
      </w:r>
      <w:r>
        <w:rPr/>
        <w:t>a</w:t>
      </w:r>
      <w:r>
        <w:rPr>
          <w:spacing w:val="-12"/>
        </w:rPr>
        <w:t> </w:t>
      </w:r>
      <w:r>
        <w:rPr/>
        <w:t>hybrid</w:t>
      </w:r>
      <w:r>
        <w:rPr>
          <w:spacing w:val="-13"/>
        </w:rPr>
        <w:t> </w:t>
      </w:r>
      <w:r>
        <w:rPr/>
        <w:t>loss</w:t>
      </w:r>
      <w:r>
        <w:rPr>
          <w:spacing w:val="-12"/>
        </w:rPr>
        <w:t> </w:t>
      </w:r>
      <w:r>
        <w:rPr/>
        <w:t>function</w:t>
      </w:r>
      <w:r>
        <w:rPr>
          <w:spacing w:val="-13"/>
        </w:rPr>
        <w:t> </w:t>
      </w:r>
      <w:r>
        <w:rPr/>
        <w:t>combining</w:t>
      </w:r>
      <w:r>
        <w:rPr>
          <w:spacing w:val="-12"/>
        </w:rPr>
        <w:t> </w:t>
      </w:r>
      <w:r>
        <w:rPr/>
        <w:t>Binary</w:t>
      </w:r>
      <w:r>
        <w:rPr>
          <w:spacing w:val="-11"/>
        </w:rPr>
        <w:t> </w:t>
      </w:r>
      <w:r>
        <w:rPr/>
        <w:t>Cross- Entropy and Dice loss is employed, and predictions from UNet architecture is integrated. Experimental results demonstrate</w:t>
      </w:r>
      <w:r>
        <w:rPr>
          <w:spacing w:val="-3"/>
        </w:rPr>
        <w:t> </w:t>
      </w:r>
      <w:r>
        <w:rPr/>
        <w:t>that</w:t>
      </w:r>
      <w:r>
        <w:rPr>
          <w:spacing w:val="-4"/>
        </w:rPr>
        <w:t> </w:t>
      </w:r>
      <w:r>
        <w:rPr/>
        <w:t>the</w:t>
      </w:r>
      <w:r>
        <w:rPr>
          <w:spacing w:val="-2"/>
        </w:rPr>
        <w:t> </w:t>
      </w:r>
      <w:r>
        <w:rPr/>
        <w:t>proposed</w:t>
      </w:r>
      <w:r>
        <w:rPr>
          <w:spacing w:val="-3"/>
        </w:rPr>
        <w:t> </w:t>
      </w:r>
      <w:r>
        <w:rPr/>
        <w:t>method</w:t>
      </w:r>
      <w:r>
        <w:rPr>
          <w:spacing w:val="-3"/>
        </w:rPr>
        <w:t> </w:t>
      </w:r>
      <w:r>
        <w:rPr/>
        <w:t>achieved</w:t>
      </w:r>
      <w:r>
        <w:rPr>
          <w:spacing w:val="-3"/>
        </w:rPr>
        <w:t> </w:t>
      </w:r>
      <w:r>
        <w:rPr/>
        <w:t>a</w:t>
      </w:r>
      <w:r>
        <w:rPr>
          <w:spacing w:val="-2"/>
        </w:rPr>
        <w:t> </w:t>
      </w:r>
      <w:r>
        <w:rPr/>
        <w:t>Dice</w:t>
      </w:r>
      <w:r>
        <w:rPr>
          <w:spacing w:val="-2"/>
        </w:rPr>
        <w:t> </w:t>
      </w:r>
      <w:r>
        <w:rPr/>
        <w:t>score of 89.33% and an IoU value of 83.53% on the test set.</w:t>
      </w:r>
    </w:p>
    <w:p>
      <w:pPr>
        <w:pStyle w:val="Heading4"/>
        <w:spacing w:before="120"/>
        <w:ind w:firstLine="275"/>
      </w:pPr>
      <w:r>
        <w:rPr/>
        <w:t>Keywords— Colorectal Cancer · Polyp Segmentation · Semantic Segmentation · Kvasir-SEG · UNet</w:t>
      </w:r>
    </w:p>
    <w:p>
      <w:pPr>
        <w:pStyle w:val="ListParagraph"/>
        <w:numPr>
          <w:ilvl w:val="0"/>
          <w:numId w:val="1"/>
        </w:numPr>
        <w:tabs>
          <w:tab w:pos="2334" w:val="left" w:leader="none"/>
        </w:tabs>
        <w:spacing w:line="240" w:lineRule="auto" w:before="161" w:after="0"/>
        <w:ind w:left="2334" w:right="0" w:hanging="278"/>
        <w:jc w:val="left"/>
        <w:rPr>
          <w:b/>
          <w:sz w:val="16"/>
        </w:rPr>
      </w:pPr>
      <w:bookmarkStart w:name="I. Gİrİş" w:id="1"/>
      <w:bookmarkEnd w:id="1"/>
      <w:r>
        <w:rPr/>
      </w:r>
      <w:r>
        <w:rPr>
          <w:b/>
          <w:spacing w:val="-2"/>
          <w:sz w:val="20"/>
        </w:rPr>
        <w:t>Gİ</w:t>
      </w:r>
      <w:r>
        <w:rPr>
          <w:b/>
          <w:spacing w:val="-2"/>
          <w:sz w:val="16"/>
        </w:rPr>
        <w:t>R</w:t>
      </w:r>
      <w:r>
        <w:rPr>
          <w:b/>
          <w:spacing w:val="-2"/>
          <w:sz w:val="20"/>
        </w:rPr>
        <w:t>İ</w:t>
      </w:r>
      <w:r>
        <w:rPr>
          <w:b/>
          <w:spacing w:val="-2"/>
          <w:sz w:val="16"/>
        </w:rPr>
        <w:t>Ş</w:t>
      </w:r>
    </w:p>
    <w:p>
      <w:pPr>
        <w:pStyle w:val="BodyText"/>
        <w:spacing w:line="259" w:lineRule="auto" w:before="125"/>
        <w:ind w:left="225" w:right="69" w:firstLine="290"/>
        <w:jc w:val="both"/>
      </w:pPr>
      <w:r>
        <w:rPr>
          <w:spacing w:val="-2"/>
        </w:rPr>
        <w:t>Kolorektal</w:t>
      </w:r>
      <w:r>
        <w:rPr>
          <w:spacing w:val="-11"/>
        </w:rPr>
        <w:t> </w:t>
      </w:r>
      <w:r>
        <w:rPr>
          <w:spacing w:val="-2"/>
        </w:rPr>
        <w:t>kanser</w:t>
      </w:r>
      <w:r>
        <w:rPr>
          <w:spacing w:val="-10"/>
        </w:rPr>
        <w:t> </w:t>
      </w:r>
      <w:r>
        <w:rPr>
          <w:spacing w:val="-2"/>
        </w:rPr>
        <w:t>(KRK),</w:t>
      </w:r>
      <w:r>
        <w:rPr>
          <w:spacing w:val="-11"/>
        </w:rPr>
        <w:t> </w:t>
      </w:r>
      <w:r>
        <w:rPr>
          <w:spacing w:val="-2"/>
        </w:rPr>
        <w:t>dünya</w:t>
      </w:r>
      <w:r>
        <w:rPr>
          <w:spacing w:val="-10"/>
        </w:rPr>
        <w:t> </w:t>
      </w:r>
      <w:r>
        <w:rPr>
          <w:spacing w:val="-2"/>
        </w:rPr>
        <w:t>genelinde</w:t>
      </w:r>
      <w:r>
        <w:rPr>
          <w:spacing w:val="-11"/>
        </w:rPr>
        <w:t> </w:t>
      </w:r>
      <w:r>
        <w:rPr>
          <w:spacing w:val="-2"/>
        </w:rPr>
        <w:t>en</w:t>
      </w:r>
      <w:r>
        <w:rPr>
          <w:spacing w:val="-10"/>
        </w:rPr>
        <w:t> </w:t>
      </w:r>
      <w:r>
        <w:rPr>
          <w:spacing w:val="-2"/>
        </w:rPr>
        <w:t>yaygın</w:t>
      </w:r>
      <w:r>
        <w:rPr>
          <w:spacing w:val="-11"/>
        </w:rPr>
        <w:t> </w:t>
      </w:r>
      <w:r>
        <w:rPr>
          <w:spacing w:val="-2"/>
        </w:rPr>
        <w:t>ve </w:t>
      </w:r>
      <w:r>
        <w:rPr/>
        <w:t>ölümcül</w:t>
      </w:r>
      <w:r>
        <w:rPr>
          <w:spacing w:val="-6"/>
        </w:rPr>
        <w:t> </w:t>
      </w:r>
      <w:r>
        <w:rPr/>
        <w:t>kanser</w:t>
      </w:r>
      <w:r>
        <w:rPr>
          <w:spacing w:val="-3"/>
        </w:rPr>
        <w:t> </w:t>
      </w:r>
      <w:r>
        <w:rPr/>
        <w:t>türlerinden</w:t>
      </w:r>
      <w:r>
        <w:rPr>
          <w:spacing w:val="-2"/>
        </w:rPr>
        <w:t> </w:t>
      </w:r>
      <w:r>
        <w:rPr/>
        <w:t>biri</w:t>
      </w:r>
      <w:r>
        <w:rPr>
          <w:spacing w:val="-6"/>
        </w:rPr>
        <w:t> </w:t>
      </w:r>
      <w:r>
        <w:rPr/>
        <w:t>olup,</w:t>
      </w:r>
      <w:r>
        <w:rPr>
          <w:spacing w:val="-2"/>
        </w:rPr>
        <w:t> </w:t>
      </w:r>
      <w:r>
        <w:rPr/>
        <w:t>erken</w:t>
      </w:r>
      <w:r>
        <w:rPr>
          <w:spacing w:val="-6"/>
        </w:rPr>
        <w:t> </w:t>
      </w:r>
      <w:r>
        <w:rPr/>
        <w:t>teşhis edilmesi </w:t>
      </w:r>
      <w:r>
        <w:rPr>
          <w:spacing w:val="-2"/>
        </w:rPr>
        <w:t>durumunda</w:t>
      </w:r>
      <w:r>
        <w:rPr>
          <w:spacing w:val="-4"/>
        </w:rPr>
        <w:t> </w:t>
      </w:r>
      <w:r>
        <w:rPr>
          <w:spacing w:val="-2"/>
        </w:rPr>
        <w:t>büyük</w:t>
      </w:r>
      <w:r>
        <w:rPr>
          <w:spacing w:val="-5"/>
        </w:rPr>
        <w:t> </w:t>
      </w:r>
      <w:r>
        <w:rPr>
          <w:spacing w:val="-2"/>
        </w:rPr>
        <w:t>ölçüde</w:t>
      </w:r>
      <w:r>
        <w:rPr>
          <w:spacing w:val="-4"/>
        </w:rPr>
        <w:t> </w:t>
      </w:r>
      <w:r>
        <w:rPr>
          <w:spacing w:val="-2"/>
        </w:rPr>
        <w:t>önlenebilir</w:t>
      </w:r>
      <w:r>
        <w:rPr>
          <w:spacing w:val="-7"/>
        </w:rPr>
        <w:t> </w:t>
      </w:r>
      <w:r>
        <w:rPr>
          <w:spacing w:val="-2"/>
        </w:rPr>
        <w:t>ve</w:t>
      </w:r>
      <w:r>
        <w:rPr>
          <w:spacing w:val="-4"/>
        </w:rPr>
        <w:t> </w:t>
      </w:r>
      <w:r>
        <w:rPr>
          <w:spacing w:val="-2"/>
        </w:rPr>
        <w:t>tedavi</w:t>
      </w:r>
      <w:r>
        <w:rPr>
          <w:spacing w:val="-6"/>
        </w:rPr>
        <w:t> </w:t>
      </w:r>
      <w:r>
        <w:rPr>
          <w:spacing w:val="-2"/>
        </w:rPr>
        <w:t>edilebilir</w:t>
      </w:r>
      <w:r>
        <w:rPr>
          <w:spacing w:val="-7"/>
        </w:rPr>
        <w:t> </w:t>
      </w:r>
      <w:r>
        <w:rPr>
          <w:spacing w:val="-2"/>
        </w:rPr>
        <w:t>bir </w:t>
      </w:r>
      <w:r>
        <w:rPr/>
        <w:t>hastalıktır. KRK’nin erken evrede tespiti çoğunlukla kolonoskopi</w:t>
      </w:r>
      <w:r>
        <w:rPr>
          <w:spacing w:val="-2"/>
        </w:rPr>
        <w:t> </w:t>
      </w:r>
      <w:r>
        <w:rPr/>
        <w:t>sırasında adenomatöz poliplerin belirlenmesi ve çıkarılması yoluyla gerçekleştirilmektedir. Bu nedenle kolonoskopi,</w:t>
      </w:r>
      <w:r>
        <w:rPr>
          <w:spacing w:val="-13"/>
        </w:rPr>
        <w:t> </w:t>
      </w:r>
      <w:r>
        <w:rPr/>
        <w:t>hem</w:t>
      </w:r>
      <w:r>
        <w:rPr>
          <w:spacing w:val="-12"/>
        </w:rPr>
        <w:t> </w:t>
      </w:r>
      <w:r>
        <w:rPr/>
        <w:t>tanı</w:t>
      </w:r>
      <w:r>
        <w:rPr>
          <w:spacing w:val="-13"/>
        </w:rPr>
        <w:t> </w:t>
      </w:r>
      <w:r>
        <w:rPr/>
        <w:t>hem</w:t>
      </w:r>
      <w:r>
        <w:rPr>
          <w:spacing w:val="-12"/>
        </w:rPr>
        <w:t> </w:t>
      </w:r>
      <w:r>
        <w:rPr/>
        <w:t>de</w:t>
      </w:r>
      <w:r>
        <w:rPr>
          <w:spacing w:val="-13"/>
        </w:rPr>
        <w:t> </w:t>
      </w:r>
      <w:r>
        <w:rPr/>
        <w:t>önleyici</w:t>
      </w:r>
      <w:r>
        <w:rPr>
          <w:spacing w:val="-12"/>
        </w:rPr>
        <w:t> </w:t>
      </w:r>
      <w:r>
        <w:rPr/>
        <w:t>müdahale</w:t>
      </w:r>
      <w:r>
        <w:rPr>
          <w:spacing w:val="-13"/>
        </w:rPr>
        <w:t> </w:t>
      </w:r>
      <w:r>
        <w:rPr/>
        <w:t>açısından klinik pratikte merkezi bir role sahiptir. Bununla birlikte, kolonoskopi sırasında elde edilen görüntü ve video verilerinin manuel olarak incelenmesi; uzun süreli dikkat </w:t>
      </w:r>
      <w:r>
        <w:rPr>
          <w:spacing w:val="-2"/>
        </w:rPr>
        <w:t>gerektirmesi, operatör yorgunluğu ve klinisyen deneyimine </w:t>
      </w:r>
      <w:r>
        <w:rPr/>
        <w:t>yüksek düzeyde bağımlı olması nedeniyle çeşitli sınırlılıklar barındırmaktadır. Özellikle küçük, düşük kontrastlı veya düzensiz sınırlara sahip poliplerin gözden </w:t>
      </w:r>
      <w:r>
        <w:rPr>
          <w:spacing w:val="-2"/>
        </w:rPr>
        <w:t>kaçabilmesi,</w:t>
      </w:r>
      <w:r>
        <w:rPr>
          <w:spacing w:val="-3"/>
        </w:rPr>
        <w:t> </w:t>
      </w:r>
      <w:r>
        <w:rPr>
          <w:spacing w:val="-2"/>
        </w:rPr>
        <w:t>tanısal tutarlılığı</w:t>
      </w:r>
      <w:r>
        <w:rPr>
          <w:spacing w:val="-3"/>
        </w:rPr>
        <w:t> </w:t>
      </w:r>
      <w:r>
        <w:rPr>
          <w:spacing w:val="-2"/>
        </w:rPr>
        <w:t>olumsuz etkileyebilmektedir. </w:t>
      </w:r>
      <w:r>
        <w:rPr/>
        <w:t>Bu durum, bilgisayar destekli tanı sistemlerinin kolonoskopi</w:t>
      </w:r>
      <w:r>
        <w:rPr>
          <w:spacing w:val="-13"/>
        </w:rPr>
        <w:t> </w:t>
      </w:r>
      <w:r>
        <w:rPr/>
        <w:t>sürecine</w:t>
      </w:r>
      <w:r>
        <w:rPr>
          <w:spacing w:val="-12"/>
        </w:rPr>
        <w:t> </w:t>
      </w:r>
      <w:r>
        <w:rPr/>
        <w:t>entegrasyonunu</w:t>
      </w:r>
      <w:r>
        <w:rPr>
          <w:spacing w:val="-13"/>
        </w:rPr>
        <w:t> </w:t>
      </w:r>
      <w:r>
        <w:rPr/>
        <w:t>giderek</w:t>
      </w:r>
      <w:r>
        <w:rPr>
          <w:spacing w:val="-12"/>
        </w:rPr>
        <w:t> </w:t>
      </w:r>
      <w:r>
        <w:rPr/>
        <w:t>daha</w:t>
      </w:r>
      <w:r>
        <w:rPr>
          <w:spacing w:val="-12"/>
        </w:rPr>
        <w:t> </w:t>
      </w:r>
      <w:r>
        <w:rPr/>
        <w:t>önemli hâle</w:t>
      </w:r>
      <w:r>
        <w:rPr>
          <w:spacing w:val="-1"/>
        </w:rPr>
        <w:t> </w:t>
      </w:r>
      <w:r>
        <w:rPr/>
        <w:t>getirmektedir.</w:t>
      </w:r>
    </w:p>
    <w:p>
      <w:pPr>
        <w:pStyle w:val="BodyText"/>
        <w:spacing w:line="259" w:lineRule="auto" w:before="120"/>
        <w:ind w:left="225" w:right="70" w:firstLine="225"/>
        <w:jc w:val="both"/>
      </w:pPr>
      <w:r>
        <w:rPr/>
        <w:t>Son</w:t>
      </w:r>
      <w:r>
        <w:rPr>
          <w:spacing w:val="-5"/>
        </w:rPr>
        <w:t> </w:t>
      </w:r>
      <w:r>
        <w:rPr/>
        <w:t>yıllarda</w:t>
      </w:r>
      <w:r>
        <w:rPr>
          <w:spacing w:val="-4"/>
        </w:rPr>
        <w:t> </w:t>
      </w:r>
      <w:r>
        <w:rPr/>
        <w:t>derin</w:t>
      </w:r>
      <w:r>
        <w:rPr>
          <w:spacing w:val="-5"/>
        </w:rPr>
        <w:t> </w:t>
      </w:r>
      <w:r>
        <w:rPr/>
        <w:t>öğrenme</w:t>
      </w:r>
      <w:r>
        <w:rPr>
          <w:spacing w:val="-4"/>
        </w:rPr>
        <w:t> </w:t>
      </w:r>
      <w:r>
        <w:rPr/>
        <w:t>tabanlı</w:t>
      </w:r>
      <w:r>
        <w:rPr>
          <w:spacing w:val="-5"/>
        </w:rPr>
        <w:t> </w:t>
      </w:r>
      <w:r>
        <w:rPr/>
        <w:t>tıbbi</w:t>
      </w:r>
      <w:r>
        <w:rPr>
          <w:spacing w:val="-5"/>
        </w:rPr>
        <w:t> </w:t>
      </w:r>
      <w:r>
        <w:rPr/>
        <w:t>görüntü</w:t>
      </w:r>
      <w:r>
        <w:rPr>
          <w:spacing w:val="-5"/>
        </w:rPr>
        <w:t> </w:t>
      </w:r>
      <w:r>
        <w:rPr/>
        <w:t>analizi yöntemleri, kolonoskopi görüntülerinde polip tespiti ve segmentasyonu alanında önemli ilerlemeler sağlamıştır. Özellikle anlamsal segmentasyon yaklaşımları, poliplerin yalnızca varlığını değil, aynı zamanda sınırlarının piksel düzeyinde hassas biçimde belirlenmesini mümkün kılarak klinik</w:t>
      </w:r>
      <w:r>
        <w:rPr>
          <w:spacing w:val="-5"/>
        </w:rPr>
        <w:t> </w:t>
      </w:r>
      <w:r>
        <w:rPr/>
        <w:t>karar</w:t>
      </w:r>
      <w:r>
        <w:rPr>
          <w:spacing w:val="-6"/>
        </w:rPr>
        <w:t> </w:t>
      </w:r>
      <w:r>
        <w:rPr/>
        <w:t>destek</w:t>
      </w:r>
      <w:r>
        <w:rPr>
          <w:spacing w:val="-8"/>
        </w:rPr>
        <w:t> </w:t>
      </w:r>
      <w:r>
        <w:rPr/>
        <w:t>sistemleri</w:t>
      </w:r>
      <w:r>
        <w:rPr>
          <w:spacing w:val="-5"/>
        </w:rPr>
        <w:t> </w:t>
      </w:r>
      <w:r>
        <w:rPr/>
        <w:t>için</w:t>
      </w:r>
      <w:r>
        <w:rPr>
          <w:spacing w:val="-5"/>
        </w:rPr>
        <w:t> </w:t>
      </w:r>
      <w:r>
        <w:rPr/>
        <w:t>daha</w:t>
      </w:r>
      <w:r>
        <w:rPr>
          <w:spacing w:val="-8"/>
        </w:rPr>
        <w:t> </w:t>
      </w:r>
      <w:r>
        <w:rPr/>
        <w:t>zengin</w:t>
      </w:r>
      <w:r>
        <w:rPr>
          <w:spacing w:val="-5"/>
        </w:rPr>
        <w:t> </w:t>
      </w:r>
      <w:r>
        <w:rPr/>
        <w:t>ve</w:t>
      </w:r>
      <w:r>
        <w:rPr>
          <w:spacing w:val="-8"/>
        </w:rPr>
        <w:t> </w:t>
      </w:r>
      <w:r>
        <w:rPr/>
        <w:t>güvenilir bilgiler</w:t>
      </w:r>
      <w:r>
        <w:rPr>
          <w:spacing w:val="3"/>
        </w:rPr>
        <w:t> </w:t>
      </w:r>
      <w:r>
        <w:rPr/>
        <w:t>sunmaktadır.</w:t>
      </w:r>
      <w:r>
        <w:rPr>
          <w:spacing w:val="12"/>
        </w:rPr>
        <w:t> </w:t>
      </w:r>
      <w:r>
        <w:rPr/>
        <w:t>Ancak</w:t>
      </w:r>
      <w:r>
        <w:rPr>
          <w:spacing w:val="5"/>
        </w:rPr>
        <w:t> </w:t>
      </w:r>
      <w:r>
        <w:rPr/>
        <w:t>bu</w:t>
      </w:r>
      <w:r>
        <w:rPr>
          <w:spacing w:val="5"/>
        </w:rPr>
        <w:t> </w:t>
      </w:r>
      <w:r>
        <w:rPr/>
        <w:t>problem</w:t>
      </w:r>
      <w:r>
        <w:rPr>
          <w:spacing w:val="5"/>
        </w:rPr>
        <w:t> </w:t>
      </w:r>
      <w:r>
        <w:rPr/>
        <w:t>alanı;</w:t>
      </w:r>
      <w:r>
        <w:rPr>
          <w:spacing w:val="5"/>
        </w:rPr>
        <w:t> </w:t>
      </w:r>
      <w:r>
        <w:rPr>
          <w:spacing w:val="-2"/>
        </w:rPr>
        <w:t>aydınlatma</w:t>
      </w:r>
    </w:p>
    <w:p>
      <w:pPr>
        <w:pStyle w:val="BodyText"/>
        <w:spacing w:after="0" w:line="259" w:lineRule="auto"/>
        <w:jc w:val="both"/>
        <w:sectPr>
          <w:type w:val="continuous"/>
          <w:pgSz w:w="11910" w:h="16840"/>
          <w:pgMar w:top="480" w:bottom="280" w:left="850" w:right="850"/>
          <w:cols w:num="2" w:equalWidth="0">
            <w:col w:w="4926" w:space="307"/>
            <w:col w:w="4977"/>
          </w:cols>
        </w:sectPr>
      </w:pPr>
    </w:p>
    <w:p>
      <w:pPr>
        <w:pStyle w:val="BodyText"/>
        <w:spacing w:line="259" w:lineRule="auto" w:before="79"/>
        <w:ind w:left="225" w:right="38"/>
        <w:jc w:val="both"/>
      </w:pPr>
      <w:r>
        <w:rPr/>
        <w:t>değişimleri, alet gölgeleri, hareket bulanıklığı, düşük kontrast ve</w:t>
      </w:r>
      <w:r>
        <w:rPr>
          <w:spacing w:val="-2"/>
        </w:rPr>
        <w:t> </w:t>
      </w:r>
      <w:r>
        <w:rPr/>
        <w:t>polip</w:t>
      </w:r>
      <w:r>
        <w:rPr>
          <w:spacing w:val="-3"/>
        </w:rPr>
        <w:t> </w:t>
      </w:r>
      <w:r>
        <w:rPr/>
        <w:t>sınırlarının belirsizliği</w:t>
      </w:r>
      <w:r>
        <w:rPr>
          <w:spacing w:val="-3"/>
        </w:rPr>
        <w:t> </w:t>
      </w:r>
      <w:r>
        <w:rPr/>
        <w:t>gibi</w:t>
      </w:r>
      <w:r>
        <w:rPr>
          <w:spacing w:val="-3"/>
        </w:rPr>
        <w:t> </w:t>
      </w:r>
      <w:r>
        <w:rPr/>
        <w:t>gerçek klinik koşullardan kaynaklanan zorluklar nedeniyle hâlen açık araştırma problemleri içermektedir.</w:t>
      </w:r>
    </w:p>
    <w:p>
      <w:pPr>
        <w:pStyle w:val="BodyText"/>
        <w:spacing w:line="259" w:lineRule="auto" w:before="121"/>
        <w:ind w:left="225" w:right="43" w:firstLine="225"/>
        <w:jc w:val="both"/>
      </w:pPr>
      <w:r>
        <w:rPr>
          <w:spacing w:val="-2"/>
        </w:rPr>
        <w:t>Literatürde</w:t>
      </w:r>
      <w:r>
        <w:rPr>
          <w:spacing w:val="-4"/>
        </w:rPr>
        <w:t> </w:t>
      </w:r>
      <w:r>
        <w:rPr>
          <w:spacing w:val="-2"/>
        </w:rPr>
        <w:t>sunulan</w:t>
      </w:r>
      <w:r>
        <w:rPr>
          <w:spacing w:val="-5"/>
        </w:rPr>
        <w:t> </w:t>
      </w:r>
      <w:r>
        <w:rPr>
          <w:spacing w:val="-2"/>
        </w:rPr>
        <w:t>birçok</w:t>
      </w:r>
      <w:r>
        <w:rPr>
          <w:spacing w:val="-5"/>
        </w:rPr>
        <w:t> </w:t>
      </w:r>
      <w:r>
        <w:rPr>
          <w:spacing w:val="-2"/>
        </w:rPr>
        <w:t>çalışma,</w:t>
      </w:r>
      <w:r>
        <w:rPr>
          <w:spacing w:val="-5"/>
        </w:rPr>
        <w:t> </w:t>
      </w:r>
      <w:r>
        <w:rPr>
          <w:spacing w:val="-2"/>
        </w:rPr>
        <w:t>genellikle</w:t>
      </w:r>
      <w:r>
        <w:rPr>
          <w:spacing w:val="-4"/>
        </w:rPr>
        <w:t> </w:t>
      </w:r>
      <w:r>
        <w:rPr>
          <w:spacing w:val="-2"/>
        </w:rPr>
        <w:t>tekil</w:t>
      </w:r>
      <w:r>
        <w:rPr>
          <w:spacing w:val="-6"/>
        </w:rPr>
        <w:t> </w:t>
      </w:r>
      <w:r>
        <w:rPr>
          <w:spacing w:val="-2"/>
        </w:rPr>
        <w:t>derin </w:t>
      </w:r>
      <w:r>
        <w:rPr/>
        <w:t>öğrenme mimarilerine ve manuel olarak belirlenmiş sabit hiperparametre ayarlarına dayanmaktadır. Bu tür yaklaşımlar, belirli veri kümeleri üzerinde tatmin edici </w:t>
      </w:r>
      <w:r>
        <w:rPr>
          <w:spacing w:val="-2"/>
        </w:rPr>
        <w:t>sonuçlar</w:t>
      </w:r>
      <w:r>
        <w:rPr>
          <w:spacing w:val="-9"/>
        </w:rPr>
        <w:t> </w:t>
      </w:r>
      <w:r>
        <w:rPr>
          <w:spacing w:val="-2"/>
        </w:rPr>
        <w:t>üretebilse</w:t>
      </w:r>
      <w:r>
        <w:rPr>
          <w:spacing w:val="-5"/>
        </w:rPr>
        <w:t> </w:t>
      </w:r>
      <w:r>
        <w:rPr>
          <w:spacing w:val="-2"/>
        </w:rPr>
        <w:t>de,</w:t>
      </w:r>
      <w:r>
        <w:rPr>
          <w:spacing w:val="-6"/>
        </w:rPr>
        <w:t> </w:t>
      </w:r>
      <w:r>
        <w:rPr>
          <w:spacing w:val="-2"/>
        </w:rPr>
        <w:t>farklı</w:t>
      </w:r>
      <w:r>
        <w:rPr>
          <w:spacing w:val="-11"/>
        </w:rPr>
        <w:t> </w:t>
      </w:r>
      <w:r>
        <w:rPr>
          <w:spacing w:val="-2"/>
        </w:rPr>
        <w:t>görüntüleme</w:t>
      </w:r>
      <w:r>
        <w:rPr>
          <w:spacing w:val="-4"/>
        </w:rPr>
        <w:t> </w:t>
      </w:r>
      <w:r>
        <w:rPr>
          <w:spacing w:val="-2"/>
        </w:rPr>
        <w:t>koşulları</w:t>
      </w:r>
      <w:r>
        <w:rPr>
          <w:spacing w:val="-7"/>
        </w:rPr>
        <w:t> </w:t>
      </w:r>
      <w:r>
        <w:rPr>
          <w:spacing w:val="-2"/>
        </w:rPr>
        <w:t>ve</w:t>
      </w:r>
      <w:r>
        <w:rPr>
          <w:spacing w:val="-10"/>
        </w:rPr>
        <w:t> </w:t>
      </w:r>
      <w:r>
        <w:rPr>
          <w:spacing w:val="-2"/>
        </w:rPr>
        <w:t>hasta </w:t>
      </w:r>
      <w:r>
        <w:rPr/>
        <w:t>profilleri karşısında genelleme yeteneği açısından sınırlı kalabilmektedir. Ayrıca veri artırma stratejilerinin ve hiperparametrelerin çoğunlukla sezgisel veya deneysel olarak belirlenmesi, sürecin tekrarlanabilirliğini ve sistematikliğini azaltmaktadır. Bu çalışmada, söz konusu sınırlamaları ele almak amacıyla kolonoskopi görüntülerinde polip segmentasyonu için otomatikleştirilmiş ve sistematik bir öğrenme çerçevesi sunulmaktadır. Çalışma kapsamında, evrişimsel sinir ağlarının</w:t>
      </w:r>
      <w:r>
        <w:rPr>
          <w:spacing w:val="-9"/>
        </w:rPr>
        <w:t> </w:t>
      </w:r>
      <w:r>
        <w:rPr/>
        <w:t>yerel</w:t>
      </w:r>
      <w:r>
        <w:rPr>
          <w:spacing w:val="-13"/>
        </w:rPr>
        <w:t> </w:t>
      </w:r>
      <w:r>
        <w:rPr/>
        <w:t>özellik</w:t>
      </w:r>
      <w:r>
        <w:rPr>
          <w:spacing w:val="-12"/>
        </w:rPr>
        <w:t> </w:t>
      </w:r>
      <w:r>
        <w:rPr/>
        <w:t>çıkarma</w:t>
      </w:r>
      <w:r>
        <w:rPr>
          <w:spacing w:val="-11"/>
        </w:rPr>
        <w:t> </w:t>
      </w:r>
      <w:r>
        <w:rPr/>
        <w:t>kabiliyetleri</w:t>
      </w:r>
      <w:r>
        <w:rPr>
          <w:spacing w:val="-13"/>
        </w:rPr>
        <w:t> </w:t>
      </w:r>
      <w:r>
        <w:rPr/>
        <w:t>ile</w:t>
      </w:r>
      <w:r>
        <w:rPr>
          <w:spacing w:val="-11"/>
        </w:rPr>
        <w:t> </w:t>
      </w:r>
      <w:r>
        <w:rPr/>
        <w:t>transformer tabanlı yapıların küresel bağlam modelleme avantajlarını temsil</w:t>
      </w:r>
      <w:r>
        <w:rPr>
          <w:spacing w:val="-11"/>
        </w:rPr>
        <w:t> </w:t>
      </w:r>
      <w:r>
        <w:rPr/>
        <w:t>eden</w:t>
      </w:r>
      <w:r>
        <w:rPr>
          <w:spacing w:val="-4"/>
        </w:rPr>
        <w:t> </w:t>
      </w:r>
      <w:r>
        <w:rPr/>
        <w:t>UNet</w:t>
      </w:r>
      <w:r>
        <w:rPr>
          <w:spacing w:val="39"/>
        </w:rPr>
        <w:t> </w:t>
      </w:r>
      <w:r>
        <w:rPr/>
        <w:t>birlikte</w:t>
      </w:r>
      <w:r>
        <w:rPr>
          <w:spacing w:val="-5"/>
        </w:rPr>
        <w:t> </w:t>
      </w:r>
      <w:r>
        <w:rPr/>
        <w:t>değerlendirilmiştir.</w:t>
      </w:r>
      <w:r>
        <w:rPr>
          <w:spacing w:val="-6"/>
        </w:rPr>
        <w:t> </w:t>
      </w:r>
      <w:r>
        <w:rPr/>
        <w:t>Ayrıca,</w:t>
      </w:r>
      <w:r>
        <w:rPr>
          <w:spacing w:val="-6"/>
        </w:rPr>
        <w:t> </w:t>
      </w:r>
      <w:r>
        <w:rPr/>
        <w:t>veri artırma ve hiperparametre seçim süreçlerinin manuel müdahaleye ihtiyaç duymadan optimize edilmesini sağlayan çok aşamalı bir eğitim boru hattı tasarlanmıştır. Bu yaklaşım, hem mimari çeşitliliği hem de otomatik optimizasyon mekanizmalarını bir araya getirerek, kolonoskopi görüntülerinde polip segmentasyonu problemine</w:t>
      </w:r>
      <w:r>
        <w:rPr>
          <w:spacing w:val="-13"/>
        </w:rPr>
        <w:t> </w:t>
      </w:r>
      <w:r>
        <w:rPr/>
        <w:t>daha</w:t>
      </w:r>
      <w:r>
        <w:rPr>
          <w:spacing w:val="-12"/>
        </w:rPr>
        <w:t> </w:t>
      </w:r>
      <w:r>
        <w:rPr/>
        <w:t>genellenebilir</w:t>
      </w:r>
      <w:r>
        <w:rPr>
          <w:spacing w:val="-13"/>
        </w:rPr>
        <w:t> </w:t>
      </w:r>
      <w:r>
        <w:rPr/>
        <w:t>ve</w:t>
      </w:r>
      <w:r>
        <w:rPr>
          <w:spacing w:val="-12"/>
        </w:rPr>
        <w:t> </w:t>
      </w:r>
      <w:r>
        <w:rPr/>
        <w:t>ölçeklenebilir</w:t>
      </w:r>
      <w:r>
        <w:rPr>
          <w:spacing w:val="-13"/>
        </w:rPr>
        <w:t> </w:t>
      </w:r>
      <w:r>
        <w:rPr/>
        <w:t>bir</w:t>
      </w:r>
      <w:r>
        <w:rPr>
          <w:spacing w:val="-12"/>
        </w:rPr>
        <w:t> </w:t>
      </w:r>
      <w:r>
        <w:rPr/>
        <w:t>çözüm sunmayı amaçlamaktadır. Çalışmanın geri kalan bölümlerinde, ilgili literatür incelenmekte, önerilen metodoloji ayrıntılı biçimde açıklanmakta ve deneysel değerlendirmeler</w:t>
      </w:r>
      <w:r>
        <w:rPr>
          <w:spacing w:val="-5"/>
        </w:rPr>
        <w:t> </w:t>
      </w:r>
      <w:r>
        <w:rPr/>
        <w:t>sunulmaktadır.</w:t>
      </w:r>
    </w:p>
    <w:p>
      <w:pPr>
        <w:spacing w:line="240" w:lineRule="auto" w:before="10" w:after="24"/>
        <w:rPr>
          <w:sz w:val="7"/>
        </w:rPr>
      </w:pPr>
      <w:r>
        <w:rPr/>
        <w:br w:type="column"/>
      </w:r>
      <w:r>
        <w:rPr>
          <w:sz w:val="7"/>
        </w:rPr>
      </w:r>
    </w:p>
    <w:p>
      <w:pPr>
        <w:pStyle w:val="BodyText"/>
        <w:ind w:left="244"/>
      </w:pPr>
      <w:r>
        <w:rPr/>
        <w:drawing>
          <wp:inline distT="0" distB="0" distL="0" distR="0">
            <wp:extent cx="2912322" cy="3557778"/>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2912322" cy="3557778"/>
                    </a:xfrm>
                    <a:prstGeom prst="rect">
                      <a:avLst/>
                    </a:prstGeom>
                  </pic:spPr>
                </pic:pic>
              </a:graphicData>
            </a:graphic>
          </wp:inline>
        </w:drawing>
      </w:r>
      <w:r>
        <w:rPr/>
      </w:r>
    </w:p>
    <w:p>
      <w:pPr>
        <w:pStyle w:val="BodyText"/>
        <w:spacing w:line="256" w:lineRule="auto" w:before="112"/>
        <w:ind w:left="680" w:hanging="436"/>
      </w:pPr>
      <w:r>
        <w:rPr>
          <w:b/>
        </w:rPr>
        <w:t>Şekil</w:t>
      </w:r>
      <w:r>
        <w:rPr>
          <w:b/>
          <w:spacing w:val="-13"/>
        </w:rPr>
        <w:t> </w:t>
      </w:r>
      <w:r>
        <w:rPr>
          <w:b/>
        </w:rPr>
        <w:t>1.</w:t>
      </w:r>
      <w:r>
        <w:rPr>
          <w:b/>
          <w:spacing w:val="-12"/>
        </w:rPr>
        <w:t> </w:t>
      </w:r>
      <w:r>
        <w:rPr/>
        <w:t>UNet</w:t>
      </w:r>
      <w:r>
        <w:rPr>
          <w:spacing w:val="-13"/>
        </w:rPr>
        <w:t> </w:t>
      </w:r>
      <w:r>
        <w:rPr/>
        <w:t>mimarisi</w:t>
      </w:r>
      <w:r>
        <w:rPr>
          <w:spacing w:val="-12"/>
        </w:rPr>
        <w:t> </w:t>
      </w:r>
      <w:r>
        <w:rPr/>
        <w:t>kullanılarak</w:t>
      </w:r>
      <w:r>
        <w:rPr>
          <w:spacing w:val="-13"/>
        </w:rPr>
        <w:t> </w:t>
      </w:r>
      <w:r>
        <w:rPr/>
        <w:t>gerçekleştirilen</w:t>
      </w:r>
      <w:r>
        <w:rPr>
          <w:spacing w:val="-12"/>
        </w:rPr>
        <w:t> </w:t>
      </w:r>
      <w:r>
        <w:rPr/>
        <w:t>polip segmentasyonu iş akışının genel görünümü.</w:t>
      </w:r>
    </w:p>
    <w:p>
      <w:pPr>
        <w:pStyle w:val="BodyText"/>
      </w:pPr>
    </w:p>
    <w:p>
      <w:pPr>
        <w:pStyle w:val="BodyText"/>
        <w:spacing w:before="34"/>
      </w:pPr>
    </w:p>
    <w:p>
      <w:pPr>
        <w:pStyle w:val="BodyText"/>
        <w:spacing w:line="259" w:lineRule="auto"/>
        <w:ind w:left="225" w:right="81" w:firstLine="225"/>
        <w:jc w:val="both"/>
      </w:pPr>
      <w:r>
        <w:rPr/>
        <w:t>Bu çalışma, segmentasyon problemini yalnızca model mimarisi seçimi üzerinden değil, aynı zamanda eğitim sürecinin uçtan uca sistematik biçimde tasarlanması üzerinden ele almaktadır. Özellikle kolonoskopi görüntülerinde karşılaşılan alan kaymaları (domain shift) ve görüntü kalitesindeki heterojenlik, tek bir eğitim ayarıyla tüm örneklerde tutarlı performans elde etmeyi </w:t>
      </w:r>
      <w:r>
        <w:rPr>
          <w:spacing w:val="-2"/>
        </w:rPr>
        <w:t>zorlaştırmaktadır.</w:t>
      </w:r>
    </w:p>
    <w:p>
      <w:pPr>
        <w:pStyle w:val="BodyText"/>
        <w:spacing w:line="259" w:lineRule="auto" w:before="118"/>
        <w:ind w:left="225" w:right="70" w:firstLine="290"/>
        <w:jc w:val="both"/>
      </w:pPr>
      <w:r>
        <w:rPr/>
        <w:t>Önerilen</w:t>
      </w:r>
      <w:r>
        <w:rPr>
          <w:spacing w:val="-13"/>
        </w:rPr>
        <w:t> </w:t>
      </w:r>
      <w:r>
        <w:rPr/>
        <w:t>çerçeve,</w:t>
      </w:r>
      <w:r>
        <w:rPr>
          <w:spacing w:val="-12"/>
        </w:rPr>
        <w:t> </w:t>
      </w:r>
      <w:r>
        <w:rPr/>
        <w:t>klinik</w:t>
      </w:r>
      <w:r>
        <w:rPr>
          <w:spacing w:val="-13"/>
        </w:rPr>
        <w:t> </w:t>
      </w:r>
      <w:r>
        <w:rPr/>
        <w:t>kullanım</w:t>
      </w:r>
      <w:r>
        <w:rPr>
          <w:spacing w:val="-12"/>
        </w:rPr>
        <w:t> </w:t>
      </w:r>
      <w:r>
        <w:rPr/>
        <w:t>senaryoları</w:t>
      </w:r>
      <w:r>
        <w:rPr>
          <w:spacing w:val="-13"/>
        </w:rPr>
        <w:t> </w:t>
      </w:r>
      <w:r>
        <w:rPr/>
        <w:t>açısından değerlendirildiğinde, gerçek zamanlı veya yarı gerçek zamanlı karar destek sistemlerine entegre edilebilecek bir altyapı hedefiyle uyumludur. Segmentasyon çıktılarının, polip sınırlarının net biçimde vurgulanması yoluyla klinisyen dikkatini kritik bölgelere yönlendirmesi ve</w:t>
      </w:r>
    </w:p>
    <w:p>
      <w:pPr>
        <w:pStyle w:val="BodyText"/>
        <w:spacing w:line="259" w:lineRule="auto" w:before="115"/>
        <w:ind w:left="225" w:right="70" w:firstLine="170"/>
        <w:jc w:val="both"/>
      </w:pPr>
      <w:r>
        <w:rPr/>
        <w:t>raporlama süreçlerinde standardizasyonu desteklemesi beklenmektedir. Ayrıca, segmentasyon temelli sistemler </w:t>
      </w:r>
      <w:r>
        <w:rPr>
          <w:spacing w:val="-2"/>
        </w:rPr>
        <w:t>yalnızca</w:t>
      </w:r>
      <w:r>
        <w:rPr>
          <w:spacing w:val="-4"/>
        </w:rPr>
        <w:t> </w:t>
      </w:r>
      <w:r>
        <w:rPr>
          <w:spacing w:val="-2"/>
        </w:rPr>
        <w:t>polip</w:t>
      </w:r>
      <w:r>
        <w:rPr>
          <w:spacing w:val="-6"/>
        </w:rPr>
        <w:t> </w:t>
      </w:r>
      <w:r>
        <w:rPr>
          <w:spacing w:val="-2"/>
        </w:rPr>
        <w:t>tespitine değil; polip boyutu, şekil</w:t>
      </w:r>
      <w:r>
        <w:rPr>
          <w:spacing w:val="-6"/>
        </w:rPr>
        <w:t> </w:t>
      </w:r>
      <w:r>
        <w:rPr>
          <w:spacing w:val="-2"/>
        </w:rPr>
        <w:t>özellikleri </w:t>
      </w:r>
      <w:r>
        <w:rPr/>
        <w:t>ve lezyon karakterizasyonu gibi ikincil analizlere zemin hazırlayarak daha geniş kapsamlı klinik analiz boru hatlarının</w:t>
      </w:r>
      <w:r>
        <w:rPr>
          <w:spacing w:val="-1"/>
        </w:rPr>
        <w:t> </w:t>
      </w:r>
      <w:r>
        <w:rPr/>
        <w:t>bir</w:t>
      </w:r>
      <w:r>
        <w:rPr>
          <w:spacing w:val="-2"/>
        </w:rPr>
        <w:t> </w:t>
      </w:r>
      <w:r>
        <w:rPr/>
        <w:t>parçası</w:t>
      </w:r>
      <w:r>
        <w:rPr>
          <w:spacing w:val="-1"/>
        </w:rPr>
        <w:t> </w:t>
      </w:r>
      <w:r>
        <w:rPr/>
        <w:t>hâline</w:t>
      </w:r>
      <w:r>
        <w:rPr>
          <w:spacing w:val="-1"/>
        </w:rPr>
        <w:t> </w:t>
      </w:r>
      <w:r>
        <w:rPr/>
        <w:t>gelebilir.</w:t>
      </w:r>
      <w:r>
        <w:rPr>
          <w:spacing w:val="-1"/>
        </w:rPr>
        <w:t> </w:t>
      </w:r>
      <w:r>
        <w:rPr/>
        <w:t>Bu</w:t>
      </w:r>
      <w:r>
        <w:rPr>
          <w:spacing w:val="-1"/>
        </w:rPr>
        <w:t> </w:t>
      </w:r>
      <w:r>
        <w:rPr/>
        <w:t>yönüyle</w:t>
      </w:r>
      <w:r>
        <w:rPr>
          <w:spacing w:val="-1"/>
        </w:rPr>
        <w:t> </w:t>
      </w:r>
      <w:r>
        <w:rPr/>
        <w:t>çalışma, otomatik</w:t>
      </w:r>
      <w:r>
        <w:rPr>
          <w:spacing w:val="-2"/>
        </w:rPr>
        <w:t> </w:t>
      </w:r>
      <w:r>
        <w:rPr/>
        <w:t>optimizasyon destekli</w:t>
      </w:r>
      <w:r>
        <w:rPr>
          <w:spacing w:val="-2"/>
        </w:rPr>
        <w:t> </w:t>
      </w:r>
      <w:r>
        <w:rPr/>
        <w:t>eğitim tasarımı</w:t>
      </w:r>
      <w:r>
        <w:rPr>
          <w:spacing w:val="-2"/>
        </w:rPr>
        <w:t> </w:t>
      </w:r>
      <w:r>
        <w:rPr/>
        <w:t>ile</w:t>
      </w:r>
      <w:r>
        <w:rPr>
          <w:spacing w:val="-1"/>
        </w:rPr>
        <w:t> </w:t>
      </w:r>
      <w:r>
        <w:rPr/>
        <w:t>mimari çeşitliliği bir araya getirerek, kolonoskopi görüntülerinde polip segmentasyonu alanında yeniden üretilebilir ve genişletilebilir bir yaklaşım ortaya koymayı </w:t>
      </w:r>
      <w:r>
        <w:rPr>
          <w:spacing w:val="-2"/>
        </w:rPr>
        <w:t>hedeflemektedir.</w:t>
      </w:r>
    </w:p>
    <w:p>
      <w:pPr>
        <w:pStyle w:val="BodyText"/>
        <w:spacing w:after="0" w:line="259" w:lineRule="auto"/>
        <w:jc w:val="both"/>
        <w:sectPr>
          <w:pgSz w:w="11910" w:h="16840"/>
          <w:pgMar w:top="1000" w:bottom="280" w:left="850" w:right="850"/>
          <w:cols w:num="2" w:equalWidth="0">
            <w:col w:w="4939" w:space="293"/>
            <w:col w:w="4978"/>
          </w:cols>
        </w:sectPr>
      </w:pPr>
    </w:p>
    <w:p>
      <w:pPr>
        <w:pStyle w:val="Heading2"/>
        <w:numPr>
          <w:ilvl w:val="0"/>
          <w:numId w:val="1"/>
        </w:numPr>
        <w:tabs>
          <w:tab w:pos="1559" w:val="left" w:leader="none"/>
        </w:tabs>
        <w:spacing w:line="240" w:lineRule="auto" w:before="79" w:after="0"/>
        <w:ind w:left="1559" w:right="0" w:hanging="318"/>
        <w:jc w:val="left"/>
      </w:pPr>
      <w:bookmarkStart w:name="II. İLGİLİ ÇALIŞMALAR" w:id="2"/>
      <w:bookmarkEnd w:id="2"/>
      <w:r>
        <w:rPr>
          <w:b w:val="0"/>
        </w:rPr>
      </w:r>
      <w:r>
        <w:rPr/>
        <w:t>İLGİLİ</w:t>
      </w:r>
      <w:r>
        <w:rPr>
          <w:spacing w:val="-9"/>
        </w:rPr>
        <w:t> </w:t>
      </w:r>
      <w:r>
        <w:rPr>
          <w:spacing w:val="-2"/>
        </w:rPr>
        <w:t>ÇALIŞMALAR</w:t>
      </w:r>
    </w:p>
    <w:p>
      <w:pPr>
        <w:pStyle w:val="BodyText"/>
        <w:spacing w:before="29"/>
        <w:rPr>
          <w:b/>
        </w:rPr>
      </w:pPr>
    </w:p>
    <w:p>
      <w:pPr>
        <w:pStyle w:val="BodyText"/>
        <w:spacing w:line="259" w:lineRule="auto" w:before="1"/>
        <w:ind w:left="225" w:right="24" w:firstLine="250"/>
        <w:jc w:val="both"/>
      </w:pPr>
      <w:r>
        <w:rPr/>
        <w:t>Polip segmentasyonu alanında en çok kullanılan referans veri kümelerinden biri Kvasir-SEG’dir. Jha ve arkadaşları,</w:t>
      </w:r>
      <w:r>
        <w:rPr>
          <w:spacing w:val="-7"/>
        </w:rPr>
        <w:t> </w:t>
      </w:r>
      <w:r>
        <w:rPr/>
        <w:t>Kvasir</w:t>
      </w:r>
      <w:r>
        <w:rPr>
          <w:spacing w:val="-8"/>
        </w:rPr>
        <w:t> </w:t>
      </w:r>
      <w:r>
        <w:rPr/>
        <w:t>polip</w:t>
      </w:r>
      <w:r>
        <w:rPr>
          <w:spacing w:val="-10"/>
        </w:rPr>
        <w:t> </w:t>
      </w:r>
      <w:r>
        <w:rPr/>
        <w:t>sınıfını</w:t>
      </w:r>
      <w:r>
        <w:rPr>
          <w:spacing w:val="-7"/>
        </w:rPr>
        <w:t> </w:t>
      </w:r>
      <w:r>
        <w:rPr/>
        <w:t>piksel-seviyesinde</w:t>
      </w:r>
      <w:r>
        <w:rPr>
          <w:spacing w:val="-6"/>
        </w:rPr>
        <w:t> </w:t>
      </w:r>
      <w:r>
        <w:rPr/>
        <w:t>maske anotasyonlarıyla genişleterek 1000 polip görüntüsü için segmentation mask ve bunlardan türetilmiş bounding box bilgilerini</w:t>
      </w:r>
      <w:r>
        <w:rPr>
          <w:spacing w:val="-11"/>
        </w:rPr>
        <w:t> </w:t>
      </w:r>
      <w:r>
        <w:rPr/>
        <w:t>açık</w:t>
      </w:r>
      <w:r>
        <w:rPr>
          <w:spacing w:val="-7"/>
        </w:rPr>
        <w:t> </w:t>
      </w:r>
      <w:r>
        <w:rPr/>
        <w:t>erişimli</w:t>
      </w:r>
      <w:r>
        <w:rPr>
          <w:spacing w:val="-8"/>
        </w:rPr>
        <w:t> </w:t>
      </w:r>
      <w:r>
        <w:rPr/>
        <w:t>olarak</w:t>
      </w:r>
      <w:r>
        <w:rPr>
          <w:spacing w:val="-7"/>
        </w:rPr>
        <w:t> </w:t>
      </w:r>
      <w:r>
        <w:rPr/>
        <w:t>sunmuştur.</w:t>
      </w:r>
      <w:r>
        <w:rPr>
          <w:spacing w:val="-7"/>
        </w:rPr>
        <w:t> </w:t>
      </w:r>
      <w:r>
        <w:rPr/>
        <w:t>Maskeler</w:t>
      </w:r>
      <w:r>
        <w:rPr>
          <w:spacing w:val="-4"/>
        </w:rPr>
        <w:t> </w:t>
      </w:r>
      <w:r>
        <w:rPr/>
        <w:t>doktor </w:t>
      </w:r>
      <w:r>
        <w:rPr>
          <w:spacing w:val="-2"/>
        </w:rPr>
        <w:t>tarafından</w:t>
      </w:r>
      <w:r>
        <w:rPr>
          <w:spacing w:val="-5"/>
        </w:rPr>
        <w:t> </w:t>
      </w:r>
      <w:r>
        <w:rPr>
          <w:spacing w:val="-2"/>
        </w:rPr>
        <w:t>manuel</w:t>
      </w:r>
      <w:r>
        <w:rPr>
          <w:spacing w:val="-11"/>
        </w:rPr>
        <w:t> </w:t>
      </w:r>
      <w:r>
        <w:rPr>
          <w:spacing w:val="-2"/>
        </w:rPr>
        <w:t>çizilmiş ve</w:t>
      </w:r>
      <w:r>
        <w:rPr>
          <w:spacing w:val="-8"/>
        </w:rPr>
        <w:t> </w:t>
      </w:r>
      <w:r>
        <w:rPr>
          <w:spacing w:val="-2"/>
        </w:rPr>
        <w:t>deneyimli</w:t>
      </w:r>
      <w:r>
        <w:rPr>
          <w:spacing w:val="-11"/>
        </w:rPr>
        <w:t> </w:t>
      </w:r>
      <w:r>
        <w:rPr>
          <w:spacing w:val="-2"/>
        </w:rPr>
        <w:t>bir</w:t>
      </w:r>
      <w:r>
        <w:rPr>
          <w:spacing w:val="-6"/>
        </w:rPr>
        <w:t> </w:t>
      </w:r>
      <w:r>
        <w:rPr>
          <w:spacing w:val="-2"/>
        </w:rPr>
        <w:t>gastroenterolog </w:t>
      </w:r>
      <w:r>
        <w:rPr/>
        <w:t>tarafından doğrulanmıştır; bu yönüyle Kvasir-SEG, polip segmentasyonu çalışmalarında karşılaştırılabilirlik ve tekrarlanabilirlik açısından temel bir benchmark hâline gelmiştir [1].</w:t>
      </w:r>
    </w:p>
    <w:p>
      <w:pPr>
        <w:pStyle w:val="BodyText"/>
        <w:spacing w:line="259" w:lineRule="auto" w:before="118"/>
        <w:ind w:left="225" w:firstLine="250"/>
        <w:jc w:val="both"/>
      </w:pPr>
      <w:r>
        <w:rPr/>
        <w:t>Literatürde yöntemsel çeşitlilik hızla artarken, güncel derleme çalışmaları bu alanın genel eğilimlerini ve eksiklerini sistematik biçimde özetlemektedir. Özellikle </w:t>
      </w:r>
      <w:r>
        <w:rPr>
          <w:spacing w:val="-2"/>
        </w:rPr>
        <w:t>polip</w:t>
      </w:r>
      <w:r>
        <w:rPr>
          <w:spacing w:val="-6"/>
        </w:rPr>
        <w:t> </w:t>
      </w:r>
      <w:r>
        <w:rPr>
          <w:spacing w:val="-2"/>
        </w:rPr>
        <w:t>segmentasyonuna</w:t>
      </w:r>
      <w:r>
        <w:rPr>
          <w:spacing w:val="-4"/>
        </w:rPr>
        <w:t> </w:t>
      </w:r>
      <w:r>
        <w:rPr>
          <w:spacing w:val="-2"/>
        </w:rPr>
        <w:t>odaklanan</w:t>
      </w:r>
      <w:r>
        <w:rPr>
          <w:spacing w:val="-5"/>
        </w:rPr>
        <w:t> </w:t>
      </w:r>
      <w:r>
        <w:rPr>
          <w:spacing w:val="-2"/>
        </w:rPr>
        <w:t>yakın</w:t>
      </w:r>
      <w:r>
        <w:rPr>
          <w:spacing w:val="-5"/>
        </w:rPr>
        <w:t> </w:t>
      </w:r>
      <w:r>
        <w:rPr>
          <w:spacing w:val="-2"/>
        </w:rPr>
        <w:t>tarihli</w:t>
      </w:r>
      <w:r>
        <w:rPr>
          <w:spacing w:val="-6"/>
        </w:rPr>
        <w:t> </w:t>
      </w:r>
      <w:r>
        <w:rPr>
          <w:spacing w:val="-2"/>
        </w:rPr>
        <w:t>bir derleme, </w:t>
      </w:r>
      <w:r>
        <w:rPr/>
        <w:t>2014–2023</w:t>
      </w:r>
      <w:r>
        <w:rPr>
          <w:spacing w:val="-6"/>
        </w:rPr>
        <w:t> </w:t>
      </w:r>
      <w:r>
        <w:rPr/>
        <w:t>aralığındaki</w:t>
      </w:r>
      <w:r>
        <w:rPr>
          <w:spacing w:val="-10"/>
        </w:rPr>
        <w:t> </w:t>
      </w:r>
      <w:r>
        <w:rPr/>
        <w:t>çalışmaları</w:t>
      </w:r>
      <w:r>
        <w:rPr>
          <w:spacing w:val="-10"/>
        </w:rPr>
        <w:t> </w:t>
      </w:r>
      <w:r>
        <w:rPr/>
        <w:t>derleyip</w:t>
      </w:r>
      <w:r>
        <w:rPr>
          <w:spacing w:val="-6"/>
        </w:rPr>
        <w:t> </w:t>
      </w:r>
      <w:r>
        <w:rPr/>
        <w:t>yöntemleri</w:t>
      </w:r>
      <w:r>
        <w:rPr>
          <w:spacing w:val="-10"/>
        </w:rPr>
        <w:t> </w:t>
      </w:r>
      <w:r>
        <w:rPr/>
        <w:t>alt başlıklara ayırarak hem kullanılan veri kümelerini hem de mimari</w:t>
      </w:r>
      <w:r>
        <w:rPr>
          <w:spacing w:val="-13"/>
        </w:rPr>
        <w:t> </w:t>
      </w:r>
      <w:r>
        <w:rPr/>
        <w:t>tasarım</w:t>
      </w:r>
      <w:r>
        <w:rPr>
          <w:spacing w:val="-12"/>
        </w:rPr>
        <w:t> </w:t>
      </w:r>
      <w:r>
        <w:rPr/>
        <w:t>eğilimlerini</w:t>
      </w:r>
      <w:r>
        <w:rPr>
          <w:spacing w:val="-13"/>
        </w:rPr>
        <w:t> </w:t>
      </w:r>
      <w:r>
        <w:rPr/>
        <w:t>(özellikle</w:t>
      </w:r>
      <w:r>
        <w:rPr>
          <w:spacing w:val="-12"/>
        </w:rPr>
        <w:t> </w:t>
      </w:r>
      <w:r>
        <w:rPr/>
        <w:t>attention/transformer tabanlı yaklaşımların yükselişi gibi) tartışır; bu, yeni yöntemlerin konumlandırılması için iyi bir çerçeve sağlar </w:t>
      </w:r>
      <w:r>
        <w:rPr>
          <w:spacing w:val="-4"/>
        </w:rPr>
        <w:t>[2].</w:t>
      </w:r>
    </w:p>
    <w:p>
      <w:pPr>
        <w:pStyle w:val="BodyText"/>
        <w:spacing w:before="12"/>
      </w:pPr>
    </w:p>
    <w:p>
      <w:pPr>
        <w:pStyle w:val="BodyText"/>
        <w:ind w:left="225" w:firstLine="250"/>
        <w:jc w:val="both"/>
      </w:pPr>
      <w:r>
        <w:rPr/>
        <w:t>Derin öğrenme tarafında, encoder–decoder omurgası hâlâ baskın olmakla birlikte, performans artışları çoğunlukla güçlü backbone’lar ve attention tabanlı özellik birleştirme tasarımlarından gelmektedir. Wang ve arkadaşları, Kvasir-SEG üzerinde ConvNeXt tabanlı encoder kullanan, encoder–decoder arasında </w:t>
      </w:r>
      <w:r>
        <w:rPr/>
        <w:t>cross- attention ile bilgi kaybını azaltan ve decoder’da residual transformer block içeren bir mimari önermiş; Kvasir-SEG testinde Dice ve mIoU metriklerinde yüksek sonuçlar raporlayarak modern attention/transformer bileşenlerinin polip</w:t>
      </w:r>
      <w:r>
        <w:rPr>
          <w:spacing w:val="-5"/>
        </w:rPr>
        <w:t> </w:t>
      </w:r>
      <w:r>
        <w:rPr/>
        <w:t>sınırlarını</w:t>
      </w:r>
      <w:r>
        <w:rPr>
          <w:spacing w:val="-4"/>
        </w:rPr>
        <w:t> </w:t>
      </w:r>
      <w:r>
        <w:rPr/>
        <w:t>daha</w:t>
      </w:r>
      <w:r>
        <w:rPr>
          <w:spacing w:val="-2"/>
        </w:rPr>
        <w:t> </w:t>
      </w:r>
      <w:r>
        <w:rPr/>
        <w:t>iyi</w:t>
      </w:r>
      <w:r>
        <w:rPr>
          <w:spacing w:val="-4"/>
        </w:rPr>
        <w:t> </w:t>
      </w:r>
      <w:r>
        <w:rPr/>
        <w:t>yakalayabildiğini</w:t>
      </w:r>
      <w:r>
        <w:rPr>
          <w:spacing w:val="-4"/>
        </w:rPr>
        <w:t> </w:t>
      </w:r>
      <w:r>
        <w:rPr/>
        <w:t>göstermiştir</w:t>
      </w:r>
      <w:r>
        <w:rPr>
          <w:spacing w:val="-5"/>
        </w:rPr>
        <w:t> </w:t>
      </w:r>
      <w:r>
        <w:rPr>
          <w:spacing w:val="-4"/>
        </w:rPr>
        <w:t>[3].</w:t>
      </w:r>
    </w:p>
    <w:p>
      <w:pPr>
        <w:pStyle w:val="BodyText"/>
        <w:spacing w:before="11"/>
      </w:pPr>
    </w:p>
    <w:p>
      <w:pPr>
        <w:pStyle w:val="BodyText"/>
        <w:ind w:left="55" w:right="4" w:firstLine="250"/>
        <w:jc w:val="both"/>
      </w:pPr>
      <w:r>
        <w:rPr/>
        <w:t>Öte yandan, birçok çalışma yalnızca “polip içeren” (pozitif) görüntülerle eğitildiği için klinik senaryodaki en kritik</w:t>
      </w:r>
      <w:r>
        <w:rPr>
          <w:spacing w:val="-11"/>
        </w:rPr>
        <w:t> </w:t>
      </w:r>
      <w:r>
        <w:rPr/>
        <w:t>problemlerden</w:t>
      </w:r>
      <w:r>
        <w:rPr>
          <w:spacing w:val="-10"/>
        </w:rPr>
        <w:t> </w:t>
      </w:r>
      <w:r>
        <w:rPr/>
        <w:t>biri</w:t>
      </w:r>
      <w:r>
        <w:rPr>
          <w:spacing w:val="-11"/>
        </w:rPr>
        <w:t> </w:t>
      </w:r>
      <w:r>
        <w:rPr/>
        <w:t>olan</w:t>
      </w:r>
      <w:r>
        <w:rPr>
          <w:spacing w:val="-5"/>
        </w:rPr>
        <w:t> </w:t>
      </w:r>
      <w:r>
        <w:rPr/>
        <w:t>false</w:t>
      </w:r>
      <w:r>
        <w:rPr>
          <w:spacing w:val="-9"/>
        </w:rPr>
        <w:t> </w:t>
      </w:r>
      <w:r>
        <w:rPr/>
        <w:t>positive</w:t>
      </w:r>
      <w:r>
        <w:rPr>
          <w:spacing w:val="-9"/>
        </w:rPr>
        <w:t> </w:t>
      </w:r>
      <w:r>
        <w:rPr/>
        <w:t>üretimi</w:t>
      </w:r>
      <w:r>
        <w:rPr>
          <w:spacing w:val="-11"/>
        </w:rPr>
        <w:t> </w:t>
      </w:r>
      <w:r>
        <w:rPr/>
        <w:t>yeterince ele alınmayabiliyor. Mahbub ve arkadaşları bu boşluğa odaklanarak Kvasir-SEG’deki 1000 polip görüntüsüne ek olarak 800 polip-içermeyen (negatif) görüntü ile karma bir eğitim seti oluşturmuş ve U-Net, SegNet, ResNet tabanlı </w:t>
      </w:r>
      <w:r>
        <w:rPr>
          <w:spacing w:val="-2"/>
        </w:rPr>
        <w:t>yaklaşımları karşılaştırmıştır. Negatif örnek entegrasyonunun </w:t>
      </w:r>
      <w:r>
        <w:rPr/>
        <w:t>özellikle özgüllüğü artırıp yanlış pozitifleri azaltabildiğini; karşılaştırmada U-Net’in daha güçlü bir denge sunduğunu raporlamıştır [4]. Bu çizgi, yalnızca segmentasyon doğruluğunun değil, polip-yok karelerde “hiç polip yok” kararının</w:t>
      </w:r>
      <w:r>
        <w:rPr>
          <w:spacing w:val="-4"/>
        </w:rPr>
        <w:t> </w:t>
      </w:r>
      <w:r>
        <w:rPr/>
        <w:t>da</w:t>
      </w:r>
      <w:r>
        <w:rPr>
          <w:spacing w:val="-1"/>
        </w:rPr>
        <w:t> </w:t>
      </w:r>
      <w:r>
        <w:rPr/>
        <w:t>klinik</w:t>
      </w:r>
      <w:r>
        <w:rPr>
          <w:spacing w:val="-3"/>
        </w:rPr>
        <w:t> </w:t>
      </w:r>
      <w:r>
        <w:rPr/>
        <w:t>güvenilirlik</w:t>
      </w:r>
      <w:r>
        <w:rPr>
          <w:spacing w:val="-3"/>
        </w:rPr>
        <w:t> </w:t>
      </w:r>
      <w:r>
        <w:rPr/>
        <w:t>için</w:t>
      </w:r>
      <w:r>
        <w:rPr>
          <w:spacing w:val="-3"/>
        </w:rPr>
        <w:t> </w:t>
      </w:r>
      <w:r>
        <w:rPr/>
        <w:t>kritik</w:t>
      </w:r>
      <w:r>
        <w:rPr>
          <w:spacing w:val="-3"/>
        </w:rPr>
        <w:t> </w:t>
      </w:r>
      <w:r>
        <w:rPr/>
        <w:t>olduğunu</w:t>
      </w:r>
      <w:r>
        <w:rPr>
          <w:spacing w:val="-2"/>
        </w:rPr>
        <w:t> vurgular.</w:t>
      </w:r>
    </w:p>
    <w:p>
      <w:pPr>
        <w:pStyle w:val="BodyText"/>
        <w:spacing w:before="11"/>
      </w:pPr>
    </w:p>
    <w:p>
      <w:pPr>
        <w:pStyle w:val="BodyText"/>
        <w:spacing w:before="1"/>
        <w:ind w:left="55" w:right="5" w:firstLine="250"/>
        <w:jc w:val="both"/>
      </w:pPr>
      <w:r>
        <w:rPr/>
        <w:t>Raju ve ark. ise kolonoskopi görüntülerinde kolorektal lezyonlar için CADx odaklı birleşik bir yaklaşım önerir: sınıflandırmada Vision Transformer (ViT), segmentasyonda DeepLabV3+ kullanılır. Sistem; gerçek dünya karmaşıklığı ve sınıf dengesizliği için PCA tabanlı boyut indirgeme, veri artırma ve stratejik ön-işleme bileşenleriyle desteklenir ve CKHK-22</w:t>
      </w:r>
      <w:r>
        <w:rPr>
          <w:spacing w:val="-13"/>
        </w:rPr>
        <w:t> </w:t>
      </w:r>
      <w:r>
        <w:rPr/>
        <w:t>adlı</w:t>
      </w:r>
      <w:r>
        <w:rPr>
          <w:spacing w:val="-12"/>
        </w:rPr>
        <w:t> </w:t>
      </w:r>
      <w:r>
        <w:rPr/>
        <w:t>birleşik</w:t>
      </w:r>
      <w:r>
        <w:rPr>
          <w:spacing w:val="-13"/>
        </w:rPr>
        <w:t> </w:t>
      </w:r>
      <w:r>
        <w:rPr/>
        <w:t>veri</w:t>
      </w:r>
      <w:r>
        <w:rPr>
          <w:spacing w:val="-12"/>
        </w:rPr>
        <w:t> </w:t>
      </w:r>
      <w:r>
        <w:rPr/>
        <w:t>seti</w:t>
      </w:r>
      <w:r>
        <w:rPr>
          <w:spacing w:val="-13"/>
        </w:rPr>
        <w:t> </w:t>
      </w:r>
      <w:r>
        <w:rPr/>
        <w:t>(CVC-ClinicDB,</w:t>
      </w:r>
      <w:r>
        <w:rPr>
          <w:spacing w:val="-12"/>
        </w:rPr>
        <w:t> </w:t>
      </w:r>
      <w:r>
        <w:rPr/>
        <w:t>Kvasir-2</w:t>
      </w:r>
      <w:r>
        <w:rPr>
          <w:spacing w:val="-13"/>
        </w:rPr>
        <w:t> </w:t>
      </w:r>
      <w:r>
        <w:rPr/>
        <w:t>ve Hyper-Kvasir’den derlenmiş 14.000+ anotasyonlu görüntü) üzerinde</w:t>
      </w:r>
      <w:r>
        <w:rPr>
          <w:spacing w:val="11"/>
        </w:rPr>
        <w:t> </w:t>
      </w:r>
      <w:r>
        <w:rPr/>
        <w:t>değerlendirilir.</w:t>
      </w:r>
      <w:r>
        <w:rPr>
          <w:spacing w:val="13"/>
        </w:rPr>
        <w:t> </w:t>
      </w:r>
      <w:r>
        <w:rPr/>
        <w:t>Yazarlar,</w:t>
      </w:r>
      <w:r>
        <w:rPr>
          <w:spacing w:val="13"/>
        </w:rPr>
        <w:t> </w:t>
      </w:r>
      <w:r>
        <w:rPr/>
        <w:t>test</w:t>
      </w:r>
      <w:r>
        <w:rPr>
          <w:spacing w:val="13"/>
        </w:rPr>
        <w:t> </w:t>
      </w:r>
      <w:r>
        <w:rPr/>
        <w:t>verisinde</w:t>
      </w:r>
      <w:r>
        <w:rPr>
          <w:spacing w:val="14"/>
        </w:rPr>
        <w:t> </w:t>
      </w:r>
      <w:r>
        <w:rPr/>
        <w:t>ViT’nin</w:t>
      </w:r>
      <w:r>
        <w:rPr>
          <w:spacing w:val="13"/>
        </w:rPr>
        <w:t> </w:t>
      </w:r>
      <w:r>
        <w:rPr>
          <w:spacing w:val="-5"/>
        </w:rPr>
        <w:t>en</w:t>
      </w:r>
    </w:p>
    <w:p>
      <w:pPr>
        <w:pStyle w:val="BodyText"/>
        <w:spacing w:before="79"/>
        <w:ind w:left="55" w:right="49"/>
        <w:jc w:val="both"/>
      </w:pPr>
      <w:r>
        <w:rPr/>
        <w:br w:type="column"/>
      </w:r>
      <w:r>
        <w:rPr/>
        <w:t>yüksek sınıflandırma başarımını (örn. doğruluk %97, F1=0.95, AUC=%92) verdiğini; DeepLabV3+’ın ise lokalizasyon/segmentasyonda Dice ve IoU metrikleriyle güçlü sonuçlar ürettiğini raporlar. Ayrıca sistemin gerçek zamanlı çıkarıma uygunluğu ve bulut üzerinden (Google Cloud) ölçeklenebilir klinik kullanım hedefi belirtilir [5].</w:t>
      </w:r>
    </w:p>
    <w:p>
      <w:pPr>
        <w:pStyle w:val="BodyText"/>
        <w:spacing w:before="10"/>
      </w:pPr>
    </w:p>
    <w:p>
      <w:pPr>
        <w:pStyle w:val="BodyText"/>
        <w:ind w:left="55" w:right="48" w:firstLine="250"/>
        <w:jc w:val="both"/>
      </w:pPr>
      <w:r>
        <w:rPr/>
        <w:t>Çevik</w:t>
      </w:r>
      <w:r>
        <w:rPr>
          <w:spacing w:val="-9"/>
        </w:rPr>
        <w:t> </w:t>
      </w:r>
      <w:r>
        <w:rPr/>
        <w:t>ve</w:t>
      </w:r>
      <w:r>
        <w:rPr>
          <w:spacing w:val="-9"/>
        </w:rPr>
        <w:t> </w:t>
      </w:r>
      <w:r>
        <w:rPr/>
        <w:t>ark.,</w:t>
      </w:r>
      <w:r>
        <w:rPr>
          <w:spacing w:val="-9"/>
        </w:rPr>
        <w:t> </w:t>
      </w:r>
      <w:r>
        <w:rPr/>
        <w:t>farklı</w:t>
      </w:r>
      <w:r>
        <w:rPr>
          <w:spacing w:val="-10"/>
        </w:rPr>
        <w:t> </w:t>
      </w:r>
      <w:r>
        <w:rPr/>
        <w:t>modalitelerde</w:t>
      </w:r>
      <w:r>
        <w:rPr>
          <w:spacing w:val="-4"/>
        </w:rPr>
        <w:t> </w:t>
      </w:r>
      <w:r>
        <w:rPr/>
        <w:t>(cilt</w:t>
      </w:r>
      <w:r>
        <w:rPr>
          <w:spacing w:val="-10"/>
        </w:rPr>
        <w:t> </w:t>
      </w:r>
      <w:r>
        <w:rPr/>
        <w:t>lezyonu,</w:t>
      </w:r>
      <w:r>
        <w:rPr>
          <w:spacing w:val="-9"/>
        </w:rPr>
        <w:t> </w:t>
      </w:r>
      <w:r>
        <w:rPr/>
        <w:t>intestinal polip, beyin tümörü) tek bir boru hattı mantığıyla ilerleyen modüler</w:t>
      </w:r>
      <w:r>
        <w:rPr>
          <w:spacing w:val="-3"/>
        </w:rPr>
        <w:t> </w:t>
      </w:r>
      <w:r>
        <w:rPr/>
        <w:t>bir</w:t>
      </w:r>
      <w:r>
        <w:rPr>
          <w:spacing w:val="-3"/>
        </w:rPr>
        <w:t> </w:t>
      </w:r>
      <w:r>
        <w:rPr/>
        <w:t>çerçeve sunar:</w:t>
      </w:r>
      <w:r>
        <w:rPr>
          <w:spacing w:val="-2"/>
        </w:rPr>
        <w:t> </w:t>
      </w:r>
      <w:r>
        <w:rPr/>
        <w:t>her</w:t>
      </w:r>
      <w:r>
        <w:rPr>
          <w:spacing w:val="-3"/>
        </w:rPr>
        <w:t> </w:t>
      </w:r>
      <w:r>
        <w:rPr/>
        <w:t>veri</w:t>
      </w:r>
      <w:r>
        <w:rPr>
          <w:spacing w:val="-2"/>
        </w:rPr>
        <w:t> </w:t>
      </w:r>
      <w:r>
        <w:rPr/>
        <w:t>seti</w:t>
      </w:r>
      <w:r>
        <w:rPr>
          <w:spacing w:val="-3"/>
        </w:rPr>
        <w:t> </w:t>
      </w:r>
      <w:r>
        <w:rPr/>
        <w:t>için</w:t>
      </w:r>
      <w:r>
        <w:rPr>
          <w:spacing w:val="-2"/>
        </w:rPr>
        <w:t> </w:t>
      </w:r>
      <w:r>
        <w:rPr/>
        <w:t>ayrı</w:t>
      </w:r>
      <w:r>
        <w:rPr>
          <w:spacing w:val="-2"/>
        </w:rPr>
        <w:t> </w:t>
      </w:r>
      <w:r>
        <w:rPr/>
        <w:t>eğitilmiş U- Net</w:t>
      </w:r>
      <w:r>
        <w:rPr>
          <w:spacing w:val="-13"/>
        </w:rPr>
        <w:t> </w:t>
      </w:r>
      <w:r>
        <w:rPr/>
        <w:t>ile</w:t>
      </w:r>
      <w:r>
        <w:rPr>
          <w:spacing w:val="-12"/>
        </w:rPr>
        <w:t> </w:t>
      </w:r>
      <w:r>
        <w:rPr/>
        <w:t>lezyon</w:t>
      </w:r>
      <w:r>
        <w:rPr>
          <w:spacing w:val="-13"/>
        </w:rPr>
        <w:t> </w:t>
      </w:r>
      <w:r>
        <w:rPr/>
        <w:t>segmentasyonu</w:t>
      </w:r>
      <w:r>
        <w:rPr>
          <w:spacing w:val="-12"/>
        </w:rPr>
        <w:t> </w:t>
      </w:r>
      <w:r>
        <w:rPr/>
        <w:t>yapılır;</w:t>
      </w:r>
      <w:r>
        <w:rPr>
          <w:spacing w:val="-13"/>
        </w:rPr>
        <w:t> </w:t>
      </w:r>
      <w:r>
        <w:rPr/>
        <w:t>ardından</w:t>
      </w:r>
      <w:r>
        <w:rPr>
          <w:spacing w:val="-12"/>
        </w:rPr>
        <w:t> </w:t>
      </w:r>
      <w:r>
        <w:rPr/>
        <w:t>segmentlenen bölgelerden LBP ve GLCM gibi klasik doku tabanlı öznitelikler (RGB kanalları ayrı işlenip birleştirilerek; GLCM için offset [0 1]) çıkarılır ve son aşamada SVM ile sınıflandırma gerçekleştirilir. Ayrıca segmentasyon çıktılarıyla birlikte transfer öğrenme (VGG16 tabanlı) ince ayar kullanılarak doğruluk ve genellenebilirliğin artırılması hedeflenir. Çalışma, hem tekil veri setlerinde hem de üç modalitenin birleştirildiği birleşik veri üzerinde performans raporlayarak, hibrit yaklaşımın özellikle sınıflandırma doğruluğu ve genelleme açısından katkısını vurgular [6].</w:t>
      </w:r>
    </w:p>
    <w:p>
      <w:pPr>
        <w:pStyle w:val="BodyText"/>
        <w:spacing w:before="11"/>
      </w:pPr>
    </w:p>
    <w:p>
      <w:pPr>
        <w:pStyle w:val="Heading2"/>
        <w:numPr>
          <w:ilvl w:val="0"/>
          <w:numId w:val="1"/>
        </w:numPr>
        <w:tabs>
          <w:tab w:pos="1664" w:val="left" w:leader="none"/>
        </w:tabs>
        <w:spacing w:line="240" w:lineRule="auto" w:before="0" w:after="0"/>
        <w:ind w:left="1664" w:right="0" w:hanging="354"/>
        <w:jc w:val="left"/>
      </w:pPr>
      <w:bookmarkStart w:name="III. ÖNERİLEN METOD" w:id="3"/>
      <w:bookmarkEnd w:id="3"/>
      <w:r>
        <w:rPr>
          <w:b w:val="0"/>
        </w:rPr>
      </w:r>
      <w:r>
        <w:rPr/>
        <w:t>ÖNERİLEN</w:t>
      </w:r>
      <w:r>
        <w:rPr>
          <w:spacing w:val="-12"/>
        </w:rPr>
        <w:t> </w:t>
      </w:r>
      <w:r>
        <w:rPr>
          <w:spacing w:val="-4"/>
        </w:rPr>
        <w:t>METOD</w:t>
      </w:r>
    </w:p>
    <w:p>
      <w:pPr>
        <w:pStyle w:val="BodyText"/>
        <w:spacing w:before="80"/>
        <w:rPr>
          <w:b/>
        </w:rPr>
      </w:pPr>
    </w:p>
    <w:p>
      <w:pPr>
        <w:pStyle w:val="Heading3"/>
        <w:ind w:right="55" w:firstLine="0"/>
      </w:pPr>
      <w:r>
        <w:rPr/>
        <w:t>UNet Modelinde Özellik Çıkarım Metotları ve </w:t>
      </w:r>
      <w:r>
        <w:rPr>
          <w:spacing w:val="-2"/>
        </w:rPr>
        <w:t>Uygulaması</w:t>
      </w:r>
    </w:p>
    <w:p>
      <w:pPr>
        <w:pStyle w:val="BodyText"/>
        <w:ind w:left="55" w:right="43"/>
        <w:jc w:val="both"/>
      </w:pPr>
      <w:r>
        <w:rPr/>
        <w:t>UNet mimarisi, özellikle biyomedikal görüntü segmentasyonu olmak üzere, piksel-seviyesi tahminler gerektiren görevlerde yaygın olarak kullanılan bir evrişimli sinir</w:t>
      </w:r>
      <w:r>
        <w:rPr>
          <w:spacing w:val="-13"/>
        </w:rPr>
        <w:t> </w:t>
      </w:r>
      <w:r>
        <w:rPr/>
        <w:t>ağı</w:t>
      </w:r>
      <w:r>
        <w:rPr>
          <w:spacing w:val="-12"/>
        </w:rPr>
        <w:t> </w:t>
      </w:r>
      <w:r>
        <w:rPr/>
        <w:t>(CNN)</w:t>
      </w:r>
      <w:r>
        <w:rPr>
          <w:spacing w:val="-13"/>
        </w:rPr>
        <w:t> </w:t>
      </w:r>
      <w:r>
        <w:rPr/>
        <w:t>türüdür.</w:t>
      </w:r>
      <w:r>
        <w:rPr>
          <w:spacing w:val="-12"/>
        </w:rPr>
        <w:t> </w:t>
      </w:r>
      <w:r>
        <w:rPr/>
        <w:t>Modelin</w:t>
      </w:r>
      <w:r>
        <w:rPr>
          <w:spacing w:val="-13"/>
        </w:rPr>
        <w:t> </w:t>
      </w:r>
      <w:r>
        <w:rPr/>
        <w:t>temel</w:t>
      </w:r>
      <w:r>
        <w:rPr>
          <w:spacing w:val="-12"/>
        </w:rPr>
        <w:t> </w:t>
      </w:r>
      <w:r>
        <w:rPr/>
        <w:t>yeteneği,</w:t>
      </w:r>
      <w:r>
        <w:rPr>
          <w:spacing w:val="-13"/>
        </w:rPr>
        <w:t> </w:t>
      </w:r>
      <w:r>
        <w:rPr/>
        <w:t>hem</w:t>
      </w:r>
      <w:r>
        <w:rPr>
          <w:spacing w:val="-12"/>
        </w:rPr>
        <w:t> </w:t>
      </w:r>
      <w:r>
        <w:rPr/>
        <w:t>yüksek seviyeli semantik bağlamı hem de ince detaylı konumsal bilgiyi etkili bir şekilde yakalayabilmesinden gelir. Bu yetenek, büyük ölçüde modelin "kodlayıcı" (encoder) adı verilen özellik çıkarım bölümü tarafından sağlanmaktadır.</w:t>
      </w:r>
    </w:p>
    <w:p>
      <w:pPr>
        <w:pStyle w:val="BodyText"/>
        <w:spacing w:before="1"/>
      </w:pPr>
    </w:p>
    <w:p>
      <w:pPr>
        <w:pStyle w:val="Heading3"/>
        <w:spacing w:before="1"/>
        <w:ind w:firstLine="0"/>
      </w:pPr>
      <w:r>
        <w:rPr/>
        <w:t>UNet</w:t>
      </w:r>
      <w:r>
        <w:rPr>
          <w:spacing w:val="-4"/>
        </w:rPr>
        <w:t> </w:t>
      </w:r>
      <w:r>
        <w:rPr/>
        <w:t>Kodlayıcı</w:t>
      </w:r>
      <w:r>
        <w:rPr>
          <w:spacing w:val="-2"/>
        </w:rPr>
        <w:t> </w:t>
      </w:r>
      <w:r>
        <w:rPr/>
        <w:t>Mimarisi</w:t>
      </w:r>
      <w:r>
        <w:rPr>
          <w:spacing w:val="-3"/>
        </w:rPr>
        <w:t> </w:t>
      </w:r>
      <w:r>
        <w:rPr/>
        <w:t>ve Özellik</w:t>
      </w:r>
      <w:r>
        <w:rPr>
          <w:spacing w:val="-3"/>
        </w:rPr>
        <w:t> </w:t>
      </w:r>
      <w:r>
        <w:rPr>
          <w:spacing w:val="-2"/>
        </w:rPr>
        <w:t>Çıkarımı</w:t>
      </w:r>
    </w:p>
    <w:p>
      <w:pPr>
        <w:pStyle w:val="BodyText"/>
        <w:ind w:left="55" w:right="50"/>
        <w:jc w:val="both"/>
      </w:pPr>
      <w:r>
        <w:rPr/>
        <w:t>UNet'in kodlayıcı yolu, tipik bir evrişimli ağın hiyerarşik özellik öğrenme mekanizmasını takip eder. Görüntüdeki özellikler, ardışık katmanlar boyunca giderek daha soyut ve karmaşık hale getirilir.</w:t>
      </w:r>
    </w:p>
    <w:p>
      <w:pPr>
        <w:pStyle w:val="BodyText"/>
      </w:pPr>
    </w:p>
    <w:p>
      <w:pPr>
        <w:pStyle w:val="Heading3"/>
        <w:numPr>
          <w:ilvl w:val="0"/>
          <w:numId w:val="2"/>
        </w:numPr>
        <w:tabs>
          <w:tab w:pos="299" w:val="left" w:leader="none"/>
        </w:tabs>
        <w:spacing w:line="240" w:lineRule="auto" w:before="0" w:after="0"/>
        <w:ind w:left="299" w:right="0" w:hanging="244"/>
        <w:jc w:val="both"/>
      </w:pPr>
      <w:r>
        <w:rPr/>
        <w:t>Evrişim</w:t>
      </w:r>
      <w:r>
        <w:rPr>
          <w:spacing w:val="-1"/>
        </w:rPr>
        <w:t> </w:t>
      </w:r>
      <w:r>
        <w:rPr>
          <w:spacing w:val="-2"/>
        </w:rPr>
        <w:t>Katmanları</w:t>
      </w:r>
    </w:p>
    <w:p>
      <w:pPr>
        <w:pStyle w:val="BodyText"/>
        <w:ind w:left="55" w:right="46"/>
        <w:jc w:val="both"/>
      </w:pPr>
      <w:r>
        <w:rPr/>
        <w:t>Evrişim katmanları, özellik çıkarım sürecinin temelini oluşturur.</w:t>
      </w:r>
      <w:r>
        <w:rPr>
          <w:spacing w:val="-9"/>
        </w:rPr>
        <w:t> </w:t>
      </w:r>
      <w:r>
        <w:rPr/>
        <w:t>Her</w:t>
      </w:r>
      <w:r>
        <w:rPr>
          <w:spacing w:val="-11"/>
        </w:rPr>
        <w:t> </w:t>
      </w:r>
      <w:r>
        <w:rPr/>
        <w:t>bir</w:t>
      </w:r>
      <w:r>
        <w:rPr>
          <w:spacing w:val="-11"/>
        </w:rPr>
        <w:t> </w:t>
      </w:r>
      <w:r>
        <w:rPr/>
        <w:t>evrişim</w:t>
      </w:r>
      <w:r>
        <w:rPr>
          <w:spacing w:val="-11"/>
        </w:rPr>
        <w:t> </w:t>
      </w:r>
      <w:r>
        <w:rPr/>
        <w:t>katmanı,</w:t>
      </w:r>
      <w:r>
        <w:rPr>
          <w:spacing w:val="-9"/>
        </w:rPr>
        <w:t> </w:t>
      </w:r>
      <w:r>
        <w:rPr/>
        <w:t>girdi</w:t>
      </w:r>
      <w:r>
        <w:rPr>
          <w:spacing w:val="-10"/>
        </w:rPr>
        <w:t> </w:t>
      </w:r>
      <w:r>
        <w:rPr/>
        <w:t>özellik</w:t>
      </w:r>
      <w:r>
        <w:rPr>
          <w:spacing w:val="-10"/>
        </w:rPr>
        <w:t> </w:t>
      </w:r>
      <w:r>
        <w:rPr/>
        <w:t>haritasına</w:t>
      </w:r>
      <w:r>
        <w:rPr>
          <w:spacing w:val="-8"/>
        </w:rPr>
        <w:t> </w:t>
      </w:r>
      <w:r>
        <w:rPr/>
        <w:t>bir dizi öğrenilebilir filtre (çekirdek) uygular. Bu filtreler, görüntülerdeki kenarlar, köşeler, dokular ve daha karmaşık desenler</w:t>
      </w:r>
      <w:r>
        <w:rPr>
          <w:spacing w:val="-9"/>
        </w:rPr>
        <w:t> </w:t>
      </w:r>
      <w:r>
        <w:rPr/>
        <w:t>gibi</w:t>
      </w:r>
      <w:r>
        <w:rPr>
          <w:spacing w:val="-8"/>
        </w:rPr>
        <w:t> </w:t>
      </w:r>
      <w:r>
        <w:rPr/>
        <w:t>yerel</w:t>
      </w:r>
      <w:r>
        <w:rPr>
          <w:spacing w:val="-8"/>
        </w:rPr>
        <w:t> </w:t>
      </w:r>
      <w:r>
        <w:rPr/>
        <w:t>kalıpları</w:t>
      </w:r>
      <w:r>
        <w:rPr>
          <w:spacing w:val="-8"/>
        </w:rPr>
        <w:t> </w:t>
      </w:r>
      <w:r>
        <w:rPr/>
        <w:t>tespit</w:t>
      </w:r>
      <w:r>
        <w:rPr>
          <w:spacing w:val="-8"/>
        </w:rPr>
        <w:t> </w:t>
      </w:r>
      <w:r>
        <w:rPr/>
        <w:t>etmek</w:t>
      </w:r>
      <w:r>
        <w:rPr>
          <w:spacing w:val="-4"/>
        </w:rPr>
        <w:t> </w:t>
      </w:r>
      <w:r>
        <w:rPr/>
        <w:t>üzere</w:t>
      </w:r>
      <w:r>
        <w:rPr>
          <w:spacing w:val="-7"/>
        </w:rPr>
        <w:t> </w:t>
      </w:r>
      <w:r>
        <w:rPr/>
        <w:t>tasarlanmıştır. Ağ derinleştikçe, katmanlar daha geniş bir alana yayılan ve daha üst düzey anlamsal içeriğe sahip özellikleri öğrenir. Örneğin,</w:t>
      </w:r>
      <w:r>
        <w:rPr>
          <w:spacing w:val="-10"/>
        </w:rPr>
        <w:t> </w:t>
      </w:r>
      <w:r>
        <w:rPr/>
        <w:t>erken</w:t>
      </w:r>
      <w:r>
        <w:rPr>
          <w:spacing w:val="-10"/>
        </w:rPr>
        <w:t> </w:t>
      </w:r>
      <w:r>
        <w:rPr/>
        <w:t>katmanlar</w:t>
      </w:r>
      <w:r>
        <w:rPr>
          <w:spacing w:val="-12"/>
        </w:rPr>
        <w:t> </w:t>
      </w:r>
      <w:r>
        <w:rPr/>
        <w:t>basit</w:t>
      </w:r>
      <w:r>
        <w:rPr>
          <w:spacing w:val="-12"/>
        </w:rPr>
        <w:t> </w:t>
      </w:r>
      <w:r>
        <w:rPr/>
        <w:t>geometrik</w:t>
      </w:r>
      <w:r>
        <w:rPr>
          <w:spacing w:val="-11"/>
        </w:rPr>
        <w:t> </w:t>
      </w:r>
      <w:r>
        <w:rPr/>
        <w:t>yapıları</w:t>
      </w:r>
      <w:r>
        <w:rPr>
          <w:spacing w:val="-11"/>
        </w:rPr>
        <w:t> </w:t>
      </w:r>
      <w:r>
        <w:rPr/>
        <w:t>algılarken, daha derin katmanlar nesne parçalarını veya tüm nesneleri temsil eden soyut kavramları çıkarabilir.</w:t>
      </w:r>
    </w:p>
    <w:p>
      <w:pPr>
        <w:pStyle w:val="BodyText"/>
        <w:spacing w:before="1"/>
      </w:pPr>
    </w:p>
    <w:p>
      <w:pPr>
        <w:pStyle w:val="Heading3"/>
        <w:numPr>
          <w:ilvl w:val="0"/>
          <w:numId w:val="2"/>
        </w:numPr>
        <w:tabs>
          <w:tab w:pos="289" w:val="left" w:leader="none"/>
        </w:tabs>
        <w:spacing w:line="240" w:lineRule="auto" w:before="0" w:after="0"/>
        <w:ind w:left="289" w:right="0" w:hanging="234"/>
        <w:jc w:val="both"/>
      </w:pPr>
      <w:r>
        <w:rPr/>
        <w:t>Havuzlama</w:t>
      </w:r>
      <w:r>
        <w:rPr>
          <w:spacing w:val="-7"/>
        </w:rPr>
        <w:t> </w:t>
      </w:r>
      <w:r>
        <w:rPr>
          <w:spacing w:val="-2"/>
        </w:rPr>
        <w:t>Katmanları</w:t>
      </w:r>
    </w:p>
    <w:p>
      <w:pPr>
        <w:pStyle w:val="BodyText"/>
        <w:ind w:left="55" w:right="43"/>
        <w:jc w:val="both"/>
      </w:pPr>
      <w:r>
        <w:rPr/>
        <w:t>Havuzlama katmanları (genellikle maksimum havuzlama - max pooling), özellik haritalarının uzamsal boyutunu kademeli olarak küçülterek (downsampling) iki ana amaca hizmet eder:</w:t>
      </w:r>
    </w:p>
    <w:p>
      <w:pPr>
        <w:pStyle w:val="BodyText"/>
        <w:spacing w:after="0"/>
        <w:jc w:val="both"/>
        <w:sectPr>
          <w:pgSz w:w="11910" w:h="16840"/>
          <w:pgMar w:top="1000" w:bottom="280" w:left="850" w:right="850"/>
          <w:cols w:num="2" w:equalWidth="0">
            <w:col w:w="4930" w:space="302"/>
            <w:col w:w="4978"/>
          </w:cols>
        </w:sectPr>
      </w:pPr>
    </w:p>
    <w:p>
      <w:pPr>
        <w:pStyle w:val="BodyText"/>
        <w:spacing w:before="79"/>
        <w:ind w:left="55" w:right="3"/>
        <w:jc w:val="both"/>
      </w:pPr>
      <w:r>
        <w:rPr/>
        <w:t>Hesaplama Yükünün Azaltılması: Daha küçük özellik haritaları, sonraki katmanlardaki hesaplama maliyetini </w:t>
      </w:r>
      <w:r>
        <w:rPr>
          <w:spacing w:val="-2"/>
        </w:rPr>
        <w:t>düşürür.</w:t>
      </w:r>
    </w:p>
    <w:p>
      <w:pPr>
        <w:pStyle w:val="BodyText"/>
        <w:ind w:left="55" w:right="1"/>
        <w:jc w:val="both"/>
      </w:pPr>
      <w:r>
        <w:rPr/>
        <w:t>Değişmezliğin</w:t>
      </w:r>
      <w:r>
        <w:rPr>
          <w:spacing w:val="-13"/>
        </w:rPr>
        <w:t> </w:t>
      </w:r>
      <w:r>
        <w:rPr/>
        <w:t>(Invariance)</w:t>
      </w:r>
      <w:r>
        <w:rPr>
          <w:spacing w:val="-12"/>
        </w:rPr>
        <w:t> </w:t>
      </w:r>
      <w:r>
        <w:rPr/>
        <w:t>Artırılması:</w:t>
      </w:r>
      <w:r>
        <w:rPr>
          <w:spacing w:val="-13"/>
        </w:rPr>
        <w:t> </w:t>
      </w:r>
      <w:r>
        <w:rPr/>
        <w:t>Havuzlama,</w:t>
      </w:r>
      <w:r>
        <w:rPr>
          <w:spacing w:val="-12"/>
        </w:rPr>
        <w:t> </w:t>
      </w:r>
      <w:r>
        <w:rPr/>
        <w:t>modelin görüntüdeki küçük kaydırmalara veya bozulmalara karşı daha dayanıklı (uzamsal değişmez) özellikler öğrenmesine yardımcı olur. Bu işlem, en belirgin özellikleri koruyarak gereksiz</w:t>
      </w:r>
      <w:r>
        <w:rPr>
          <w:spacing w:val="-12"/>
        </w:rPr>
        <w:t> </w:t>
      </w:r>
      <w:r>
        <w:rPr/>
        <w:t>ayrıntıları</w:t>
      </w:r>
      <w:r>
        <w:rPr>
          <w:spacing w:val="-10"/>
        </w:rPr>
        <w:t> </w:t>
      </w:r>
      <w:r>
        <w:rPr/>
        <w:t>atar</w:t>
      </w:r>
      <w:r>
        <w:rPr>
          <w:spacing w:val="-11"/>
        </w:rPr>
        <w:t> </w:t>
      </w:r>
      <w:r>
        <w:rPr/>
        <w:t>ve</w:t>
      </w:r>
      <w:r>
        <w:rPr>
          <w:spacing w:val="-13"/>
        </w:rPr>
        <w:t> </w:t>
      </w:r>
      <w:r>
        <w:rPr/>
        <w:t>daha</w:t>
      </w:r>
      <w:r>
        <w:rPr>
          <w:spacing w:val="-8"/>
        </w:rPr>
        <w:t> </w:t>
      </w:r>
      <w:r>
        <w:rPr/>
        <w:t>geniş</w:t>
      </w:r>
      <w:r>
        <w:rPr>
          <w:spacing w:val="-9"/>
        </w:rPr>
        <w:t> </w:t>
      </w:r>
      <w:r>
        <w:rPr/>
        <w:t>bir</w:t>
      </w:r>
      <w:r>
        <w:rPr>
          <w:spacing w:val="-11"/>
        </w:rPr>
        <w:t> </w:t>
      </w:r>
      <w:r>
        <w:rPr/>
        <w:t>bağlamı</w:t>
      </w:r>
      <w:r>
        <w:rPr>
          <w:spacing w:val="-10"/>
        </w:rPr>
        <w:t> </w:t>
      </w:r>
      <w:r>
        <w:rPr/>
        <w:t>temsil</w:t>
      </w:r>
      <w:r>
        <w:rPr>
          <w:spacing w:val="-13"/>
        </w:rPr>
        <w:t> </w:t>
      </w:r>
      <w:r>
        <w:rPr/>
        <w:t>eden soyut özelliklerin elde edilmesini sağlar.</w:t>
      </w:r>
    </w:p>
    <w:p>
      <w:pPr>
        <w:pStyle w:val="BodyText"/>
      </w:pPr>
    </w:p>
    <w:p>
      <w:pPr>
        <w:pStyle w:val="Heading3"/>
        <w:numPr>
          <w:ilvl w:val="0"/>
          <w:numId w:val="2"/>
        </w:numPr>
        <w:tabs>
          <w:tab w:pos="299" w:val="left" w:leader="none"/>
        </w:tabs>
        <w:spacing w:line="240" w:lineRule="auto" w:before="0" w:after="0"/>
        <w:ind w:left="299" w:right="0" w:hanging="244"/>
        <w:jc w:val="both"/>
      </w:pPr>
      <w:r>
        <w:rPr/>
        <w:t>Kodlayıcı</w:t>
      </w:r>
      <w:r>
        <w:rPr>
          <w:spacing w:val="-3"/>
        </w:rPr>
        <w:t> </w:t>
      </w:r>
      <w:r>
        <w:rPr/>
        <w:t>Yolu</w:t>
      </w:r>
      <w:r>
        <w:rPr>
          <w:spacing w:val="-4"/>
        </w:rPr>
        <w:t> </w:t>
      </w:r>
      <w:r>
        <w:rPr/>
        <w:t>ve</w:t>
      </w:r>
      <w:r>
        <w:rPr>
          <w:spacing w:val="-1"/>
        </w:rPr>
        <w:t> </w:t>
      </w:r>
      <w:r>
        <w:rPr/>
        <w:t>Darboğaz</w:t>
      </w:r>
      <w:r>
        <w:rPr>
          <w:spacing w:val="-5"/>
        </w:rPr>
        <w:t> </w:t>
      </w:r>
      <w:r>
        <w:rPr>
          <w:spacing w:val="-2"/>
        </w:rPr>
        <w:t>(Bottleneck)</w:t>
      </w:r>
    </w:p>
    <w:p>
      <w:pPr>
        <w:pStyle w:val="BodyText"/>
        <w:ind w:left="55" w:right="1"/>
        <w:jc w:val="both"/>
      </w:pPr>
      <w:r>
        <w:rPr/>
        <w:t>Kodlayıcı</w:t>
      </w:r>
      <w:r>
        <w:rPr>
          <w:spacing w:val="-6"/>
        </w:rPr>
        <w:t> </w:t>
      </w:r>
      <w:r>
        <w:rPr/>
        <w:t>yolu,</w:t>
      </w:r>
      <w:r>
        <w:rPr>
          <w:spacing w:val="-5"/>
        </w:rPr>
        <w:t> </w:t>
      </w:r>
      <w:r>
        <w:rPr/>
        <w:t>evrişim</w:t>
      </w:r>
      <w:r>
        <w:rPr>
          <w:spacing w:val="-7"/>
        </w:rPr>
        <w:t> </w:t>
      </w:r>
      <w:r>
        <w:rPr/>
        <w:t>ve</w:t>
      </w:r>
      <w:r>
        <w:rPr>
          <w:spacing w:val="-4"/>
        </w:rPr>
        <w:t> </w:t>
      </w:r>
      <w:r>
        <w:rPr/>
        <w:t>havuzlama</w:t>
      </w:r>
      <w:r>
        <w:rPr>
          <w:spacing w:val="-4"/>
        </w:rPr>
        <w:t> </w:t>
      </w:r>
      <w:r>
        <w:rPr/>
        <w:t>katmanlarının</w:t>
      </w:r>
      <w:r>
        <w:rPr>
          <w:spacing w:val="-6"/>
        </w:rPr>
        <w:t> </w:t>
      </w:r>
      <w:r>
        <w:rPr/>
        <w:t>art</w:t>
      </w:r>
      <w:r>
        <w:rPr>
          <w:spacing w:val="-6"/>
        </w:rPr>
        <w:t> </w:t>
      </w:r>
      <w:r>
        <w:rPr/>
        <w:t>arda uygulanmasıyla bir dizi "blok" oluşturur. Her havuzlama işlemi, özellik haritasının genişliğini ve yüksekliğini azaltırken, genellikle kanal sayısını (öğrenilen farklı özellik tiplerinin sayısını) artırır. Kodlayıcının sonuna</w:t>
      </w:r>
      <w:r>
        <w:rPr>
          <w:spacing w:val="-2"/>
        </w:rPr>
        <w:t> </w:t>
      </w:r>
      <w:r>
        <w:rPr/>
        <w:t>gelindiğinde, orijinal görüntünün uzamsal çözünürlüğü önemli ölçüde azalmış (örneğin, 256x256 pikselden 16x16 piksele) ancak çok zengin ve yoğun bir semantik bilgiye sahip bir özellik haritası elde edilir. Bu nokta, genellikle "darboğaz" olarak adlandırılır</w:t>
      </w:r>
      <w:r>
        <w:rPr>
          <w:spacing w:val="-13"/>
        </w:rPr>
        <w:t> </w:t>
      </w:r>
      <w:r>
        <w:rPr/>
        <w:t>ve</w:t>
      </w:r>
      <w:r>
        <w:rPr>
          <w:spacing w:val="-11"/>
        </w:rPr>
        <w:t> </w:t>
      </w:r>
      <w:r>
        <w:rPr/>
        <w:t>görüntünün</w:t>
      </w:r>
      <w:r>
        <w:rPr>
          <w:spacing w:val="-10"/>
        </w:rPr>
        <w:t> </w:t>
      </w:r>
      <w:r>
        <w:rPr/>
        <w:t>en</w:t>
      </w:r>
      <w:r>
        <w:rPr>
          <w:spacing w:val="-10"/>
        </w:rPr>
        <w:t> </w:t>
      </w:r>
      <w:r>
        <w:rPr/>
        <w:t>yüksek</w:t>
      </w:r>
      <w:r>
        <w:rPr>
          <w:spacing w:val="-13"/>
        </w:rPr>
        <w:t> </w:t>
      </w:r>
      <w:r>
        <w:rPr/>
        <w:t>seviyeli,</w:t>
      </w:r>
      <w:r>
        <w:rPr>
          <w:spacing w:val="-12"/>
        </w:rPr>
        <w:t> </w:t>
      </w:r>
      <w:r>
        <w:rPr/>
        <w:t>soyut</w:t>
      </w:r>
      <w:r>
        <w:rPr>
          <w:spacing w:val="-11"/>
        </w:rPr>
        <w:t> </w:t>
      </w:r>
      <w:r>
        <w:rPr/>
        <w:t>temsilini </w:t>
      </w:r>
      <w:r>
        <w:rPr>
          <w:spacing w:val="-2"/>
        </w:rPr>
        <w:t>içerir.</w:t>
      </w:r>
    </w:p>
    <w:p>
      <w:pPr>
        <w:pStyle w:val="BodyText"/>
        <w:spacing w:before="1"/>
      </w:pPr>
    </w:p>
    <w:p>
      <w:pPr>
        <w:pStyle w:val="Heading3"/>
        <w:numPr>
          <w:ilvl w:val="0"/>
          <w:numId w:val="2"/>
        </w:numPr>
        <w:tabs>
          <w:tab w:pos="299" w:val="left" w:leader="none"/>
        </w:tabs>
        <w:spacing w:line="240" w:lineRule="auto" w:before="0" w:after="0"/>
        <w:ind w:left="299" w:right="0" w:hanging="244"/>
        <w:jc w:val="both"/>
      </w:pPr>
      <w:r>
        <w:rPr/>
        <w:t>Atlama </w:t>
      </w:r>
      <w:r>
        <w:rPr>
          <w:spacing w:val="-2"/>
        </w:rPr>
        <w:t>Bağlantıları</w:t>
      </w:r>
    </w:p>
    <w:p>
      <w:pPr>
        <w:pStyle w:val="BodyText"/>
        <w:ind w:left="55" w:right="1"/>
        <w:jc w:val="both"/>
      </w:pPr>
      <w:r>
        <w:rPr/>
        <w:t>UNet'in en belirgin özelliklerinden biri olan atlama bağlantıları, kodlayıcıdan kod çözücüye (decoder) doğrudan özellik</w:t>
      </w:r>
      <w:r>
        <w:rPr>
          <w:spacing w:val="-2"/>
        </w:rPr>
        <w:t> </w:t>
      </w:r>
      <w:r>
        <w:rPr/>
        <w:t>aktarımı</w:t>
      </w:r>
      <w:r>
        <w:rPr>
          <w:spacing w:val="-2"/>
        </w:rPr>
        <w:t> </w:t>
      </w:r>
      <w:r>
        <w:rPr/>
        <w:t>sağlar.</w:t>
      </w:r>
      <w:r>
        <w:rPr>
          <w:spacing w:val="-2"/>
        </w:rPr>
        <w:t> </w:t>
      </w:r>
      <w:r>
        <w:rPr/>
        <w:t>Bu</w:t>
      </w:r>
      <w:r>
        <w:rPr>
          <w:spacing w:val="-6"/>
        </w:rPr>
        <w:t> </w:t>
      </w:r>
      <w:r>
        <w:rPr/>
        <w:t>bağlantılar,</w:t>
      </w:r>
      <w:r>
        <w:rPr>
          <w:spacing w:val="-2"/>
        </w:rPr>
        <w:t> </w:t>
      </w:r>
      <w:r>
        <w:rPr/>
        <w:t>downsampling</w:t>
      </w:r>
      <w:r>
        <w:rPr>
          <w:spacing w:val="-2"/>
        </w:rPr>
        <w:t> </w:t>
      </w:r>
      <w:r>
        <w:rPr/>
        <w:t>işlemi sırasında kaybolabilecek ince uzamsal detayların korunması için hayati öneme sahiptir. Kodlayıcının erken katmanlarından</w:t>
      </w:r>
      <w:r>
        <w:rPr>
          <w:spacing w:val="-13"/>
        </w:rPr>
        <w:t> </w:t>
      </w:r>
      <w:r>
        <w:rPr/>
        <w:t>alınan</w:t>
      </w:r>
      <w:r>
        <w:rPr>
          <w:spacing w:val="-12"/>
        </w:rPr>
        <w:t> </w:t>
      </w:r>
      <w:r>
        <w:rPr/>
        <w:t>yüksek</w:t>
      </w:r>
      <w:r>
        <w:rPr>
          <w:spacing w:val="-13"/>
        </w:rPr>
        <w:t> </w:t>
      </w:r>
      <w:r>
        <w:rPr/>
        <w:t>çözünürlüklü</w:t>
      </w:r>
      <w:r>
        <w:rPr>
          <w:spacing w:val="-12"/>
        </w:rPr>
        <w:t> </w:t>
      </w:r>
      <w:r>
        <w:rPr/>
        <w:t>özellik</w:t>
      </w:r>
      <w:r>
        <w:rPr>
          <w:spacing w:val="-13"/>
        </w:rPr>
        <w:t> </w:t>
      </w:r>
      <w:r>
        <w:rPr/>
        <w:t>haritaları, kod çözücünün ilgili seviyelerindeki upsampling (boyut artırma) katmanlarıyla birleştirilir. Bu sayede, model hem geniş bağlamsal bilgiyi (darboğazdan gelen) hem de yerel detayları (atlama bağlantılarından gelen) birleştirerek, nesne sınırlarını daha doğru ve keskin bir şekilde segmentlere </w:t>
      </w:r>
      <w:r>
        <w:rPr>
          <w:spacing w:val="-2"/>
        </w:rPr>
        <w:t>ayırabilir.</w:t>
      </w:r>
    </w:p>
    <w:p>
      <w:pPr>
        <w:pStyle w:val="BodyText"/>
        <w:spacing w:before="2"/>
      </w:pPr>
    </w:p>
    <w:p>
      <w:pPr>
        <w:pStyle w:val="Heading3"/>
        <w:ind w:firstLine="0"/>
      </w:pPr>
      <w:r>
        <w:rPr/>
        <w:t>UNet</w:t>
      </w:r>
      <w:r>
        <w:rPr>
          <w:spacing w:val="-5"/>
        </w:rPr>
        <w:t> </w:t>
      </w:r>
      <w:r>
        <w:rPr/>
        <w:t>Modelinin</w:t>
      </w:r>
      <w:r>
        <w:rPr>
          <w:spacing w:val="-4"/>
        </w:rPr>
        <w:t> </w:t>
      </w:r>
      <w:r>
        <w:rPr/>
        <w:t>Özellik</w:t>
      </w:r>
      <w:r>
        <w:rPr>
          <w:spacing w:val="-4"/>
        </w:rPr>
        <w:t> </w:t>
      </w:r>
      <w:r>
        <w:rPr>
          <w:spacing w:val="-2"/>
        </w:rPr>
        <w:t>Çıkarımı</w:t>
      </w:r>
    </w:p>
    <w:p>
      <w:pPr>
        <w:pStyle w:val="BodyText"/>
        <w:ind w:left="55"/>
        <w:jc w:val="both"/>
      </w:pPr>
      <w:r>
        <w:rPr/>
        <w:t>Projemizde segmentation_models_pytorch (smp) kütüphanesini kullanarak bir smp.Unet modeli oluşturmaktayız Bu uygulama bağlamında özellik çıkarım süreci aşağıdaki gibi detaylandırılabilir:</w:t>
      </w:r>
    </w:p>
    <w:p>
      <w:pPr>
        <w:pStyle w:val="BodyText"/>
      </w:pPr>
    </w:p>
    <w:p>
      <w:pPr>
        <w:pStyle w:val="BodyText"/>
      </w:pPr>
    </w:p>
    <w:p>
      <w:pPr>
        <w:pStyle w:val="Heading3"/>
        <w:numPr>
          <w:ilvl w:val="0"/>
          <w:numId w:val="3"/>
        </w:numPr>
        <w:tabs>
          <w:tab w:pos="299" w:val="left" w:leader="none"/>
        </w:tabs>
        <w:spacing w:line="240" w:lineRule="auto" w:before="0" w:after="0"/>
        <w:ind w:left="299" w:right="0" w:hanging="244"/>
        <w:jc w:val="both"/>
      </w:pPr>
      <w:r>
        <w:rPr/>
        <w:t>Önceden</w:t>
      </w:r>
      <w:r>
        <w:rPr>
          <w:spacing w:val="-5"/>
        </w:rPr>
        <w:t> </w:t>
      </w:r>
      <w:r>
        <w:rPr/>
        <w:t>Eğitilmiş</w:t>
      </w:r>
      <w:r>
        <w:rPr>
          <w:spacing w:val="-3"/>
        </w:rPr>
        <w:t> </w:t>
      </w:r>
      <w:r>
        <w:rPr/>
        <w:t>Kodlayıcı</w:t>
      </w:r>
      <w:r>
        <w:rPr>
          <w:spacing w:val="-3"/>
        </w:rPr>
        <w:t> </w:t>
      </w:r>
      <w:r>
        <w:rPr>
          <w:spacing w:val="-2"/>
        </w:rPr>
        <w:t>Seçimi</w:t>
      </w:r>
    </w:p>
    <w:p>
      <w:pPr>
        <w:pStyle w:val="BodyText"/>
        <w:tabs>
          <w:tab w:pos="1705" w:val="left" w:leader="none"/>
          <w:tab w:pos="4734" w:val="left" w:leader="none"/>
        </w:tabs>
        <w:ind w:left="55"/>
        <w:jc w:val="both"/>
      </w:pPr>
      <w:r>
        <w:rPr>
          <w:spacing w:val="-2"/>
        </w:rPr>
        <w:t>Kodda</w:t>
      </w:r>
      <w:r>
        <w:rPr/>
        <w:tab/>
      </w:r>
      <w:r>
        <w:rPr>
          <w:spacing w:val="-2"/>
        </w:rPr>
        <w:t>encoder_name='mit_b0'</w:t>
      </w:r>
      <w:r>
        <w:rPr/>
        <w:tab/>
      </w:r>
      <w:r>
        <w:rPr>
          <w:spacing w:val="-6"/>
        </w:rPr>
        <w:t>ve </w:t>
      </w:r>
      <w:r>
        <w:rPr/>
        <w:t>encoder_weights="imagenet" gibi parametreler kullanarak, önceden</w:t>
      </w:r>
      <w:r>
        <w:rPr>
          <w:spacing w:val="-13"/>
        </w:rPr>
        <w:t> </w:t>
      </w:r>
      <w:r>
        <w:rPr/>
        <w:t>eğitilmiş</w:t>
      </w:r>
      <w:r>
        <w:rPr>
          <w:spacing w:val="-12"/>
        </w:rPr>
        <w:t> </w:t>
      </w:r>
      <w:r>
        <w:rPr/>
        <w:t>güçlü</w:t>
      </w:r>
      <w:r>
        <w:rPr>
          <w:spacing w:val="-13"/>
        </w:rPr>
        <w:t> </w:t>
      </w:r>
      <w:r>
        <w:rPr/>
        <w:t>bir</w:t>
      </w:r>
      <w:r>
        <w:rPr>
          <w:spacing w:val="-12"/>
        </w:rPr>
        <w:t> </w:t>
      </w:r>
      <w:r>
        <w:rPr/>
        <w:t>kodlayıcı</w:t>
      </w:r>
      <w:r>
        <w:rPr>
          <w:spacing w:val="-13"/>
        </w:rPr>
        <w:t> </w:t>
      </w:r>
      <w:r>
        <w:rPr/>
        <w:t>kullanmaktayız.</w:t>
      </w:r>
      <w:r>
        <w:rPr>
          <w:spacing w:val="-12"/>
        </w:rPr>
        <w:t> </w:t>
      </w:r>
      <w:r>
        <w:rPr/>
        <w:t>mit_b0 (Mix Transformer B0), resnet34 veya efficientnet-b0 gibi seçilen mimariler, zaten milyonlarca doğal görüntü üzerinde (ImageNet gibi) eğitilmiş derin CNN'lerdir. Bu ön eğitim, modelin sıfırdan öğrenmek yerine, ImageNet'ten edindiği zengin</w:t>
      </w:r>
      <w:r>
        <w:rPr>
          <w:spacing w:val="-9"/>
        </w:rPr>
        <w:t> </w:t>
      </w:r>
      <w:r>
        <w:rPr/>
        <w:t>ve</w:t>
      </w:r>
      <w:r>
        <w:rPr>
          <w:spacing w:val="-8"/>
        </w:rPr>
        <w:t> </w:t>
      </w:r>
      <w:r>
        <w:rPr/>
        <w:t>genel</w:t>
      </w:r>
      <w:r>
        <w:rPr>
          <w:spacing w:val="-9"/>
        </w:rPr>
        <w:t> </w:t>
      </w:r>
      <w:r>
        <w:rPr/>
        <w:t>görsel</w:t>
      </w:r>
      <w:r>
        <w:rPr>
          <w:spacing w:val="-10"/>
        </w:rPr>
        <w:t> </w:t>
      </w:r>
      <w:r>
        <w:rPr/>
        <w:t>özellikleri</w:t>
      </w:r>
      <w:r>
        <w:rPr>
          <w:spacing w:val="-10"/>
        </w:rPr>
        <w:t> </w:t>
      </w:r>
      <w:r>
        <w:rPr/>
        <w:t>(kenarlar,</w:t>
      </w:r>
      <w:r>
        <w:rPr>
          <w:spacing w:val="-9"/>
        </w:rPr>
        <w:t> </w:t>
      </w:r>
      <w:r>
        <w:rPr/>
        <w:t>dokular,</w:t>
      </w:r>
      <w:r>
        <w:rPr>
          <w:spacing w:val="-9"/>
        </w:rPr>
        <w:t> </w:t>
      </w:r>
      <w:r>
        <w:rPr/>
        <w:t>şekiller) Kvasir-SEG veri setindeki poliplerin benzer özelliklerini tanımak için kullanmasını sağlar. Bu transfer öğrenimi yaklaşımı,</w:t>
      </w:r>
      <w:r>
        <w:rPr>
          <w:spacing w:val="-10"/>
        </w:rPr>
        <w:t> </w:t>
      </w:r>
      <w:r>
        <w:rPr/>
        <w:t>özellikle</w:t>
      </w:r>
      <w:r>
        <w:rPr>
          <w:spacing w:val="-9"/>
        </w:rPr>
        <w:t> </w:t>
      </w:r>
      <w:r>
        <w:rPr/>
        <w:t>sınırlı</w:t>
      </w:r>
      <w:r>
        <w:rPr>
          <w:spacing w:val="-11"/>
        </w:rPr>
        <w:t> </w:t>
      </w:r>
      <w:r>
        <w:rPr/>
        <w:t>veri</w:t>
      </w:r>
      <w:r>
        <w:rPr>
          <w:spacing w:val="-5"/>
        </w:rPr>
        <w:t> </w:t>
      </w:r>
      <w:r>
        <w:rPr/>
        <w:t>setlerinde</w:t>
      </w:r>
      <w:r>
        <w:rPr>
          <w:spacing w:val="-8"/>
        </w:rPr>
        <w:t> </w:t>
      </w:r>
      <w:r>
        <w:rPr/>
        <w:t>modelin</w:t>
      </w:r>
      <w:r>
        <w:rPr>
          <w:spacing w:val="-9"/>
        </w:rPr>
        <w:t> </w:t>
      </w:r>
      <w:r>
        <w:rPr/>
        <w:t>yakınsama hızını ve performansını artırır.</w:t>
      </w:r>
    </w:p>
    <w:p>
      <w:pPr>
        <w:pStyle w:val="BodyText"/>
        <w:spacing w:before="1"/>
      </w:pPr>
    </w:p>
    <w:p>
      <w:pPr>
        <w:pStyle w:val="Heading3"/>
        <w:numPr>
          <w:ilvl w:val="0"/>
          <w:numId w:val="3"/>
        </w:numPr>
        <w:tabs>
          <w:tab w:pos="289" w:val="left" w:leader="none"/>
        </w:tabs>
        <w:spacing w:line="240" w:lineRule="auto" w:before="1" w:after="0"/>
        <w:ind w:left="289" w:right="0" w:hanging="234"/>
        <w:jc w:val="both"/>
      </w:pPr>
      <w:r>
        <w:rPr/>
        <w:t>Kodlayıcıdaki</w:t>
      </w:r>
      <w:r>
        <w:rPr>
          <w:spacing w:val="-6"/>
        </w:rPr>
        <w:t> </w:t>
      </w:r>
      <w:r>
        <w:rPr/>
        <w:t>Havuzlama</w:t>
      </w:r>
      <w:r>
        <w:rPr>
          <w:spacing w:val="-4"/>
        </w:rPr>
        <w:t> </w:t>
      </w:r>
      <w:r>
        <w:rPr/>
        <w:t>ve</w:t>
      </w:r>
      <w:r>
        <w:rPr>
          <w:spacing w:val="-3"/>
        </w:rPr>
        <w:t> </w:t>
      </w:r>
      <w:r>
        <w:rPr>
          <w:spacing w:val="-2"/>
        </w:rPr>
        <w:t>Darboğaz</w:t>
      </w:r>
    </w:p>
    <w:p>
      <w:pPr>
        <w:pStyle w:val="BodyText"/>
        <w:ind w:left="55"/>
        <w:jc w:val="both"/>
      </w:pPr>
      <w:r>
        <w:rPr/>
        <w:t>Seçilen mit_b0 gibi kodlayıcılar, kendi içlerinde evrişim ve havuzlama (veya kaydırmalı evrişim - strided convolutions) işlemlerini</w:t>
      </w:r>
      <w:r>
        <w:rPr>
          <w:spacing w:val="66"/>
          <w:w w:val="150"/>
        </w:rPr>
        <w:t> </w:t>
      </w:r>
      <w:r>
        <w:rPr/>
        <w:t>barındırır.</w:t>
      </w:r>
      <w:r>
        <w:rPr>
          <w:spacing w:val="71"/>
          <w:w w:val="150"/>
        </w:rPr>
        <w:t> </w:t>
      </w:r>
      <w:r>
        <w:rPr/>
        <w:t>Bu</w:t>
      </w:r>
      <w:r>
        <w:rPr>
          <w:spacing w:val="67"/>
          <w:w w:val="150"/>
        </w:rPr>
        <w:t> </w:t>
      </w:r>
      <w:r>
        <w:rPr/>
        <w:t>işlemler,</w:t>
      </w:r>
      <w:r>
        <w:rPr>
          <w:spacing w:val="66"/>
          <w:w w:val="150"/>
        </w:rPr>
        <w:t> </w:t>
      </w:r>
      <w:r>
        <w:rPr/>
        <w:t>giriş</w:t>
      </w:r>
      <w:r>
        <w:rPr>
          <w:spacing w:val="69"/>
          <w:w w:val="150"/>
        </w:rPr>
        <w:t> </w:t>
      </w:r>
      <w:r>
        <w:rPr>
          <w:spacing w:val="-2"/>
        </w:rPr>
        <w:t>görüntüsünden</w:t>
      </w:r>
    </w:p>
    <w:p>
      <w:pPr>
        <w:pStyle w:val="BodyText"/>
        <w:spacing w:before="79"/>
        <w:ind w:left="60" w:right="48"/>
        <w:jc w:val="both"/>
      </w:pPr>
      <w:r>
        <w:rPr/>
        <w:br w:type="column"/>
      </w:r>
      <w:r>
        <w:rPr/>
        <w:t>hiyerarşik</w:t>
      </w:r>
      <w:r>
        <w:rPr>
          <w:spacing w:val="-13"/>
        </w:rPr>
        <w:t> </w:t>
      </w:r>
      <w:r>
        <w:rPr/>
        <w:t>özellik</w:t>
      </w:r>
      <w:r>
        <w:rPr>
          <w:spacing w:val="-12"/>
        </w:rPr>
        <w:t> </w:t>
      </w:r>
      <w:r>
        <w:rPr/>
        <w:t>temsilleri</w:t>
      </w:r>
      <w:r>
        <w:rPr>
          <w:spacing w:val="-13"/>
        </w:rPr>
        <w:t> </w:t>
      </w:r>
      <w:r>
        <w:rPr/>
        <w:t>oluşturarak</w:t>
      </w:r>
      <w:r>
        <w:rPr>
          <w:spacing w:val="-12"/>
        </w:rPr>
        <w:t> </w:t>
      </w:r>
      <w:r>
        <w:rPr/>
        <w:t>uzamsal</w:t>
      </w:r>
      <w:r>
        <w:rPr>
          <w:spacing w:val="-13"/>
        </w:rPr>
        <w:t> </w:t>
      </w:r>
      <w:r>
        <w:rPr/>
        <w:t>çözünürlüğü kademeli olarak düşürür ve kanal derinliğini artırır. Kodlayıcının son katmanı olan darboğaz, Kvasir-SEG görüntülerindeki</w:t>
      </w:r>
      <w:r>
        <w:rPr>
          <w:spacing w:val="-1"/>
        </w:rPr>
        <w:t> </w:t>
      </w:r>
      <w:r>
        <w:rPr/>
        <w:t>polip</w:t>
      </w:r>
      <w:r>
        <w:rPr>
          <w:spacing w:val="-1"/>
        </w:rPr>
        <w:t> </w:t>
      </w:r>
      <w:r>
        <w:rPr/>
        <w:t>varlığına,</w:t>
      </w:r>
      <w:r>
        <w:rPr>
          <w:spacing w:val="-1"/>
        </w:rPr>
        <w:t> </w:t>
      </w:r>
      <w:r>
        <w:rPr/>
        <w:t>genel</w:t>
      </w:r>
      <w:r>
        <w:rPr>
          <w:spacing w:val="-1"/>
        </w:rPr>
        <w:t> </w:t>
      </w:r>
      <w:r>
        <w:rPr/>
        <w:t>şekline</w:t>
      </w:r>
      <w:r>
        <w:rPr>
          <w:spacing w:val="-1"/>
        </w:rPr>
        <w:t> </w:t>
      </w:r>
      <w:r>
        <w:rPr/>
        <w:t>ve</w:t>
      </w:r>
      <w:r>
        <w:rPr>
          <w:spacing w:val="-1"/>
        </w:rPr>
        <w:t> </w:t>
      </w:r>
      <w:r>
        <w:rPr/>
        <w:t>konumuna dair en yoğun, anlamsal bilgiyi barındırır.</w:t>
      </w:r>
    </w:p>
    <w:p>
      <w:pPr>
        <w:pStyle w:val="BodyText"/>
      </w:pPr>
    </w:p>
    <w:p>
      <w:pPr>
        <w:pStyle w:val="Heading3"/>
        <w:numPr>
          <w:ilvl w:val="0"/>
          <w:numId w:val="3"/>
        </w:numPr>
        <w:tabs>
          <w:tab w:pos="304" w:val="left" w:leader="none"/>
        </w:tabs>
        <w:spacing w:line="240" w:lineRule="auto" w:before="0" w:after="0"/>
        <w:ind w:left="304" w:right="0" w:hanging="244"/>
        <w:jc w:val="both"/>
      </w:pPr>
      <w:r>
        <w:rPr/>
        <w:t>smp.UNet'teki</w:t>
      </w:r>
      <w:r>
        <w:rPr>
          <w:spacing w:val="-3"/>
        </w:rPr>
        <w:t> </w:t>
      </w:r>
      <w:r>
        <w:rPr/>
        <w:t>Atlama</w:t>
      </w:r>
      <w:r>
        <w:rPr>
          <w:spacing w:val="-2"/>
        </w:rPr>
        <w:t> Bağlantıları</w:t>
      </w:r>
    </w:p>
    <w:p>
      <w:pPr>
        <w:pStyle w:val="BodyText"/>
        <w:ind w:left="60" w:right="44"/>
        <w:jc w:val="both"/>
      </w:pPr>
      <w:r>
        <w:rPr/>
        <w:t>smp.Unet mimarisi, kodlayıcının her bir downsampling aşamasından elde edilen özellik haritalarını, kod çözücünün karşılık gelen upsampling katmanlarına otomatik olarak kopyalar ve birleştirir. Bu özellikler, özellikle polip sınırlarının ve ince yapıların doğru bir şekilde segmentlere ayrılması için kritik öneme sahiptir. Atlama bağlantıları, kodlayıcının</w:t>
      </w:r>
      <w:r>
        <w:rPr>
          <w:spacing w:val="-4"/>
        </w:rPr>
        <w:t> </w:t>
      </w:r>
      <w:r>
        <w:rPr/>
        <w:t>yüksek</w:t>
      </w:r>
      <w:r>
        <w:rPr>
          <w:spacing w:val="-3"/>
        </w:rPr>
        <w:t> </w:t>
      </w:r>
      <w:r>
        <w:rPr/>
        <w:t>çözünürlüklü</w:t>
      </w:r>
      <w:r>
        <w:rPr>
          <w:spacing w:val="-3"/>
        </w:rPr>
        <w:t> </w:t>
      </w:r>
      <w:r>
        <w:rPr/>
        <w:t>konumsal</w:t>
      </w:r>
      <w:r>
        <w:rPr>
          <w:spacing w:val="-4"/>
        </w:rPr>
        <w:t> </w:t>
      </w:r>
      <w:r>
        <w:rPr/>
        <w:t>detaylarını,</w:t>
      </w:r>
      <w:r>
        <w:rPr>
          <w:spacing w:val="-4"/>
        </w:rPr>
        <w:t> </w:t>
      </w:r>
      <w:r>
        <w:rPr/>
        <w:t>kod çözücünün daha soyut semantik bilgisiyle birleştirerek daha hassas ve keskin segmentasyon maskeleri üretilmesine olanak tanır.</w:t>
      </w:r>
    </w:p>
    <w:p>
      <w:pPr>
        <w:pStyle w:val="BodyText"/>
        <w:spacing w:before="1"/>
      </w:pPr>
    </w:p>
    <w:p>
      <w:pPr>
        <w:pStyle w:val="Heading3"/>
        <w:numPr>
          <w:ilvl w:val="0"/>
          <w:numId w:val="3"/>
        </w:numPr>
        <w:tabs>
          <w:tab w:pos="304" w:val="left" w:leader="none"/>
        </w:tabs>
        <w:spacing w:line="240" w:lineRule="auto" w:before="0" w:after="0"/>
        <w:ind w:left="304" w:right="0" w:hanging="244"/>
        <w:jc w:val="both"/>
      </w:pPr>
      <w:r>
        <w:rPr/>
        <w:t>Veri</w:t>
      </w:r>
      <w:r>
        <w:rPr>
          <w:spacing w:val="-1"/>
        </w:rPr>
        <w:t> </w:t>
      </w:r>
      <w:r>
        <w:rPr/>
        <w:t>Ön</w:t>
      </w:r>
      <w:r>
        <w:rPr>
          <w:spacing w:val="-2"/>
        </w:rPr>
        <w:t> </w:t>
      </w:r>
      <w:r>
        <w:rPr/>
        <w:t>İşleme</w:t>
      </w:r>
      <w:r>
        <w:rPr>
          <w:spacing w:val="1"/>
        </w:rPr>
        <w:t> </w:t>
      </w:r>
      <w:r>
        <w:rPr/>
        <w:t>ve</w:t>
      </w:r>
      <w:r>
        <w:rPr>
          <w:spacing w:val="-4"/>
        </w:rPr>
        <w:t> </w:t>
      </w:r>
      <w:r>
        <w:rPr/>
        <w:t>Artırımın</w:t>
      </w:r>
      <w:r>
        <w:rPr>
          <w:spacing w:val="-1"/>
        </w:rPr>
        <w:t> </w:t>
      </w:r>
      <w:r>
        <w:rPr>
          <w:spacing w:val="-4"/>
        </w:rPr>
        <w:t>Rolü</w:t>
      </w:r>
    </w:p>
    <w:p>
      <w:pPr>
        <w:pStyle w:val="BodyText"/>
        <w:tabs>
          <w:tab w:pos="3699" w:val="left" w:leader="none"/>
        </w:tabs>
        <w:ind w:left="60" w:right="47"/>
        <w:jc w:val="both"/>
      </w:pPr>
      <w:r>
        <w:rPr/>
        <w:t>Kullanılan</w:t>
      </w:r>
      <w:r>
        <w:rPr>
          <w:spacing w:val="-6"/>
        </w:rPr>
        <w:t> </w:t>
      </w:r>
      <w:r>
        <w:rPr/>
        <w:t>albumentations</w:t>
      </w:r>
      <w:r>
        <w:rPr>
          <w:spacing w:val="-5"/>
        </w:rPr>
        <w:t> </w:t>
      </w:r>
      <w:r>
        <w:rPr/>
        <w:t>kütüphanesi</w:t>
      </w:r>
      <w:r>
        <w:rPr>
          <w:spacing w:val="-11"/>
        </w:rPr>
        <w:t> </w:t>
      </w:r>
      <w:r>
        <w:rPr/>
        <w:t>ile</w:t>
      </w:r>
      <w:r>
        <w:rPr>
          <w:spacing w:val="-6"/>
        </w:rPr>
        <w:t> </w:t>
      </w:r>
      <w:r>
        <w:rPr/>
        <w:t>uygulanan</w:t>
      </w:r>
      <w:r>
        <w:rPr>
          <w:spacing w:val="-10"/>
        </w:rPr>
        <w:t> </w:t>
      </w:r>
      <w:r>
        <w:rPr/>
        <w:t>veri</w:t>
      </w:r>
      <w:r>
        <w:rPr>
          <w:spacing w:val="-7"/>
        </w:rPr>
        <w:t> </w:t>
      </w:r>
      <w:r>
        <w:rPr/>
        <w:t>ön işleme (A.Resize, A.Normalize, ToTensorV2) ve artırım </w:t>
      </w:r>
      <w:r>
        <w:rPr>
          <w:spacing w:val="-2"/>
        </w:rPr>
        <w:t>(A.ShiftScaleRotate</w:t>
      </w:r>
      <w:r>
        <w:rPr/>
        <w:tab/>
      </w:r>
      <w:r>
        <w:rPr>
          <w:spacing w:val="-2"/>
        </w:rPr>
        <w:t>HorizontalFlip, </w:t>
      </w:r>
      <w:r>
        <w:rPr/>
        <w:t>A.RandomBrightnessContrast, A.GaussNoise) teknikleri, özellik çıkarımının etkinliğini doğrudan etkiler:</w:t>
      </w:r>
    </w:p>
    <w:p>
      <w:pPr>
        <w:pStyle w:val="BodyText"/>
      </w:pPr>
    </w:p>
    <w:p>
      <w:pPr>
        <w:pStyle w:val="BodyText"/>
        <w:ind w:left="60" w:right="48"/>
        <w:jc w:val="both"/>
      </w:pPr>
      <w:r>
        <w:rPr/>
        <w:t>Yeniden Boyutlandırma (A.Resize): Kodlayıcının standart bir giriş boyutunda (örneğin 256x256) çalışmasını sağlar.</w:t>
      </w:r>
    </w:p>
    <w:p>
      <w:pPr>
        <w:pStyle w:val="BodyText"/>
        <w:spacing w:before="1"/>
        <w:ind w:left="60" w:right="49"/>
        <w:jc w:val="both"/>
      </w:pPr>
      <w:r>
        <w:rPr/>
        <w:t>Normalizasyon (A.Normalize): Piksel değerlerini önceden eğitilmiş kodlayıcının beklediği dağılıma uygun hale</w:t>
      </w:r>
      <w:r>
        <w:rPr>
          <w:spacing w:val="-1"/>
        </w:rPr>
        <w:t> </w:t>
      </w:r>
      <w:r>
        <w:rPr/>
        <w:t>getirir, bu da öğrenme sürecinin verimliliğini artırır.</w:t>
      </w:r>
    </w:p>
    <w:p>
      <w:pPr>
        <w:pStyle w:val="BodyText"/>
        <w:ind w:left="60" w:right="44"/>
        <w:jc w:val="both"/>
      </w:pPr>
      <w:r>
        <w:rPr/>
        <w:t>Veri Artırımı: Eğitim veri setini sentetik olarak büyüterek, modelin farklı konumlarda, boyutlarda, aydınlatma koşullarında veya hafifçe dönmüş poliplerden sağlam ve genellenebilir özellikler öğrenmesini sağlar. Bu, modelin yeni, daha önce görmediği görüntülerde bile poliplerin özelliklerini doğru bir şekilde çıkarabilmesi için kritiktir.</w:t>
      </w:r>
    </w:p>
    <w:p>
      <w:pPr>
        <w:pStyle w:val="BodyText"/>
        <w:spacing w:before="1"/>
      </w:pPr>
    </w:p>
    <w:p>
      <w:pPr>
        <w:pStyle w:val="Heading3"/>
        <w:ind w:left="60" w:firstLine="0"/>
        <w:jc w:val="left"/>
      </w:pPr>
      <w:r>
        <w:rPr>
          <w:spacing w:val="-2"/>
        </w:rPr>
        <w:t>Sonuç</w:t>
      </w:r>
    </w:p>
    <w:p>
      <w:pPr>
        <w:pStyle w:val="BodyText"/>
        <w:ind w:left="60" w:right="43"/>
        <w:jc w:val="both"/>
      </w:pPr>
      <w:r>
        <w:rPr/>
        <w:t>Projemizdeki UNet modelinin başarılı özellik çıkarımı yeteneği, güçlü ve önceden eğitilmiş bir kodlayıcının hiyerarşik öğrenme kapasitesinin, detay koruyucu atlama bağlantılarının ve sağlam bir veri ön işleme/artırım stratejisinin sinerjik birleşimiyle sağlanmaktadır. Bu yaklaşımlar, Kvasir-SEG veri setindeki poliplerin etkili bir şekilde segmentlere ayrılmasına olanak tanır.</w:t>
      </w:r>
    </w:p>
    <w:p>
      <w:pPr>
        <w:pStyle w:val="BodyText"/>
        <w:spacing w:before="204"/>
      </w:pPr>
      <w:r>
        <w:rPr/>
        <w:drawing>
          <wp:anchor distT="0" distB="0" distL="0" distR="0" allowOverlap="1" layoutInCell="1" locked="0" behindDoc="1" simplePos="0" relativeHeight="487587840">
            <wp:simplePos x="0" y="0"/>
            <wp:positionH relativeFrom="page">
              <wp:posOffset>3894454</wp:posOffset>
            </wp:positionH>
            <wp:positionV relativeFrom="paragraph">
              <wp:posOffset>291324</wp:posOffset>
            </wp:positionV>
            <wp:extent cx="2753169" cy="189795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2753169" cy="1897951"/>
                    </a:xfrm>
                    <a:prstGeom prst="rect">
                      <a:avLst/>
                    </a:prstGeom>
                  </pic:spPr>
                </pic:pic>
              </a:graphicData>
            </a:graphic>
          </wp:anchor>
        </w:drawing>
      </w:r>
    </w:p>
    <w:p>
      <w:pPr>
        <w:pStyle w:val="BodyText"/>
        <w:spacing w:before="14"/>
        <w:ind w:left="60"/>
      </w:pPr>
      <w:r>
        <w:rPr>
          <w:b/>
        </w:rPr>
        <w:t>Şekil</w:t>
      </w:r>
      <w:r>
        <w:rPr>
          <w:b/>
          <w:spacing w:val="38"/>
        </w:rPr>
        <w:t> </w:t>
      </w:r>
      <w:r>
        <w:rPr>
          <w:b/>
        </w:rPr>
        <w:t>2.</w:t>
      </w:r>
      <w:r>
        <w:rPr>
          <w:b/>
          <w:spacing w:val="40"/>
        </w:rPr>
        <w:t> </w:t>
      </w:r>
      <w:r>
        <w:rPr/>
        <w:t>Kodlayıcı–kod</w:t>
      </w:r>
      <w:r>
        <w:rPr>
          <w:spacing w:val="39"/>
        </w:rPr>
        <w:t> </w:t>
      </w:r>
      <w:r>
        <w:rPr/>
        <w:t>çözücü</w:t>
      </w:r>
      <w:r>
        <w:rPr>
          <w:spacing w:val="39"/>
        </w:rPr>
        <w:t> </w:t>
      </w:r>
      <w:r>
        <w:rPr/>
        <w:t>tabanlı</w:t>
      </w:r>
      <w:r>
        <w:rPr>
          <w:spacing w:val="39"/>
        </w:rPr>
        <w:t> </w:t>
      </w:r>
      <w:r>
        <w:rPr/>
        <w:t>UNet</w:t>
      </w:r>
      <w:r>
        <w:rPr>
          <w:spacing w:val="39"/>
        </w:rPr>
        <w:t> </w:t>
      </w:r>
      <w:r>
        <w:rPr/>
        <w:t>mimarisi</w:t>
      </w:r>
      <w:r>
        <w:rPr>
          <w:spacing w:val="39"/>
        </w:rPr>
        <w:t> </w:t>
      </w:r>
      <w:r>
        <w:rPr/>
        <w:t>ve atlama</w:t>
      </w:r>
      <w:r>
        <w:rPr>
          <w:spacing w:val="-7"/>
        </w:rPr>
        <w:t> </w:t>
      </w:r>
      <w:r>
        <w:rPr/>
        <w:t>bağlantıları</w:t>
      </w:r>
      <w:r>
        <w:rPr>
          <w:spacing w:val="-9"/>
        </w:rPr>
        <w:t> </w:t>
      </w:r>
      <w:r>
        <w:rPr/>
        <w:t>ile</w:t>
      </w:r>
      <w:r>
        <w:rPr>
          <w:spacing w:val="-6"/>
        </w:rPr>
        <w:t> </w:t>
      </w:r>
      <w:r>
        <w:rPr/>
        <w:t>gerçekleştirilen</w:t>
      </w:r>
      <w:r>
        <w:rPr>
          <w:spacing w:val="-8"/>
        </w:rPr>
        <w:t> </w:t>
      </w:r>
      <w:r>
        <w:rPr/>
        <w:t>özellik</w:t>
      </w:r>
      <w:r>
        <w:rPr>
          <w:spacing w:val="-8"/>
        </w:rPr>
        <w:t> </w:t>
      </w:r>
      <w:r>
        <w:rPr/>
        <w:t>füzyonu</w:t>
      </w:r>
      <w:r>
        <w:rPr>
          <w:spacing w:val="-12"/>
        </w:rPr>
        <w:t> </w:t>
      </w:r>
      <w:r>
        <w:rPr>
          <w:spacing w:val="-2"/>
        </w:rPr>
        <w:t>süreci.</w:t>
      </w:r>
    </w:p>
    <w:p>
      <w:pPr>
        <w:pStyle w:val="BodyText"/>
        <w:spacing w:after="0"/>
        <w:sectPr>
          <w:pgSz w:w="11910" w:h="16840"/>
          <w:pgMar w:top="1000" w:bottom="280" w:left="850" w:right="850"/>
          <w:cols w:num="2" w:equalWidth="0">
            <w:col w:w="4928" w:space="300"/>
            <w:col w:w="4982"/>
          </w:cols>
        </w:sectPr>
      </w:pPr>
    </w:p>
    <w:p>
      <w:pPr>
        <w:pStyle w:val="BodyText"/>
        <w:spacing w:before="68"/>
      </w:pPr>
    </w:p>
    <w:p>
      <w:pPr>
        <w:pStyle w:val="Heading3"/>
        <w:spacing w:before="1"/>
        <w:ind w:firstLine="0"/>
      </w:pPr>
      <w:r>
        <w:rPr/>
        <w:t>Özellik</w:t>
      </w:r>
      <w:r>
        <w:rPr>
          <w:spacing w:val="-9"/>
        </w:rPr>
        <w:t> </w:t>
      </w:r>
      <w:r>
        <w:rPr>
          <w:spacing w:val="-2"/>
        </w:rPr>
        <w:t>Birleştirme</w:t>
      </w:r>
    </w:p>
    <w:p>
      <w:pPr>
        <w:pStyle w:val="BodyText"/>
        <w:ind w:left="55" w:right="1"/>
        <w:jc w:val="both"/>
      </w:pPr>
      <w:r>
        <w:rPr/>
        <w:t>Görüntü</w:t>
      </w:r>
      <w:r>
        <w:rPr>
          <w:spacing w:val="-13"/>
        </w:rPr>
        <w:t> </w:t>
      </w:r>
      <w:r>
        <w:rPr/>
        <w:t>segmentasyonu</w:t>
      </w:r>
      <w:r>
        <w:rPr>
          <w:spacing w:val="-12"/>
        </w:rPr>
        <w:t> </w:t>
      </w:r>
      <w:r>
        <w:rPr/>
        <w:t>görevlerinde,</w:t>
      </w:r>
      <w:r>
        <w:rPr>
          <w:spacing w:val="-12"/>
        </w:rPr>
        <w:t> </w:t>
      </w:r>
      <w:r>
        <w:rPr/>
        <w:t>bir</w:t>
      </w:r>
      <w:r>
        <w:rPr>
          <w:spacing w:val="-13"/>
        </w:rPr>
        <w:t> </w:t>
      </w:r>
      <w:r>
        <w:rPr/>
        <w:t>modelin</w:t>
      </w:r>
      <w:r>
        <w:rPr>
          <w:spacing w:val="-12"/>
        </w:rPr>
        <w:t> </w:t>
      </w:r>
      <w:r>
        <w:rPr/>
        <w:t>hem</w:t>
      </w:r>
      <w:r>
        <w:rPr>
          <w:spacing w:val="-13"/>
        </w:rPr>
        <w:t> </w:t>
      </w:r>
      <w:r>
        <w:rPr/>
        <w:t>geniş anlamsal bağlamı anlaması hem de piksel düzeyinde hassas sınırları</w:t>
      </w:r>
      <w:r>
        <w:rPr>
          <w:spacing w:val="-7"/>
        </w:rPr>
        <w:t> </w:t>
      </w:r>
      <w:r>
        <w:rPr/>
        <w:t>belirlemesi</w:t>
      </w:r>
      <w:r>
        <w:rPr>
          <w:spacing w:val="-7"/>
        </w:rPr>
        <w:t> </w:t>
      </w:r>
      <w:r>
        <w:rPr/>
        <w:t>kritik</w:t>
      </w:r>
      <w:r>
        <w:rPr>
          <w:spacing w:val="-7"/>
        </w:rPr>
        <w:t> </w:t>
      </w:r>
      <w:r>
        <w:rPr/>
        <w:t>öneme</w:t>
      </w:r>
      <w:r>
        <w:rPr>
          <w:spacing w:val="-5"/>
        </w:rPr>
        <w:t> </w:t>
      </w:r>
      <w:r>
        <w:rPr/>
        <w:t>sahiptir.</w:t>
      </w:r>
      <w:r>
        <w:rPr>
          <w:spacing w:val="-6"/>
        </w:rPr>
        <w:t> </w:t>
      </w:r>
      <w:r>
        <w:rPr/>
        <w:t>UNet</w:t>
      </w:r>
      <w:r>
        <w:rPr>
          <w:spacing w:val="-7"/>
        </w:rPr>
        <w:t> </w:t>
      </w:r>
      <w:r>
        <w:rPr/>
        <w:t>mimarisi,</w:t>
      </w:r>
      <w:r>
        <w:rPr>
          <w:spacing w:val="-7"/>
        </w:rPr>
        <w:t> </w:t>
      </w:r>
      <w:r>
        <w:rPr/>
        <w:t>bu iki gereksinimi etkin bir şekilde karşılamak için tasarlanmıştır. Modelin "kodlayıcı" (encoder) kısmı, görüntülerden hiyerarşik ve semantik özellikler çıkarırken, "kod çözücü" (decoder) kısmı ise bu özellikleri birleştirerek (feature fusion) yüksek çözünürlüklü segmentasyon maskelerini yeniden yapılandırır. Özellik birleştirme süreci, kod</w:t>
      </w:r>
      <w:r>
        <w:rPr>
          <w:spacing w:val="-13"/>
        </w:rPr>
        <w:t> </w:t>
      </w:r>
      <w:r>
        <w:rPr/>
        <w:t>çözücünün</w:t>
      </w:r>
      <w:r>
        <w:rPr>
          <w:spacing w:val="-12"/>
        </w:rPr>
        <w:t> </w:t>
      </w:r>
      <w:r>
        <w:rPr/>
        <w:t>temel</w:t>
      </w:r>
      <w:r>
        <w:rPr>
          <w:spacing w:val="-13"/>
        </w:rPr>
        <w:t> </w:t>
      </w:r>
      <w:r>
        <w:rPr/>
        <w:t>işlevidir</w:t>
      </w:r>
      <w:r>
        <w:rPr>
          <w:spacing w:val="-12"/>
        </w:rPr>
        <w:t> </w:t>
      </w:r>
      <w:r>
        <w:rPr/>
        <w:t>ve</w:t>
      </w:r>
      <w:r>
        <w:rPr>
          <w:spacing w:val="-13"/>
        </w:rPr>
        <w:t> </w:t>
      </w:r>
      <w:r>
        <w:rPr/>
        <w:t>özellikle</w:t>
      </w:r>
      <w:r>
        <w:rPr>
          <w:spacing w:val="-12"/>
        </w:rPr>
        <w:t> </w:t>
      </w:r>
      <w:r>
        <w:rPr/>
        <w:t>atlama</w:t>
      </w:r>
      <w:r>
        <w:rPr>
          <w:spacing w:val="-13"/>
        </w:rPr>
        <w:t> </w:t>
      </w:r>
      <w:r>
        <w:rPr/>
        <w:t>bağlantıları sayesinde detayların korunmasını sağlar.</w:t>
      </w:r>
    </w:p>
    <w:p>
      <w:pPr>
        <w:pStyle w:val="BodyText"/>
        <w:spacing w:before="2"/>
      </w:pPr>
    </w:p>
    <w:p>
      <w:pPr>
        <w:pStyle w:val="Heading1"/>
        <w:numPr>
          <w:ilvl w:val="0"/>
          <w:numId w:val="4"/>
        </w:numPr>
        <w:tabs>
          <w:tab w:pos="465" w:val="left" w:leader="none"/>
          <w:tab w:pos="1179" w:val="left" w:leader="none"/>
          <w:tab w:pos="1803" w:val="left" w:leader="none"/>
          <w:tab w:pos="2732" w:val="left" w:leader="none"/>
          <w:tab w:pos="3817" w:val="left" w:leader="none"/>
          <w:tab w:pos="4247" w:val="left" w:leader="none"/>
        </w:tabs>
        <w:spacing w:line="251" w:lineRule="exact" w:before="0" w:after="0"/>
        <w:ind w:left="465" w:right="0" w:hanging="360"/>
        <w:jc w:val="left"/>
      </w:pPr>
      <w:r>
        <w:rPr>
          <w:spacing w:val="-4"/>
        </w:rPr>
        <w:t>UNet</w:t>
      </w:r>
      <w:r>
        <w:rPr/>
        <w:tab/>
      </w:r>
      <w:r>
        <w:rPr>
          <w:spacing w:val="-5"/>
        </w:rPr>
        <w:t>Kod</w:t>
      </w:r>
      <w:r>
        <w:rPr/>
        <w:tab/>
      </w:r>
      <w:r>
        <w:rPr>
          <w:spacing w:val="-2"/>
        </w:rPr>
        <w:t>Çözücü</w:t>
      </w:r>
      <w:r>
        <w:rPr/>
        <w:tab/>
      </w:r>
      <w:r>
        <w:rPr>
          <w:spacing w:val="-2"/>
        </w:rPr>
        <w:t>Mimarisi</w:t>
      </w:r>
      <w:r>
        <w:rPr/>
        <w:tab/>
      </w:r>
      <w:r>
        <w:rPr>
          <w:spacing w:val="-5"/>
        </w:rPr>
        <w:t>ve</w:t>
      </w:r>
      <w:r>
        <w:rPr/>
        <w:tab/>
      </w:r>
      <w:r>
        <w:rPr>
          <w:spacing w:val="-2"/>
        </w:rPr>
        <w:t>Özellik</w:t>
      </w:r>
    </w:p>
    <w:p>
      <w:pPr>
        <w:spacing w:line="251" w:lineRule="exact" w:before="0"/>
        <w:ind w:left="465" w:right="0" w:firstLine="0"/>
        <w:jc w:val="left"/>
        <w:rPr>
          <w:b/>
          <w:sz w:val="22"/>
        </w:rPr>
      </w:pPr>
      <w:r>
        <w:rPr>
          <w:b/>
          <w:spacing w:val="-2"/>
          <w:sz w:val="22"/>
        </w:rPr>
        <w:t>Birleştirme</w:t>
      </w:r>
    </w:p>
    <w:p>
      <w:pPr>
        <w:pStyle w:val="BodyText"/>
        <w:spacing w:before="1"/>
        <w:ind w:left="55"/>
        <w:jc w:val="both"/>
      </w:pPr>
      <w:r>
        <w:rPr/>
        <w:t>UNet'in kod çözücü yolu, kodlayıcı tarafından küçültülmüş ve yoğunlaştırılmış özellik haritalarını, orijinal görüntü boyutuna yaklaştırmak için aşamalı olarak büyütür (upsampling). Bu büyüme sürecinde, kodlayıcıdan gelen yüksek çözünürlüklü detaylar ile düşük çözünürlüklü anlamsal bilgiler birleştirilir.</w:t>
      </w:r>
    </w:p>
    <w:p>
      <w:pPr>
        <w:pStyle w:val="BodyText"/>
        <w:spacing w:before="2"/>
      </w:pPr>
    </w:p>
    <w:p>
      <w:pPr>
        <w:pStyle w:val="Heading1"/>
        <w:numPr>
          <w:ilvl w:val="0"/>
          <w:numId w:val="4"/>
        </w:numPr>
        <w:tabs>
          <w:tab w:pos="465" w:val="left" w:leader="none"/>
          <w:tab w:pos="1299" w:val="left" w:leader="none"/>
          <w:tab w:pos="2348" w:val="left" w:leader="none"/>
          <w:tab w:pos="3713" w:val="left" w:leader="none"/>
        </w:tabs>
        <w:spacing w:line="251" w:lineRule="exact" w:before="0" w:after="0"/>
        <w:ind w:left="465" w:right="0" w:hanging="360"/>
        <w:jc w:val="left"/>
      </w:pPr>
      <w:r>
        <w:rPr>
          <w:spacing w:val="-2"/>
        </w:rPr>
        <w:t>Boyut</w:t>
      </w:r>
      <w:r>
        <w:rPr/>
        <w:tab/>
      </w:r>
      <w:r>
        <w:rPr>
          <w:spacing w:val="-2"/>
        </w:rPr>
        <w:t>Artırma</w:t>
      </w:r>
      <w:r>
        <w:rPr/>
        <w:tab/>
      </w:r>
      <w:r>
        <w:rPr>
          <w:spacing w:val="-2"/>
        </w:rPr>
        <w:t>Katmanları</w:t>
      </w:r>
      <w:r>
        <w:rPr/>
        <w:tab/>
      </w:r>
      <w:r>
        <w:rPr>
          <w:spacing w:val="-2"/>
        </w:rPr>
        <w:t>(Upsampling</w:t>
      </w:r>
    </w:p>
    <w:p>
      <w:pPr>
        <w:spacing w:line="251" w:lineRule="exact" w:before="0"/>
        <w:ind w:left="465" w:right="0" w:firstLine="0"/>
        <w:jc w:val="left"/>
        <w:rPr>
          <w:b/>
          <w:sz w:val="22"/>
        </w:rPr>
      </w:pPr>
      <w:r>
        <w:rPr>
          <w:b/>
          <w:spacing w:val="-2"/>
          <w:sz w:val="22"/>
        </w:rPr>
        <w:t>Layers)</w:t>
      </w:r>
    </w:p>
    <w:p>
      <w:pPr>
        <w:pStyle w:val="BodyText"/>
        <w:ind w:left="55"/>
        <w:jc w:val="both"/>
      </w:pPr>
      <w:r>
        <w:rPr/>
        <w:t>Kod çözücü yolunda, boyut artırma işlemleri genellikle transposed convolutions (evrişimsel seyrek çarpım veya deconvolution olarak da bilinir) veya bilinear/nearest- neighbor interpolation yöntemleri kullanılarak gerçekleştirilir. Bu katmanlar:</w:t>
      </w:r>
    </w:p>
    <w:p>
      <w:pPr>
        <w:pStyle w:val="BodyText"/>
        <w:spacing w:before="1"/>
      </w:pPr>
    </w:p>
    <w:p>
      <w:pPr>
        <w:pStyle w:val="BodyText"/>
        <w:ind w:left="55" w:right="1"/>
        <w:jc w:val="both"/>
      </w:pPr>
      <w:r>
        <w:rPr/>
        <w:t>Uzamsal Çözünürlüğü Geri Kazandırır: Kodlayıcıda kaybedilen uzamsal bilgiyi geri getirmek için özellik haritalarının genişliğini ve yüksekliğini artırır.</w:t>
      </w:r>
    </w:p>
    <w:p>
      <w:pPr>
        <w:pStyle w:val="BodyText"/>
        <w:spacing w:before="1"/>
        <w:ind w:left="55" w:right="2"/>
        <w:jc w:val="both"/>
      </w:pPr>
      <w:r>
        <w:rPr/>
        <w:t>Kanal Sayısını Azaltır: Genellikle, her boyut artırma adımında özellik kanallarının sayısı azaltılarak, daha özelleşmiş</w:t>
      </w:r>
      <w:r>
        <w:rPr>
          <w:spacing w:val="-2"/>
        </w:rPr>
        <w:t> </w:t>
      </w:r>
      <w:r>
        <w:rPr/>
        <w:t>ve</w:t>
      </w:r>
      <w:r>
        <w:rPr>
          <w:spacing w:val="-1"/>
        </w:rPr>
        <w:t> </w:t>
      </w:r>
      <w:r>
        <w:rPr/>
        <w:t>semantik</w:t>
      </w:r>
      <w:r>
        <w:rPr>
          <w:spacing w:val="-3"/>
        </w:rPr>
        <w:t> </w:t>
      </w:r>
      <w:r>
        <w:rPr/>
        <w:t>açıdan</w:t>
      </w:r>
      <w:r>
        <w:rPr>
          <w:spacing w:val="-3"/>
        </w:rPr>
        <w:t> </w:t>
      </w:r>
      <w:r>
        <w:rPr/>
        <w:t>zengin</w:t>
      </w:r>
      <w:r>
        <w:rPr>
          <w:spacing w:val="-2"/>
        </w:rPr>
        <w:t> </w:t>
      </w:r>
      <w:r>
        <w:rPr/>
        <w:t>özelliklere</w:t>
      </w:r>
      <w:r>
        <w:rPr>
          <w:spacing w:val="-1"/>
        </w:rPr>
        <w:t> </w:t>
      </w:r>
      <w:r>
        <w:rPr>
          <w:spacing w:val="-2"/>
        </w:rPr>
        <w:t>odaklanılır.</w:t>
      </w:r>
    </w:p>
    <w:p>
      <w:pPr>
        <w:pStyle w:val="BodyText"/>
      </w:pPr>
    </w:p>
    <w:p>
      <w:pPr>
        <w:pStyle w:val="BodyText"/>
        <w:spacing w:before="1"/>
      </w:pPr>
    </w:p>
    <w:p>
      <w:pPr>
        <w:pStyle w:val="ListParagraph"/>
        <w:numPr>
          <w:ilvl w:val="0"/>
          <w:numId w:val="4"/>
        </w:numPr>
        <w:tabs>
          <w:tab w:pos="520" w:val="left" w:leader="none"/>
        </w:tabs>
        <w:spacing w:line="240" w:lineRule="auto" w:before="0" w:after="0"/>
        <w:ind w:left="55" w:right="1" w:firstLine="50"/>
        <w:jc w:val="left"/>
        <w:rPr>
          <w:b/>
          <w:sz w:val="22"/>
        </w:rPr>
      </w:pPr>
      <w:r>
        <w:rPr>
          <w:b/>
          <w:sz w:val="22"/>
        </w:rPr>
        <w:t>Atlama Bağlantıları Aracılığıyla Füzyon</w:t>
      </w:r>
      <w:r>
        <w:rPr>
          <w:b/>
          <w:spacing w:val="40"/>
          <w:sz w:val="22"/>
        </w:rPr>
        <w:t> </w:t>
      </w:r>
      <w:r>
        <w:rPr>
          <w:sz w:val="20"/>
        </w:rPr>
        <w:t>Atlama</w:t>
      </w:r>
      <w:r>
        <w:rPr>
          <w:spacing w:val="80"/>
          <w:sz w:val="20"/>
        </w:rPr>
        <w:t> </w:t>
      </w:r>
      <w:r>
        <w:rPr>
          <w:sz w:val="20"/>
        </w:rPr>
        <w:t>bağlantıları,</w:t>
      </w:r>
      <w:r>
        <w:rPr>
          <w:spacing w:val="80"/>
          <w:sz w:val="20"/>
        </w:rPr>
        <w:t> </w:t>
      </w:r>
      <w:r>
        <w:rPr>
          <w:sz w:val="20"/>
        </w:rPr>
        <w:t>UNet'in</w:t>
      </w:r>
      <w:r>
        <w:rPr>
          <w:spacing w:val="80"/>
          <w:sz w:val="20"/>
        </w:rPr>
        <w:t> </w:t>
      </w:r>
      <w:r>
        <w:rPr>
          <w:sz w:val="20"/>
        </w:rPr>
        <w:t>temel</w:t>
      </w:r>
      <w:r>
        <w:rPr>
          <w:spacing w:val="80"/>
          <w:sz w:val="20"/>
        </w:rPr>
        <w:t> </w:t>
      </w:r>
      <w:r>
        <w:rPr>
          <w:sz w:val="20"/>
        </w:rPr>
        <w:t>özellik</w:t>
      </w:r>
      <w:r>
        <w:rPr>
          <w:spacing w:val="80"/>
          <w:sz w:val="20"/>
        </w:rPr>
        <w:t> </w:t>
      </w:r>
      <w:r>
        <w:rPr>
          <w:sz w:val="20"/>
        </w:rPr>
        <w:t>birleştirme mekanizmasını oluşturur ve modelin performansında hayati bir rol oynar:</w:t>
      </w:r>
    </w:p>
    <w:p>
      <w:pPr>
        <w:pStyle w:val="BodyText"/>
        <w:spacing w:before="1"/>
      </w:pPr>
    </w:p>
    <w:p>
      <w:pPr>
        <w:pStyle w:val="BodyText"/>
        <w:ind w:left="55" w:right="6"/>
        <w:jc w:val="both"/>
      </w:pPr>
      <w:r>
        <w:rPr/>
        <w:t>Detay Aktarımı: Kodlayıcının farklı seviyelerinden (downsampling</w:t>
      </w:r>
      <w:r>
        <w:rPr>
          <w:spacing w:val="-13"/>
        </w:rPr>
        <w:t> </w:t>
      </w:r>
      <w:r>
        <w:rPr/>
        <w:t>öncesinden)</w:t>
      </w:r>
      <w:r>
        <w:rPr>
          <w:spacing w:val="-12"/>
        </w:rPr>
        <w:t> </w:t>
      </w:r>
      <w:r>
        <w:rPr/>
        <w:t>elde</w:t>
      </w:r>
      <w:r>
        <w:rPr>
          <w:spacing w:val="-13"/>
        </w:rPr>
        <w:t> </w:t>
      </w:r>
      <w:r>
        <w:rPr/>
        <w:t>edilen</w:t>
      </w:r>
      <w:r>
        <w:rPr>
          <w:spacing w:val="-12"/>
        </w:rPr>
        <w:t> </w:t>
      </w:r>
      <w:r>
        <w:rPr/>
        <w:t>yüksek</w:t>
      </w:r>
      <w:r>
        <w:rPr>
          <w:spacing w:val="-13"/>
        </w:rPr>
        <w:t> </w:t>
      </w:r>
      <w:r>
        <w:rPr/>
        <w:t>çözünürlüklü özellik</w:t>
      </w:r>
      <w:r>
        <w:rPr>
          <w:spacing w:val="-11"/>
        </w:rPr>
        <w:t> </w:t>
      </w:r>
      <w:r>
        <w:rPr/>
        <w:t>haritaları,</w:t>
      </w:r>
      <w:r>
        <w:rPr>
          <w:spacing w:val="-11"/>
        </w:rPr>
        <w:t> </w:t>
      </w:r>
      <w:r>
        <w:rPr/>
        <w:t>kod</w:t>
      </w:r>
      <w:r>
        <w:rPr>
          <w:spacing w:val="-10"/>
        </w:rPr>
        <w:t> </w:t>
      </w:r>
      <w:r>
        <w:rPr/>
        <w:t>çözücünün</w:t>
      </w:r>
      <w:r>
        <w:rPr>
          <w:spacing w:val="-10"/>
        </w:rPr>
        <w:t> </w:t>
      </w:r>
      <w:r>
        <w:rPr/>
        <w:t>karşılık</w:t>
      </w:r>
      <w:r>
        <w:rPr>
          <w:spacing w:val="-11"/>
        </w:rPr>
        <w:t> </w:t>
      </w:r>
      <w:r>
        <w:rPr/>
        <w:t>gelen</w:t>
      </w:r>
      <w:r>
        <w:rPr>
          <w:spacing w:val="-10"/>
        </w:rPr>
        <w:t> </w:t>
      </w:r>
      <w:r>
        <w:rPr/>
        <w:t>boyut</w:t>
      </w:r>
      <w:r>
        <w:rPr>
          <w:spacing w:val="-11"/>
        </w:rPr>
        <w:t> </w:t>
      </w:r>
      <w:r>
        <w:rPr/>
        <w:t>artırma adımlarına doğrudan iletilir.</w:t>
      </w:r>
    </w:p>
    <w:p>
      <w:pPr>
        <w:pStyle w:val="BodyText"/>
        <w:ind w:left="55" w:right="1"/>
        <w:jc w:val="both"/>
      </w:pPr>
      <w:r>
        <w:rPr/>
        <w:t>Özellik Haritası Birleştirme: Bu yüksek çözünürlüklü kodlayıcı özellikleri, kod çözücüden gelen (boyut artırılmış) özellik haritalarıyla genellikle birleştirme (concatenation) işlemiyle bir araya getirilir. Birleştirme işlemi, hem derinlemesine (semantik) bilgiyi hem de yüzeysel (konumsal) detayı aynı özellik haritasında toplar.</w:t>
      </w:r>
    </w:p>
    <w:p>
      <w:pPr>
        <w:pStyle w:val="BodyText"/>
        <w:spacing w:before="1"/>
        <w:ind w:left="55"/>
        <w:jc w:val="both"/>
      </w:pPr>
      <w:r>
        <w:rPr/>
        <w:t>Sınır Hassasiyeti: Atlama bağlantıları sayesinde, kodlayıcının erken katmanlarındaki ince kenar ve doku bilgileri</w:t>
      </w:r>
      <w:r>
        <w:rPr>
          <w:spacing w:val="-2"/>
        </w:rPr>
        <w:t> </w:t>
      </w:r>
      <w:r>
        <w:rPr/>
        <w:t>korunarak,</w:t>
      </w:r>
      <w:r>
        <w:rPr>
          <w:spacing w:val="-2"/>
        </w:rPr>
        <w:t> </w:t>
      </w:r>
      <w:r>
        <w:rPr/>
        <w:t>kod</w:t>
      </w:r>
      <w:r>
        <w:rPr>
          <w:spacing w:val="-2"/>
        </w:rPr>
        <w:t> </w:t>
      </w:r>
      <w:r>
        <w:rPr/>
        <w:t>çözücünün</w:t>
      </w:r>
      <w:r>
        <w:rPr>
          <w:spacing w:val="-2"/>
        </w:rPr>
        <w:t> </w:t>
      </w:r>
      <w:r>
        <w:rPr/>
        <w:t>daha</w:t>
      </w:r>
      <w:r>
        <w:rPr>
          <w:spacing w:val="-1"/>
        </w:rPr>
        <w:t> </w:t>
      </w:r>
      <w:r>
        <w:rPr/>
        <w:t>soyut</w:t>
      </w:r>
      <w:r>
        <w:rPr>
          <w:spacing w:val="-2"/>
        </w:rPr>
        <w:t> </w:t>
      </w:r>
      <w:r>
        <w:rPr/>
        <w:t>tahminleriyle birleştirilir. Bu, nihai segmentasyon maskesinin nesne sınırlarını daha keskin ve doğru bir şekilde belirlemesine olanak tanır.</w:t>
      </w:r>
    </w:p>
    <w:p>
      <w:pPr>
        <w:pStyle w:val="Heading1"/>
        <w:numPr>
          <w:ilvl w:val="0"/>
          <w:numId w:val="4"/>
        </w:numPr>
        <w:tabs>
          <w:tab w:pos="830" w:val="left" w:leader="none"/>
        </w:tabs>
        <w:spacing w:line="240" w:lineRule="auto" w:before="70" w:after="0"/>
        <w:ind w:left="830" w:right="0" w:hanging="415"/>
        <w:jc w:val="both"/>
        <w:rPr>
          <w:b w:val="0"/>
        </w:rPr>
      </w:pPr>
      <w:r>
        <w:rPr>
          <w:b w:val="0"/>
        </w:rPr>
        <w:br w:type="column"/>
      </w:r>
      <w:r>
        <w:rPr/>
        <w:t>Ardışık</w:t>
      </w:r>
      <w:r>
        <w:rPr>
          <w:spacing w:val="-5"/>
        </w:rPr>
        <w:t> </w:t>
      </w:r>
      <w:r>
        <w:rPr/>
        <w:t>Evrişim</w:t>
      </w:r>
      <w:r>
        <w:rPr>
          <w:spacing w:val="-1"/>
        </w:rPr>
        <w:t> </w:t>
      </w:r>
      <w:r>
        <w:rPr>
          <w:spacing w:val="-2"/>
        </w:rPr>
        <w:t>Katmanları</w:t>
      </w:r>
    </w:p>
    <w:p>
      <w:pPr>
        <w:pStyle w:val="BodyText"/>
        <w:spacing w:before="1"/>
        <w:ind w:left="55" w:right="46"/>
        <w:jc w:val="both"/>
      </w:pPr>
      <w:r>
        <w:rPr/>
        <w:t>Birleştirilen özellik haritaları, genellikle birkaç evrişim katmanından daha geçirilir. Bu evrişimler, birleştirilmiş bilgileri daha da rafine eder ve segmentasyon görevi için en uygun</w:t>
      </w:r>
      <w:r>
        <w:rPr>
          <w:spacing w:val="-4"/>
        </w:rPr>
        <w:t> </w:t>
      </w:r>
      <w:r>
        <w:rPr/>
        <w:t>temsilleri</w:t>
      </w:r>
      <w:r>
        <w:rPr>
          <w:spacing w:val="-5"/>
        </w:rPr>
        <w:t> </w:t>
      </w:r>
      <w:r>
        <w:rPr/>
        <w:t>öğrenir.</w:t>
      </w:r>
      <w:r>
        <w:rPr>
          <w:spacing w:val="-4"/>
        </w:rPr>
        <w:t> </w:t>
      </w:r>
      <w:r>
        <w:rPr/>
        <w:t>Bu</w:t>
      </w:r>
      <w:r>
        <w:rPr>
          <w:spacing w:val="-4"/>
        </w:rPr>
        <w:t> </w:t>
      </w:r>
      <w:r>
        <w:rPr/>
        <w:t>sayede,</w:t>
      </w:r>
      <w:r>
        <w:rPr>
          <w:spacing w:val="-9"/>
        </w:rPr>
        <w:t> </w:t>
      </w:r>
      <w:r>
        <w:rPr/>
        <w:t>hem</w:t>
      </w:r>
      <w:r>
        <w:rPr>
          <w:spacing w:val="-5"/>
        </w:rPr>
        <w:t> </w:t>
      </w:r>
      <w:r>
        <w:rPr/>
        <w:t>kodlayıcıdan</w:t>
      </w:r>
      <w:r>
        <w:rPr>
          <w:spacing w:val="-4"/>
        </w:rPr>
        <w:t> </w:t>
      </w:r>
      <w:r>
        <w:rPr/>
        <w:t>gelen detaylı bilgiler hem de kod çözücünün kendi öğrendiği bağlamsal bilgiler arasında etkileşim kurulur.</w:t>
      </w:r>
    </w:p>
    <w:p>
      <w:pPr>
        <w:pStyle w:val="Heading1"/>
        <w:numPr>
          <w:ilvl w:val="0"/>
          <w:numId w:val="4"/>
        </w:numPr>
        <w:tabs>
          <w:tab w:pos="830" w:val="left" w:leader="none"/>
        </w:tabs>
        <w:spacing w:line="240" w:lineRule="auto" w:before="226" w:after="0"/>
        <w:ind w:left="830" w:right="0" w:hanging="415"/>
        <w:jc w:val="both"/>
      </w:pPr>
      <w:r>
        <w:rPr/>
        <w:t>Çıkış</w:t>
      </w:r>
      <w:r>
        <w:rPr>
          <w:spacing w:val="-10"/>
        </w:rPr>
        <w:t> </w:t>
      </w:r>
      <w:r>
        <w:rPr>
          <w:spacing w:val="-2"/>
        </w:rPr>
        <w:t>Katmanı</w:t>
      </w:r>
    </w:p>
    <w:p>
      <w:pPr>
        <w:pStyle w:val="BodyText"/>
        <w:spacing w:before="1"/>
        <w:ind w:left="55" w:right="46"/>
        <w:jc w:val="both"/>
      </w:pPr>
      <w:r>
        <w:rPr/>
        <w:t>Kod çözücünün sonuna doğru, en yüksek çözünürlüklü ve birleştirilmiş özellik haritası bulunur. Bu harita, genellikle 1x1'lik bir evrişim katmanı ve ardından bir aktivasyon fonksiyonu</w:t>
      </w:r>
      <w:r>
        <w:rPr>
          <w:spacing w:val="-13"/>
        </w:rPr>
        <w:t> </w:t>
      </w:r>
      <w:r>
        <w:rPr/>
        <w:t>(örneğin</w:t>
      </w:r>
      <w:r>
        <w:rPr>
          <w:spacing w:val="-12"/>
        </w:rPr>
        <w:t> </w:t>
      </w:r>
      <w:r>
        <w:rPr/>
        <w:t>sigmoid</w:t>
      </w:r>
      <w:r>
        <w:rPr>
          <w:spacing w:val="-12"/>
        </w:rPr>
        <w:t> </w:t>
      </w:r>
      <w:r>
        <w:rPr/>
        <w:t>veya</w:t>
      </w:r>
      <w:r>
        <w:rPr>
          <w:spacing w:val="-13"/>
        </w:rPr>
        <w:t> </w:t>
      </w:r>
      <w:r>
        <w:rPr/>
        <w:t>softmax)</w:t>
      </w:r>
      <w:r>
        <w:rPr>
          <w:spacing w:val="-12"/>
        </w:rPr>
        <w:t> </w:t>
      </w:r>
      <w:r>
        <w:rPr/>
        <w:t>aracılığıyla</w:t>
      </w:r>
      <w:r>
        <w:rPr>
          <w:spacing w:val="-12"/>
        </w:rPr>
        <w:t> </w:t>
      </w:r>
      <w:r>
        <w:rPr/>
        <w:t>nihai segmentasyon maskesine dönüştürülür. İkili segmentasyon (örneğin polip/arka plan) için sigmoid kullanılırken, çok sınıflı segmentasyon için softmax tercih edilir.</w:t>
      </w:r>
    </w:p>
    <w:p>
      <w:pPr>
        <w:pStyle w:val="BodyText"/>
        <w:spacing w:before="4"/>
      </w:pPr>
    </w:p>
    <w:p>
      <w:pPr>
        <w:pStyle w:val="Heading1"/>
        <w:numPr>
          <w:ilvl w:val="0"/>
          <w:numId w:val="4"/>
        </w:numPr>
        <w:tabs>
          <w:tab w:pos="775" w:val="left" w:leader="none"/>
        </w:tabs>
        <w:spacing w:line="237" w:lineRule="auto" w:before="0" w:after="0"/>
        <w:ind w:left="775" w:right="49" w:hanging="360"/>
        <w:jc w:val="both"/>
      </w:pPr>
      <w:r>
        <w:rPr/>
        <w:t>UNet Modelinin Özellik Birleştirme </w:t>
      </w:r>
      <w:r>
        <w:rPr>
          <w:spacing w:val="-2"/>
        </w:rPr>
        <w:t>Uygulaması</w:t>
      </w:r>
    </w:p>
    <w:p>
      <w:pPr>
        <w:pStyle w:val="BodyText"/>
        <w:spacing w:before="1"/>
        <w:ind w:left="55" w:right="47" w:firstLine="50"/>
        <w:jc w:val="both"/>
      </w:pPr>
      <w:r>
        <w:rPr/>
        <w:t>segmentation_models_pytorch (smp) kütüphanesini kullanarak smp.Unet modelini inşa ettiğimiz için, özellik birleştirme süreçleri kütüphane tarafından soyutlanmış ve otomatik olarak yönetilmektedir.</w:t>
      </w:r>
    </w:p>
    <w:p>
      <w:pPr>
        <w:pStyle w:val="BodyText"/>
        <w:spacing w:before="2"/>
      </w:pPr>
    </w:p>
    <w:p>
      <w:pPr>
        <w:pStyle w:val="Heading1"/>
        <w:numPr>
          <w:ilvl w:val="0"/>
          <w:numId w:val="4"/>
        </w:numPr>
        <w:tabs>
          <w:tab w:pos="830" w:val="left" w:leader="none"/>
        </w:tabs>
        <w:spacing w:line="240" w:lineRule="auto" w:before="0" w:after="0"/>
        <w:ind w:left="830" w:right="0" w:hanging="415"/>
        <w:jc w:val="both"/>
      </w:pPr>
      <w:r>
        <w:rPr/>
        <w:t>Dahili</w:t>
      </w:r>
      <w:r>
        <w:rPr>
          <w:spacing w:val="-6"/>
        </w:rPr>
        <w:t> </w:t>
      </w:r>
      <w:r>
        <w:rPr/>
        <w:t>Kod</w:t>
      </w:r>
      <w:r>
        <w:rPr>
          <w:spacing w:val="-1"/>
        </w:rPr>
        <w:t> </w:t>
      </w:r>
      <w:r>
        <w:rPr/>
        <w:t>Çözücü</w:t>
      </w:r>
      <w:r>
        <w:rPr>
          <w:spacing w:val="-1"/>
        </w:rPr>
        <w:t> </w:t>
      </w:r>
      <w:r>
        <w:rPr>
          <w:spacing w:val="-2"/>
        </w:rPr>
        <w:t>Mimarisi</w:t>
      </w:r>
    </w:p>
    <w:p>
      <w:pPr>
        <w:pStyle w:val="BodyText"/>
        <w:spacing w:before="1"/>
        <w:ind w:left="55" w:right="48"/>
        <w:jc w:val="both"/>
      </w:pPr>
      <w:r>
        <w:rPr/>
        <w:t>smp.Unet modelimiz, seçtiğimiz encoder_name (örneğin mit_b0) ile uyumlu bir kod çözücü mimarisini otomatik olarak kurar. Bu kod çözücü, yukarıda bahsedilen boyut artırma katmanlarını (örneğin, Upsample katmanları veya ConvTranspose2d) içerir ve kodlayıcının ürettiği özellik haritalarını kademeli olarak hedef IMG_SIZE (256x256) boyutuna geri büyütür.</w:t>
      </w:r>
    </w:p>
    <w:p>
      <w:pPr>
        <w:pStyle w:val="Heading1"/>
        <w:numPr>
          <w:ilvl w:val="0"/>
          <w:numId w:val="4"/>
        </w:numPr>
        <w:tabs>
          <w:tab w:pos="775" w:val="left" w:leader="none"/>
        </w:tabs>
        <w:spacing w:line="240" w:lineRule="auto" w:before="226" w:after="0"/>
        <w:ind w:left="775" w:right="0" w:hanging="360"/>
        <w:jc w:val="both"/>
      </w:pPr>
      <w:r>
        <w:rPr/>
        <w:t>Otomatik</w:t>
      </w:r>
      <w:r>
        <w:rPr>
          <w:spacing w:val="-4"/>
        </w:rPr>
        <w:t> </w:t>
      </w:r>
      <w:r>
        <w:rPr/>
        <w:t>Atlama </w:t>
      </w:r>
      <w:r>
        <w:rPr>
          <w:spacing w:val="-2"/>
        </w:rPr>
        <w:t>Bağlantıları</w:t>
      </w:r>
    </w:p>
    <w:p>
      <w:pPr>
        <w:pStyle w:val="BodyText"/>
        <w:spacing w:before="2"/>
        <w:ind w:left="55" w:right="47"/>
        <w:jc w:val="both"/>
      </w:pPr>
      <w:r>
        <w:rPr/>
        <w:t>smp.Unet'in ana gücü, kodlayıcının her seviyesinden (her downsampling adımından sonra) uygun özellik haritalarını alıp, kod çözücünün ilgili boyut artırma katmanlarıyla otomatik olarak birleştirmesidir. Bu sayede:</w:t>
      </w:r>
    </w:p>
    <w:p>
      <w:pPr>
        <w:pStyle w:val="BodyText"/>
      </w:pPr>
    </w:p>
    <w:p>
      <w:pPr>
        <w:pStyle w:val="BodyText"/>
        <w:ind w:left="55" w:right="47"/>
        <w:jc w:val="both"/>
      </w:pPr>
      <w:r>
        <w:rPr/>
        <w:t>Kvasir-SEG için Detay Koruma: Poliplerin kenarları, dokuları ve küçük yapıları gibi kritik detaylar, kodlayıcının erken katmanlarından (daha yüksek çözünürlüklü seviyelerden)</w:t>
      </w:r>
      <w:r>
        <w:rPr>
          <w:spacing w:val="-13"/>
        </w:rPr>
        <w:t> </w:t>
      </w:r>
      <w:r>
        <w:rPr/>
        <w:t>korunur</w:t>
      </w:r>
      <w:r>
        <w:rPr>
          <w:spacing w:val="-12"/>
        </w:rPr>
        <w:t> </w:t>
      </w:r>
      <w:r>
        <w:rPr/>
        <w:t>ve</w:t>
      </w:r>
      <w:r>
        <w:rPr>
          <w:spacing w:val="-13"/>
        </w:rPr>
        <w:t> </w:t>
      </w:r>
      <w:r>
        <w:rPr/>
        <w:t>kod</w:t>
      </w:r>
      <w:r>
        <w:rPr>
          <w:spacing w:val="-12"/>
        </w:rPr>
        <w:t> </w:t>
      </w:r>
      <w:r>
        <w:rPr/>
        <w:t>çözücüye</w:t>
      </w:r>
      <w:r>
        <w:rPr>
          <w:spacing w:val="-13"/>
        </w:rPr>
        <w:t> </w:t>
      </w:r>
      <w:r>
        <w:rPr/>
        <w:t>aktarılır.</w:t>
      </w:r>
      <w:r>
        <w:rPr>
          <w:spacing w:val="-12"/>
        </w:rPr>
        <w:t> </w:t>
      </w:r>
      <w:r>
        <w:rPr/>
        <w:t>Bu,</w:t>
      </w:r>
      <w:r>
        <w:rPr>
          <w:spacing w:val="-13"/>
        </w:rPr>
        <w:t> </w:t>
      </w:r>
      <w:r>
        <w:rPr/>
        <w:t>modelin polip sınırlarını bulanıklaştırmadan veya detayları kaybetmeden tahmin etmesine yardımcı olur.</w:t>
      </w:r>
    </w:p>
    <w:p>
      <w:pPr>
        <w:pStyle w:val="BodyText"/>
        <w:ind w:left="55" w:right="48"/>
        <w:jc w:val="both"/>
      </w:pPr>
      <w:r>
        <w:rPr/>
        <w:t>Bağlamsal Zenginleştirme: Kod çözücünün upsampling ile elde ettiği genel, bağlamsal bilgi, kodlayıcıdan gelen ince detaylarla birleşerek, segmentasyon maskesinin hem anlamsal olarak doğru olmasını hem de geometrik olarak hassas olmasını sağlar.</w:t>
      </w:r>
    </w:p>
    <w:p>
      <w:pPr>
        <w:pStyle w:val="BodyText"/>
        <w:spacing w:before="2"/>
      </w:pPr>
    </w:p>
    <w:p>
      <w:pPr>
        <w:pStyle w:val="Heading1"/>
        <w:numPr>
          <w:ilvl w:val="0"/>
          <w:numId w:val="4"/>
        </w:numPr>
        <w:tabs>
          <w:tab w:pos="830" w:val="left" w:leader="none"/>
        </w:tabs>
        <w:spacing w:line="240" w:lineRule="auto" w:before="0" w:after="0"/>
        <w:ind w:left="830" w:right="0" w:hanging="415"/>
        <w:jc w:val="both"/>
      </w:pPr>
      <w:r>
        <w:rPr/>
        <w:t>Kodlayıcının</w:t>
      </w:r>
      <w:r>
        <w:rPr>
          <w:spacing w:val="-3"/>
        </w:rPr>
        <w:t> </w:t>
      </w:r>
      <w:r>
        <w:rPr/>
        <w:t>Dolaylı</w:t>
      </w:r>
      <w:r>
        <w:rPr>
          <w:spacing w:val="-6"/>
        </w:rPr>
        <w:t> </w:t>
      </w:r>
      <w:r>
        <w:rPr>
          <w:spacing w:val="-2"/>
        </w:rPr>
        <w:t>Katkısı</w:t>
      </w:r>
    </w:p>
    <w:p>
      <w:pPr>
        <w:pStyle w:val="BodyText"/>
        <w:tabs>
          <w:tab w:pos="1730" w:val="left" w:leader="none"/>
          <w:tab w:pos="4734" w:val="left" w:leader="none"/>
        </w:tabs>
        <w:spacing w:before="1"/>
        <w:ind w:left="55" w:right="47"/>
        <w:jc w:val="both"/>
      </w:pPr>
      <w:r>
        <w:rPr>
          <w:spacing w:val="-2"/>
        </w:rPr>
        <w:t>Seçilen</w:t>
      </w:r>
      <w:r>
        <w:rPr/>
        <w:tab/>
      </w:r>
      <w:r>
        <w:rPr>
          <w:spacing w:val="-2"/>
        </w:rPr>
        <w:t>encoder_name='mit_b0'</w:t>
      </w:r>
      <w:r>
        <w:rPr/>
        <w:tab/>
      </w:r>
      <w:r>
        <w:rPr>
          <w:spacing w:val="-6"/>
        </w:rPr>
        <w:t>ve </w:t>
      </w:r>
      <w:r>
        <w:rPr/>
        <w:t>encoder_weights="imagenet" parametreleri, özellik birleştirme</w:t>
      </w:r>
      <w:r>
        <w:rPr>
          <w:spacing w:val="-9"/>
        </w:rPr>
        <w:t> </w:t>
      </w:r>
      <w:r>
        <w:rPr/>
        <w:t>sürecinin</w:t>
      </w:r>
      <w:r>
        <w:rPr>
          <w:spacing w:val="-11"/>
        </w:rPr>
        <w:t> </w:t>
      </w:r>
      <w:r>
        <w:rPr/>
        <w:t>dolaylı</w:t>
      </w:r>
      <w:r>
        <w:rPr>
          <w:spacing w:val="-11"/>
        </w:rPr>
        <w:t> </w:t>
      </w:r>
      <w:r>
        <w:rPr/>
        <w:t>ancak</w:t>
      </w:r>
      <w:r>
        <w:rPr>
          <w:spacing w:val="-10"/>
        </w:rPr>
        <w:t> </w:t>
      </w:r>
      <w:r>
        <w:rPr/>
        <w:t>güçlü</w:t>
      </w:r>
      <w:r>
        <w:rPr>
          <w:spacing w:val="-11"/>
        </w:rPr>
        <w:t> </w:t>
      </w:r>
      <w:r>
        <w:rPr/>
        <w:t>bir</w:t>
      </w:r>
      <w:r>
        <w:rPr>
          <w:spacing w:val="-12"/>
        </w:rPr>
        <w:t> </w:t>
      </w:r>
      <w:r>
        <w:rPr/>
        <w:t>şekilde</w:t>
      </w:r>
      <w:r>
        <w:rPr>
          <w:spacing w:val="-9"/>
        </w:rPr>
        <w:t> </w:t>
      </w:r>
      <w:r>
        <w:rPr/>
        <w:t>optimize edilmesine yardımcı olur. ImageNet üzerinde önceden eğitilmiş bir kodlayıcı, zaten zengin ve ayrıştırıcı görsel özellikleri (kenarlar, dokular, şekiller) etkin bir şekilde çıkarabilir. Bu yüksek kaliteli özellikler, atlama bağlantıları aracılığıyla</w:t>
      </w:r>
      <w:r>
        <w:rPr>
          <w:spacing w:val="59"/>
        </w:rPr>
        <w:t>  </w:t>
      </w:r>
      <w:r>
        <w:rPr/>
        <w:t>kod</w:t>
      </w:r>
      <w:r>
        <w:rPr>
          <w:spacing w:val="59"/>
        </w:rPr>
        <w:t>  </w:t>
      </w:r>
      <w:r>
        <w:rPr/>
        <w:t>çözücüye</w:t>
      </w:r>
      <w:r>
        <w:rPr>
          <w:spacing w:val="60"/>
        </w:rPr>
        <w:t>  </w:t>
      </w:r>
      <w:r>
        <w:rPr/>
        <w:t>aktarıldığında,</w:t>
      </w:r>
      <w:r>
        <w:rPr>
          <w:spacing w:val="59"/>
        </w:rPr>
        <w:t>  </w:t>
      </w:r>
      <w:r>
        <w:rPr>
          <w:spacing w:val="-2"/>
        </w:rPr>
        <w:t>birleştirme</w:t>
      </w:r>
    </w:p>
    <w:p>
      <w:pPr>
        <w:pStyle w:val="BodyText"/>
        <w:spacing w:after="0"/>
        <w:jc w:val="both"/>
        <w:sectPr>
          <w:pgSz w:w="11910" w:h="16840"/>
          <w:pgMar w:top="1240" w:bottom="280" w:left="850" w:right="850"/>
          <w:cols w:num="2" w:equalWidth="0">
            <w:col w:w="4927" w:space="305"/>
            <w:col w:w="4978"/>
          </w:cols>
        </w:sectPr>
      </w:pPr>
    </w:p>
    <w:p>
      <w:pPr>
        <w:pStyle w:val="BodyText"/>
        <w:spacing w:before="79"/>
        <w:ind w:left="55" w:right="6"/>
        <w:jc w:val="both"/>
      </w:pPr>
      <w:r>
        <w:rPr/>
        <w:t>katmanlarının daha anlamlı ve ayırt edici temsiller oluşturmasını sağlar.</w:t>
      </w:r>
    </w:p>
    <w:p>
      <w:pPr>
        <w:pStyle w:val="BodyText"/>
        <w:spacing w:before="1"/>
      </w:pPr>
    </w:p>
    <w:p>
      <w:pPr>
        <w:pStyle w:val="Heading1"/>
        <w:numPr>
          <w:ilvl w:val="0"/>
          <w:numId w:val="4"/>
        </w:numPr>
        <w:tabs>
          <w:tab w:pos="775" w:val="left" w:leader="none"/>
        </w:tabs>
        <w:spacing w:line="240" w:lineRule="auto" w:before="0" w:after="0"/>
        <w:ind w:left="775" w:right="0" w:hanging="360"/>
        <w:jc w:val="both"/>
      </w:pPr>
      <w:r>
        <w:rPr/>
        <w:t>Çıkış</w:t>
      </w:r>
      <w:r>
        <w:rPr>
          <w:spacing w:val="-8"/>
        </w:rPr>
        <w:t> </w:t>
      </w:r>
      <w:r>
        <w:rPr>
          <w:spacing w:val="-2"/>
        </w:rPr>
        <w:t>Aktivasyonu</w:t>
      </w:r>
    </w:p>
    <w:p>
      <w:pPr>
        <w:pStyle w:val="BodyText"/>
        <w:spacing w:before="1"/>
        <w:ind w:left="55" w:right="6"/>
        <w:jc w:val="both"/>
      </w:pPr>
      <w:r>
        <w:rPr/>
        <w:t>Projemizdeki UNet modelinin çıkış katmanı genellikle sigmoid aktivasyonu kullanır (çünkü classes=1 olarak ayarlanmıştır).</w:t>
      </w:r>
      <w:r>
        <w:rPr>
          <w:spacing w:val="-9"/>
        </w:rPr>
        <w:t> </w:t>
      </w:r>
      <w:r>
        <w:rPr/>
        <w:t>Bu,</w:t>
      </w:r>
      <w:r>
        <w:rPr>
          <w:spacing w:val="-9"/>
        </w:rPr>
        <w:t> </w:t>
      </w:r>
      <w:r>
        <w:rPr/>
        <w:t>her</w:t>
      </w:r>
      <w:r>
        <w:rPr>
          <w:spacing w:val="-11"/>
        </w:rPr>
        <w:t> </w:t>
      </w:r>
      <w:r>
        <w:rPr/>
        <w:t>piksel</w:t>
      </w:r>
      <w:r>
        <w:rPr>
          <w:spacing w:val="-10"/>
        </w:rPr>
        <w:t> </w:t>
      </w:r>
      <w:r>
        <w:rPr/>
        <w:t>için</w:t>
      </w:r>
      <w:r>
        <w:rPr>
          <w:spacing w:val="-10"/>
        </w:rPr>
        <w:t> </w:t>
      </w:r>
      <w:r>
        <w:rPr/>
        <w:t>polip</w:t>
      </w:r>
      <w:r>
        <w:rPr>
          <w:spacing w:val="-10"/>
        </w:rPr>
        <w:t> </w:t>
      </w:r>
      <w:r>
        <w:rPr/>
        <w:t>olma</w:t>
      </w:r>
      <w:r>
        <w:rPr>
          <w:spacing w:val="-8"/>
        </w:rPr>
        <w:t> </w:t>
      </w:r>
      <w:r>
        <w:rPr/>
        <w:t>olasılığını</w:t>
      </w:r>
      <w:r>
        <w:rPr>
          <w:spacing w:val="-10"/>
        </w:rPr>
        <w:t> </w:t>
      </w:r>
      <w:r>
        <w:rPr/>
        <w:t>(0</w:t>
      </w:r>
      <w:r>
        <w:rPr>
          <w:spacing w:val="-9"/>
        </w:rPr>
        <w:t> </w:t>
      </w:r>
      <w:r>
        <w:rPr/>
        <w:t>ile 1 arasında) veren bir maske üretir. Bu olasılık haritası, daha sonra eşikleme (örneğin 0.5) ile ikili bir segmentasyon maskesine dönüştürülür.</w:t>
      </w:r>
    </w:p>
    <w:p>
      <w:pPr>
        <w:pStyle w:val="BodyText"/>
      </w:pPr>
    </w:p>
    <w:p>
      <w:pPr>
        <w:pStyle w:val="BodyText"/>
        <w:spacing w:before="227"/>
      </w:pPr>
    </w:p>
    <w:p>
      <w:pPr>
        <w:pStyle w:val="Heading1"/>
        <w:numPr>
          <w:ilvl w:val="0"/>
          <w:numId w:val="4"/>
        </w:numPr>
        <w:tabs>
          <w:tab w:pos="830" w:val="left" w:leader="none"/>
        </w:tabs>
        <w:spacing w:line="240" w:lineRule="auto" w:before="0" w:after="0"/>
        <w:ind w:left="830" w:right="0" w:hanging="415"/>
        <w:jc w:val="both"/>
      </w:pPr>
      <w:r>
        <w:rPr>
          <w:spacing w:val="-2"/>
        </w:rPr>
        <w:t>Sonuç</w:t>
      </w:r>
    </w:p>
    <w:p>
      <w:pPr>
        <w:pStyle w:val="BodyText"/>
        <w:spacing w:before="1"/>
        <w:ind w:left="55" w:right="3"/>
        <w:jc w:val="both"/>
      </w:pPr>
      <w:r>
        <w:rPr/>
        <w:t>Projemizdeki smp.Unet modelinin özellik birleştirme mekanizması, kod çözücünün boyut artırma katmanları ve özellikle kodlayıcıdan gelen atlama bağlantıları aracılığıyla gerçekleşir. Bu entegre yaklaşım, modelin Kvasir-SEG veri setindeki polipler için hem yüksek seviyeli anlamsal bilgiyi hem de ince konumsal detayları kullanarak, doğru ve keskin segmentasyon maskeleri üretme yeteneğini maksimize eder. Önceden eğitilmiş güçlü bir kodlayıcının kullanımı, bu birleştirme sürecinin başlangıç özelliklerini daha da güçlendirerek modelin genel başarısına önemli katkı sağlar.</w:t>
      </w:r>
    </w:p>
    <w:p>
      <w:pPr>
        <w:pStyle w:val="BodyText"/>
      </w:pPr>
    </w:p>
    <w:p>
      <w:pPr>
        <w:pStyle w:val="Heading3"/>
        <w:spacing w:line="227" w:lineRule="exact"/>
        <w:ind w:firstLine="0"/>
      </w:pPr>
      <w:r>
        <w:rPr/>
        <w:t>Değerlendirme</w:t>
      </w:r>
      <w:r>
        <w:rPr>
          <w:spacing w:val="-1"/>
        </w:rPr>
        <w:t> </w:t>
      </w:r>
      <w:r>
        <w:rPr/>
        <w:t>Metrikleri</w:t>
      </w:r>
      <w:r>
        <w:rPr>
          <w:spacing w:val="-2"/>
        </w:rPr>
        <w:t> </w:t>
      </w:r>
      <w:r>
        <w:rPr/>
        <w:t>ve </w:t>
      </w:r>
      <w:r>
        <w:rPr>
          <w:spacing w:val="-2"/>
        </w:rPr>
        <w:t>Formüller</w:t>
      </w:r>
    </w:p>
    <w:p>
      <w:pPr>
        <w:pStyle w:val="BodyText"/>
        <w:spacing w:line="230" w:lineRule="auto" w:before="5"/>
        <w:ind w:left="55"/>
        <w:jc w:val="both"/>
      </w:pPr>
      <w:r>
        <w:rPr/>
        <w:t>Bu</w:t>
      </w:r>
      <w:r>
        <w:rPr>
          <w:spacing w:val="-13"/>
        </w:rPr>
        <w:t> </w:t>
      </w:r>
      <w:r>
        <w:rPr/>
        <w:t>çalışmada</w:t>
      </w:r>
      <w:r>
        <w:rPr>
          <w:spacing w:val="-12"/>
        </w:rPr>
        <w:t> </w:t>
      </w:r>
      <w:r>
        <w:rPr/>
        <w:t>polip</w:t>
      </w:r>
      <w:r>
        <w:rPr>
          <w:spacing w:val="-13"/>
        </w:rPr>
        <w:t> </w:t>
      </w:r>
      <w:r>
        <w:rPr/>
        <w:t>segmentasyon</w:t>
      </w:r>
      <w:r>
        <w:rPr>
          <w:spacing w:val="-12"/>
        </w:rPr>
        <w:t> </w:t>
      </w:r>
      <w:r>
        <w:rPr/>
        <w:t>performansı,</w:t>
      </w:r>
      <w:r>
        <w:rPr>
          <w:spacing w:val="-13"/>
        </w:rPr>
        <w:t> </w:t>
      </w:r>
      <w:r>
        <w:rPr/>
        <w:t>tahmin</w:t>
      </w:r>
      <w:r>
        <w:rPr>
          <w:spacing w:val="-12"/>
        </w:rPr>
        <w:t> </w:t>
      </w:r>
      <w:r>
        <w:rPr/>
        <w:t>edilen ikili maske</w:t>
      </w:r>
      <w:r>
        <w:rPr>
          <w:spacing w:val="-9"/>
        </w:rPr>
        <w:t> </w:t>
      </w:r>
      <w:r>
        <w:rPr>
          <w:rFonts w:ascii="Cambria Math" w:hAnsi="Cambria Math" w:eastAsia="Cambria Math"/>
        </w:rPr>
        <w:t>(𝑀̂)</w:t>
      </w:r>
      <w:r>
        <w:rPr/>
        <w:t>ile ground truth maske</w:t>
      </w:r>
      <w:r>
        <w:rPr>
          <w:spacing w:val="-13"/>
        </w:rPr>
        <w:t> </w:t>
      </w:r>
      <w:r>
        <w:rPr>
          <w:rFonts w:ascii="Cambria Math" w:hAnsi="Cambria Math" w:eastAsia="Cambria Math"/>
        </w:rPr>
        <w:t>(𝑀)</w:t>
      </w:r>
      <w:r>
        <w:rPr/>
        <w:t>arasındaki piksel düzeyindeki uyuma göre değerlendirilmiştir. Değerlendirme sürecinde her piksel, polip (pozitif sınıf) veya arka plan (negatif sınıf) olarak ele alınmış ve buna karşılık gelen karışıklık matrisi bileşenleri üzerinden metrikler hesaplanmıştır: </w:t>
      </w:r>
      <w:r>
        <w:rPr>
          <w:rFonts w:ascii="Cambria Math" w:hAnsi="Cambria Math" w:eastAsia="Cambria Math"/>
        </w:rPr>
        <w:t>𝑇𝑃 </w:t>
      </w:r>
      <w:r>
        <w:rPr/>
        <w:t>(doğru pozitif), </w:t>
      </w:r>
      <w:r>
        <w:rPr>
          <w:rFonts w:ascii="Cambria Math" w:hAnsi="Cambria Math" w:eastAsia="Cambria Math"/>
        </w:rPr>
        <w:t>𝐹𝑃 </w:t>
      </w:r>
      <w:r>
        <w:rPr/>
        <w:t>, </w:t>
      </w:r>
      <w:r>
        <w:rPr>
          <w:rFonts w:ascii="Cambria Math" w:hAnsi="Cambria Math" w:eastAsia="Cambria Math"/>
        </w:rPr>
        <w:t>𝑇𝑁 </w:t>
      </w:r>
      <w:r>
        <w:rPr/>
        <w:t>ve </w:t>
      </w:r>
      <w:r>
        <w:rPr>
          <w:rFonts w:ascii="Cambria Math" w:hAnsi="Cambria Math" w:eastAsia="Cambria Math"/>
        </w:rPr>
        <w:t>𝐹𝑁 </w:t>
      </w:r>
      <w:r>
        <w:rPr/>
        <w:t>. Bu kapsamda, bölge tabanlı ölçütler (Dice/F1, IoU/Jaccard, Accuracy, Precision, Recall/Sensitivity, Specificity) </w:t>
      </w:r>
      <w:r>
        <w:rPr>
          <w:spacing w:val="-2"/>
        </w:rPr>
        <w:t>kullanılarak</w:t>
      </w:r>
      <w:r>
        <w:rPr>
          <w:spacing w:val="-3"/>
        </w:rPr>
        <w:t> </w:t>
      </w:r>
      <w:r>
        <w:rPr>
          <w:spacing w:val="-2"/>
        </w:rPr>
        <w:t>segmentasyonun örtüşme başarımı, sınıflandırma </w:t>
      </w:r>
      <w:r>
        <w:rPr/>
        <w:t>dengesi ve sınır doğruluğu birlikte analiz edilmiştir.</w:t>
      </w:r>
    </w:p>
    <w:p>
      <w:pPr>
        <w:pStyle w:val="BodyText"/>
        <w:spacing w:before="42"/>
      </w:pPr>
    </w:p>
    <w:p>
      <w:pPr>
        <w:pStyle w:val="BodyText"/>
        <w:ind w:left="55" w:right="3"/>
        <w:jc w:val="both"/>
      </w:pPr>
      <w:r>
        <w:rPr/>
        <w:t>Dice benzerlik katsayısı (Dice</w:t>
      </w:r>
      <w:r>
        <w:rPr>
          <w:spacing w:val="-1"/>
        </w:rPr>
        <w:t> </w:t>
      </w:r>
      <w:r>
        <w:rPr/>
        <w:t>Similarity Coefficient, DSC), tahmin edilen</w:t>
      </w:r>
      <w:r>
        <w:rPr>
          <w:spacing w:val="-1"/>
        </w:rPr>
        <w:t> </w:t>
      </w:r>
      <w:r>
        <w:rPr/>
        <w:t>segmentasyon maskesi</w:t>
      </w:r>
      <w:r>
        <w:rPr>
          <w:spacing w:val="-1"/>
        </w:rPr>
        <w:t> </w:t>
      </w:r>
      <w:r>
        <w:rPr/>
        <w:t>ile yer-gerçek</w:t>
      </w:r>
      <w:r>
        <w:rPr>
          <w:spacing w:val="-1"/>
        </w:rPr>
        <w:t> </w:t>
      </w:r>
      <w:r>
        <w:rPr/>
        <w:t>maskesi arasındaki örtüşme düzeyini ölçen yaygın bir metriktir. Özellikle sınıf dengesizliğinin sık görüldüğü tıbbi görüntü segmentasyonunda,</w:t>
      </w:r>
      <w:r>
        <w:rPr>
          <w:spacing w:val="-13"/>
        </w:rPr>
        <w:t> </w:t>
      </w:r>
      <w:r>
        <w:rPr/>
        <w:t>yalnızca</w:t>
      </w:r>
      <w:r>
        <w:rPr>
          <w:spacing w:val="-12"/>
        </w:rPr>
        <w:t> </w:t>
      </w:r>
      <w:r>
        <w:rPr/>
        <w:t>doğruluk</w:t>
      </w:r>
      <w:r>
        <w:rPr>
          <w:spacing w:val="-13"/>
        </w:rPr>
        <w:t> </w:t>
      </w:r>
      <w:r>
        <w:rPr/>
        <w:t>gibi</w:t>
      </w:r>
      <w:r>
        <w:rPr>
          <w:spacing w:val="-12"/>
        </w:rPr>
        <w:t> </w:t>
      </w:r>
      <w:r>
        <w:rPr/>
        <w:t>metriklere</w:t>
      </w:r>
      <w:r>
        <w:rPr>
          <w:spacing w:val="-13"/>
        </w:rPr>
        <w:t> </w:t>
      </w:r>
      <w:r>
        <w:rPr/>
        <w:t>kıyasla daha</w:t>
      </w:r>
      <w:r>
        <w:rPr>
          <w:spacing w:val="-13"/>
        </w:rPr>
        <w:t> </w:t>
      </w:r>
      <w:r>
        <w:rPr/>
        <w:t>anlamlı</w:t>
      </w:r>
      <w:r>
        <w:rPr>
          <w:spacing w:val="-12"/>
        </w:rPr>
        <w:t> </w:t>
      </w:r>
      <w:r>
        <w:rPr/>
        <w:t>bir</w:t>
      </w:r>
      <w:r>
        <w:rPr>
          <w:spacing w:val="-13"/>
        </w:rPr>
        <w:t> </w:t>
      </w:r>
      <w:r>
        <w:rPr/>
        <w:t>değerlendirme</w:t>
      </w:r>
      <w:r>
        <w:rPr>
          <w:spacing w:val="-12"/>
        </w:rPr>
        <w:t> </w:t>
      </w:r>
      <w:r>
        <w:rPr/>
        <w:t>sunar;</w:t>
      </w:r>
      <w:r>
        <w:rPr>
          <w:spacing w:val="-13"/>
        </w:rPr>
        <w:t> </w:t>
      </w:r>
      <w:r>
        <w:rPr/>
        <w:t>çünkü</w:t>
      </w:r>
      <w:r>
        <w:rPr>
          <w:spacing w:val="-12"/>
        </w:rPr>
        <w:t> </w:t>
      </w:r>
      <w:r>
        <w:rPr/>
        <w:t>doğru</w:t>
      </w:r>
      <w:r>
        <w:rPr>
          <w:spacing w:val="-13"/>
        </w:rPr>
        <w:t> </w:t>
      </w:r>
      <w:r>
        <w:rPr/>
        <w:t>sınıflanan arka plan piksellerinin baskın etkisini azaltıp hedef bölgenin yakalanma kalitesine odaklanır. Bu çalışmada DSC, piksel düzeyinde </w:t>
      </w:r>
      <w:r>
        <w:rPr>
          <w:rFonts w:ascii="Cambria Math" w:hAnsi="Cambria Math" w:eastAsia="Cambria Math"/>
        </w:rPr>
        <w:t>𝑇𝑃 </w:t>
      </w:r>
      <w:r>
        <w:rPr/>
        <w:t>, </w:t>
      </w:r>
      <w:r>
        <w:rPr>
          <w:rFonts w:ascii="Cambria Math" w:hAnsi="Cambria Math" w:eastAsia="Cambria Math"/>
        </w:rPr>
        <w:t>𝐹𝑃 </w:t>
      </w:r>
      <w:r>
        <w:rPr/>
        <w:t>ve </w:t>
      </w:r>
      <w:r>
        <w:rPr>
          <w:rFonts w:ascii="Cambria Math" w:hAnsi="Cambria Math" w:eastAsia="Cambria Math"/>
        </w:rPr>
        <w:t>𝐹𝑁 </w:t>
      </w:r>
      <w:r>
        <w:rPr/>
        <w:t>değerleri üzerinden aşağıdaki şekilde hesaplanmıştır:</w:t>
      </w:r>
    </w:p>
    <w:p>
      <w:pPr>
        <w:pStyle w:val="BodyText"/>
        <w:spacing w:before="27"/>
      </w:pPr>
    </w:p>
    <w:p>
      <w:pPr>
        <w:pStyle w:val="BodyText"/>
        <w:spacing w:line="192" w:lineRule="exact" w:before="1"/>
        <w:ind w:left="696"/>
        <w:jc w:val="center"/>
        <w:rPr>
          <w:rFonts w:ascii="Cambria Math" w:eastAsia="Cambria Math"/>
        </w:rPr>
      </w:pPr>
      <w:r>
        <w:rPr>
          <w:rFonts w:ascii="Cambria Math" w:eastAsia="Cambria Math"/>
          <w:spacing w:val="-5"/>
        </w:rPr>
        <w:t>2𝑇𝑃</w:t>
      </w:r>
    </w:p>
    <w:p>
      <w:pPr>
        <w:spacing w:line="143" w:lineRule="exact" w:before="0"/>
        <w:ind w:left="0" w:right="1368"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29152">
                <wp:simplePos x="0" y="0"/>
                <wp:positionH relativeFrom="page">
                  <wp:posOffset>1896491</wp:posOffset>
                </wp:positionH>
                <wp:positionV relativeFrom="paragraph">
                  <wp:posOffset>55670</wp:posOffset>
                </wp:positionV>
                <wp:extent cx="86423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864235" cy="6350"/>
                        </a:xfrm>
                        <a:custGeom>
                          <a:avLst/>
                          <a:gdLst/>
                          <a:ahLst/>
                          <a:cxnLst/>
                          <a:rect l="l" t="t" r="r" b="b"/>
                          <a:pathLst>
                            <a:path w="864235" h="6350">
                              <a:moveTo>
                                <a:pt x="863917" y="0"/>
                              </a:moveTo>
                              <a:lnTo>
                                <a:pt x="0" y="0"/>
                              </a:lnTo>
                              <a:lnTo>
                                <a:pt x="0" y="6350"/>
                              </a:lnTo>
                              <a:lnTo>
                                <a:pt x="863917" y="6350"/>
                              </a:lnTo>
                              <a:lnTo>
                                <a:pt x="863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9.330002pt;margin-top:4.383477pt;width:68.025pt;height:.5pt;mso-position-horizontal-relative:page;mso-position-vertical-relative:paragraph;z-index:15729152" id="docshape1" filled="true" fillcolor="#000000" stroked="false">
                <v:fill type="solid"/>
                <w10:wrap type="none"/>
              </v:rect>
            </w:pict>
          </mc:Fallback>
        </mc:AlternateContent>
      </w:r>
      <w:r>
        <w:rPr>
          <w:rFonts w:ascii="Cambria Math" w:eastAsia="Cambria Math"/>
          <w:sz w:val="20"/>
        </w:rPr>
        <w:t>𝐷𝑖𝑐𝑒</w:t>
      </w:r>
      <w:r>
        <w:rPr>
          <w:rFonts w:ascii="Cambria Math" w:eastAsia="Cambria Math"/>
          <w:spacing w:val="12"/>
          <w:sz w:val="20"/>
        </w:rPr>
        <w:t> </w:t>
      </w:r>
      <w:r>
        <w:rPr>
          <w:rFonts w:ascii="Cambria Math" w:eastAsia="Cambria Math"/>
          <w:spacing w:val="-10"/>
          <w:sz w:val="20"/>
        </w:rPr>
        <w:t>=</w:t>
      </w:r>
    </w:p>
    <w:p>
      <w:pPr>
        <w:pStyle w:val="BodyText"/>
        <w:spacing w:line="185" w:lineRule="exact"/>
        <w:ind w:left="695"/>
        <w:jc w:val="center"/>
        <w:rPr>
          <w:rFonts w:ascii="Cambria Math" w:eastAsia="Cambria Math"/>
        </w:rPr>
      </w:pPr>
      <w:r>
        <w:rPr>
          <w:rFonts w:ascii="Cambria Math" w:eastAsia="Cambria Math"/>
        </w:rPr>
        <w:t>2𝑇𝑃</w:t>
      </w:r>
      <w:r>
        <w:rPr>
          <w:rFonts w:ascii="Cambria Math" w:eastAsia="Cambria Math"/>
          <w:spacing w:val="3"/>
        </w:rPr>
        <w:t> </w:t>
      </w:r>
      <w:r>
        <w:rPr>
          <w:rFonts w:ascii="Cambria Math" w:eastAsia="Cambria Math"/>
        </w:rPr>
        <w:t>+ 𝐹𝑃</w:t>
      </w:r>
      <w:r>
        <w:rPr>
          <w:rFonts w:ascii="Cambria Math" w:eastAsia="Cambria Math"/>
          <w:spacing w:val="7"/>
        </w:rPr>
        <w:t> </w:t>
      </w:r>
      <w:r>
        <w:rPr>
          <w:rFonts w:ascii="Cambria Math" w:eastAsia="Cambria Math"/>
        </w:rPr>
        <w:t>+</w:t>
      </w:r>
      <w:r>
        <w:rPr>
          <w:rFonts w:ascii="Cambria Math" w:eastAsia="Cambria Math"/>
          <w:spacing w:val="1"/>
        </w:rPr>
        <w:t> </w:t>
      </w:r>
      <w:r>
        <w:rPr>
          <w:rFonts w:ascii="Cambria Math" w:eastAsia="Cambria Math"/>
          <w:spacing w:val="-5"/>
        </w:rPr>
        <w:t>𝐹𝑁</w:t>
      </w:r>
    </w:p>
    <w:p>
      <w:pPr>
        <w:pStyle w:val="BodyText"/>
        <w:spacing w:before="5"/>
        <w:rPr>
          <w:rFonts w:ascii="Cambria Math"/>
        </w:rPr>
      </w:pPr>
    </w:p>
    <w:p>
      <w:pPr>
        <w:pStyle w:val="BodyText"/>
        <w:spacing w:before="1"/>
        <w:ind w:left="55" w:right="3"/>
        <w:jc w:val="both"/>
      </w:pPr>
      <w:r>
        <w:rPr/>
        <w:t>Burada </w:t>
      </w:r>
      <w:r>
        <w:rPr>
          <w:rFonts w:ascii="Cambria Math" w:hAnsi="Cambria Math" w:eastAsia="Cambria Math"/>
        </w:rPr>
        <w:t>𝑇𝑃</w:t>
      </w:r>
      <w:r>
        <w:rPr/>
        <w:t>, </w:t>
      </w:r>
      <w:r>
        <w:rPr>
          <w:rFonts w:ascii="Cambria Math" w:hAnsi="Cambria Math" w:eastAsia="Cambria Math"/>
        </w:rPr>
        <w:t>𝐹𝑃 </w:t>
      </w:r>
      <w:r>
        <w:rPr/>
        <w:t>ve FN değerleri, piksel-seviyesinde tahmin edilen segmentasyon maskesi ile ground truth maskesi karşılaştırılarak hesaplanır.</w:t>
      </w:r>
    </w:p>
    <w:p>
      <w:pPr>
        <w:pStyle w:val="BodyText"/>
        <w:spacing w:before="79"/>
        <w:ind w:left="55" w:right="50"/>
        <w:jc w:val="both"/>
      </w:pPr>
      <w:r>
        <w:rPr/>
        <w:br w:type="column"/>
      </w:r>
      <w:r>
        <w:rPr/>
        <w:t>örtüşme kalitesini doğrudan nicelendirir. Bu çalışmada IoU aşağıdaki biçimde hesaplanmıştır:</w:t>
      </w:r>
    </w:p>
    <w:p>
      <w:pPr>
        <w:pStyle w:val="BodyText"/>
        <w:spacing w:before="26"/>
      </w:pPr>
    </w:p>
    <w:p>
      <w:pPr>
        <w:spacing w:line="192" w:lineRule="exact" w:before="0"/>
        <w:ind w:left="584" w:right="0" w:firstLine="0"/>
        <w:jc w:val="center"/>
        <w:rPr>
          <w:rFonts w:ascii="Cambria Math" w:eastAsia="Cambria Math"/>
          <w:sz w:val="20"/>
        </w:rPr>
      </w:pPr>
      <w:r>
        <w:rPr>
          <w:rFonts w:ascii="Cambria Math" w:eastAsia="Cambria Math"/>
          <w:spacing w:val="-5"/>
          <w:sz w:val="20"/>
        </w:rPr>
        <w:t>𝑇𝑃</w:t>
      </w:r>
    </w:p>
    <w:p>
      <w:pPr>
        <w:spacing w:line="143" w:lineRule="exact" w:before="0"/>
        <w:ind w:left="0" w:right="1298"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29664">
                <wp:simplePos x="0" y="0"/>
                <wp:positionH relativeFrom="page">
                  <wp:posOffset>5231510</wp:posOffset>
                </wp:positionH>
                <wp:positionV relativeFrom="paragraph">
                  <wp:posOffset>56148</wp:posOffset>
                </wp:positionV>
                <wp:extent cx="79438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94385" cy="6350"/>
                        </a:xfrm>
                        <a:custGeom>
                          <a:avLst/>
                          <a:gdLst/>
                          <a:ahLst/>
                          <a:cxnLst/>
                          <a:rect l="l" t="t" r="r" b="b"/>
                          <a:pathLst>
                            <a:path w="794385" h="6350">
                              <a:moveTo>
                                <a:pt x="794067" y="0"/>
                              </a:moveTo>
                              <a:lnTo>
                                <a:pt x="0" y="0"/>
                              </a:lnTo>
                              <a:lnTo>
                                <a:pt x="0" y="6350"/>
                              </a:lnTo>
                              <a:lnTo>
                                <a:pt x="794067" y="6350"/>
                              </a:lnTo>
                              <a:lnTo>
                                <a:pt x="7940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929993pt;margin-top:4.421113pt;width:62.525pt;height:.5pt;mso-position-horizontal-relative:page;mso-position-vertical-relative:paragraph;z-index:15729664" id="docshape2" filled="true" fillcolor="#000000" stroked="false">
                <v:fill type="solid"/>
                <w10:wrap type="none"/>
              </v:rect>
            </w:pict>
          </mc:Fallback>
        </mc:AlternateContent>
      </w:r>
      <w:r>
        <w:rPr>
          <w:rFonts w:ascii="Cambria Math" w:eastAsia="Cambria Math"/>
          <w:sz w:val="20"/>
        </w:rPr>
        <w:t>𝐼𝑜𝑈</w:t>
      </w:r>
      <w:r>
        <w:rPr>
          <w:rFonts w:ascii="Cambria Math" w:eastAsia="Cambria Math"/>
          <w:spacing w:val="15"/>
          <w:sz w:val="20"/>
        </w:rPr>
        <w:t> </w:t>
      </w:r>
      <w:r>
        <w:rPr>
          <w:rFonts w:ascii="Cambria Math" w:eastAsia="Cambria Math"/>
          <w:spacing w:val="-10"/>
          <w:sz w:val="20"/>
        </w:rPr>
        <w:t>=</w:t>
      </w:r>
    </w:p>
    <w:p>
      <w:pPr>
        <w:spacing w:line="185" w:lineRule="exact" w:before="0"/>
        <w:ind w:left="579" w:right="0" w:firstLine="0"/>
        <w:jc w:val="center"/>
        <w:rPr>
          <w:rFonts w:ascii="Cambria Math" w:eastAsia="Cambria Math"/>
          <w:sz w:val="20"/>
        </w:rPr>
      </w:pPr>
      <w:r>
        <w:rPr>
          <w:rFonts w:ascii="Cambria Math" w:eastAsia="Cambria Math"/>
          <w:sz w:val="20"/>
        </w:rPr>
        <w:t>𝑇𝑃</w:t>
      </w:r>
      <w:r>
        <w:rPr>
          <w:rFonts w:ascii="Cambria Math" w:eastAsia="Cambria Math"/>
          <w:spacing w:val="5"/>
          <w:sz w:val="20"/>
        </w:rPr>
        <w:t> </w:t>
      </w:r>
      <w:r>
        <w:rPr>
          <w:rFonts w:ascii="Cambria Math" w:eastAsia="Cambria Math"/>
          <w:sz w:val="20"/>
        </w:rPr>
        <w:t>+</w:t>
      </w:r>
      <w:r>
        <w:rPr>
          <w:rFonts w:ascii="Cambria Math" w:eastAsia="Cambria Math"/>
          <w:spacing w:val="-4"/>
          <w:sz w:val="20"/>
        </w:rPr>
        <w:t> </w:t>
      </w:r>
      <w:r>
        <w:rPr>
          <w:rFonts w:ascii="Cambria Math" w:eastAsia="Cambria Math"/>
          <w:sz w:val="20"/>
        </w:rPr>
        <w:t>𝐹𝑃</w:t>
      </w:r>
      <w:r>
        <w:rPr>
          <w:rFonts w:ascii="Cambria Math" w:eastAsia="Cambria Math"/>
          <w:spacing w:val="7"/>
          <w:sz w:val="20"/>
        </w:rPr>
        <w:t> </w:t>
      </w:r>
      <w:r>
        <w:rPr>
          <w:rFonts w:ascii="Cambria Math" w:eastAsia="Cambria Math"/>
          <w:sz w:val="20"/>
        </w:rPr>
        <w:t>+</w:t>
      </w:r>
      <w:r>
        <w:rPr>
          <w:rFonts w:ascii="Cambria Math" w:eastAsia="Cambria Math"/>
          <w:spacing w:val="1"/>
          <w:sz w:val="20"/>
        </w:rPr>
        <w:t> </w:t>
      </w:r>
      <w:r>
        <w:rPr>
          <w:rFonts w:ascii="Cambria Math" w:eastAsia="Cambria Math"/>
          <w:spacing w:val="-7"/>
          <w:sz w:val="20"/>
        </w:rPr>
        <w:t>𝐹𝑁</w:t>
      </w:r>
    </w:p>
    <w:p>
      <w:pPr>
        <w:pStyle w:val="BodyText"/>
        <w:spacing w:before="5"/>
        <w:rPr>
          <w:rFonts w:ascii="Cambria Math"/>
        </w:rPr>
      </w:pPr>
    </w:p>
    <w:p>
      <w:pPr>
        <w:pStyle w:val="BodyText"/>
        <w:ind w:left="55" w:right="46"/>
        <w:jc w:val="both"/>
      </w:pPr>
      <w:r>
        <w:rPr/>
        <w:t>Accuracy, segmentasyon çıktısında doğru sınıflandırılan piksellerin tüm piksellere oranını ölçer. Yani modelin her pikseli</w:t>
      </w:r>
      <w:r>
        <w:rPr>
          <w:spacing w:val="-8"/>
        </w:rPr>
        <w:t> </w:t>
      </w:r>
      <w:r>
        <w:rPr/>
        <w:t>“doğru</w:t>
      </w:r>
      <w:r>
        <w:rPr>
          <w:spacing w:val="-6"/>
        </w:rPr>
        <w:t> </w:t>
      </w:r>
      <w:r>
        <w:rPr/>
        <w:t>etiketleme”</w:t>
      </w:r>
      <w:r>
        <w:rPr>
          <w:spacing w:val="-5"/>
        </w:rPr>
        <w:t> </w:t>
      </w:r>
      <w:r>
        <w:rPr/>
        <w:t>başarısını</w:t>
      </w:r>
      <w:r>
        <w:rPr>
          <w:spacing w:val="-7"/>
        </w:rPr>
        <w:t> </w:t>
      </w:r>
      <w:r>
        <w:rPr/>
        <w:t>özetler;</w:t>
      </w:r>
      <w:r>
        <w:rPr>
          <w:spacing w:val="-7"/>
        </w:rPr>
        <w:t> </w:t>
      </w:r>
      <w:r>
        <w:rPr/>
        <w:t>ancak</w:t>
      </w:r>
      <w:r>
        <w:rPr>
          <w:spacing w:val="-6"/>
        </w:rPr>
        <w:t> </w:t>
      </w:r>
      <w:r>
        <w:rPr/>
        <w:t>arka</w:t>
      </w:r>
      <w:r>
        <w:rPr>
          <w:spacing w:val="-10"/>
        </w:rPr>
        <w:t> </w:t>
      </w:r>
      <w:r>
        <w:rPr/>
        <w:t>plan pikselleri çoğunlukta olduğunda yüksek görünüp gerçekte polip başarımını olduğundan iyi gösterebilir. Bu çalışmada piksel doğruluğu şu şekilde tanımlanmıştır:</w:t>
      </w:r>
    </w:p>
    <w:p>
      <w:pPr>
        <w:pStyle w:val="BodyText"/>
        <w:spacing w:before="31"/>
      </w:pPr>
    </w:p>
    <w:p>
      <w:pPr>
        <w:spacing w:line="173" w:lineRule="exact" w:before="1"/>
        <w:ind w:left="2641" w:right="0" w:firstLine="0"/>
        <w:jc w:val="left"/>
        <w:rPr>
          <w:rFonts w:ascii="Cambria Math" w:eastAsia="Cambria Math"/>
          <w:sz w:val="18"/>
        </w:rPr>
      </w:pPr>
      <w:r>
        <w:rPr>
          <w:rFonts w:ascii="Cambria Math" w:eastAsia="Cambria Math"/>
          <w:sz w:val="18"/>
        </w:rPr>
        <w:t>𝑇𝑃</w:t>
      </w:r>
      <w:r>
        <w:rPr>
          <w:rFonts w:ascii="Cambria Math" w:eastAsia="Cambria Math"/>
          <w:spacing w:val="8"/>
          <w:sz w:val="18"/>
        </w:rPr>
        <w:t> </w:t>
      </w:r>
      <w:r>
        <w:rPr>
          <w:rFonts w:ascii="Cambria Math" w:eastAsia="Cambria Math"/>
          <w:sz w:val="18"/>
        </w:rPr>
        <w:t>+ </w:t>
      </w:r>
      <w:r>
        <w:rPr>
          <w:rFonts w:ascii="Cambria Math" w:eastAsia="Cambria Math"/>
          <w:spacing w:val="-5"/>
          <w:sz w:val="18"/>
        </w:rPr>
        <w:t>𝑇𝑁</w:t>
      </w:r>
    </w:p>
    <w:p>
      <w:pPr>
        <w:spacing w:line="293" w:lineRule="exact" w:before="0"/>
        <w:ind w:left="1200" w:right="0" w:firstLine="0"/>
        <w:jc w:val="left"/>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1" simplePos="0" relativeHeight="487332352">
                <wp:simplePos x="0" y="0"/>
                <wp:positionH relativeFrom="page">
                  <wp:posOffset>5253735</wp:posOffset>
                </wp:positionH>
                <wp:positionV relativeFrom="paragraph">
                  <wp:posOffset>49426</wp:posOffset>
                </wp:positionV>
                <wp:extent cx="100393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003935" cy="6350"/>
                        </a:xfrm>
                        <a:custGeom>
                          <a:avLst/>
                          <a:gdLst/>
                          <a:ahLst/>
                          <a:cxnLst/>
                          <a:rect l="l" t="t" r="r" b="b"/>
                          <a:pathLst>
                            <a:path w="1003935" h="6350">
                              <a:moveTo>
                                <a:pt x="1003617" y="0"/>
                              </a:moveTo>
                              <a:lnTo>
                                <a:pt x="0" y="0"/>
                              </a:lnTo>
                              <a:lnTo>
                                <a:pt x="0" y="6350"/>
                              </a:lnTo>
                              <a:lnTo>
                                <a:pt x="1003617" y="6350"/>
                              </a:lnTo>
                              <a:lnTo>
                                <a:pt x="10036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3.679993pt;margin-top:3.891865pt;width:79.025pt;height:.5pt;mso-position-horizontal-relative:page;mso-position-vertical-relative:paragraph;z-index:-15984128" id="docshape3" filled="true" fillcolor="#000000" stroked="false">
                <v:fill type="solid"/>
                <w10:wrap type="none"/>
              </v:rect>
            </w:pict>
          </mc:Fallback>
        </mc:AlternateContent>
      </w:r>
      <w:r>
        <w:rPr>
          <w:rFonts w:ascii="Cambria Math" w:eastAsia="Cambria Math"/>
          <w:position w:val="12"/>
          <w:sz w:val="18"/>
        </w:rPr>
        <w:t>𝐴𝑐𝑐𝑢𝑟𝑎𝑐𝑦</w:t>
      </w:r>
      <w:r>
        <w:rPr>
          <w:rFonts w:ascii="Cambria Math" w:eastAsia="Cambria Math"/>
          <w:spacing w:val="6"/>
          <w:position w:val="12"/>
          <w:sz w:val="18"/>
        </w:rPr>
        <w:t> </w:t>
      </w:r>
      <w:r>
        <w:rPr>
          <w:rFonts w:ascii="Cambria Math" w:eastAsia="Cambria Math"/>
          <w:position w:val="12"/>
          <w:sz w:val="18"/>
        </w:rPr>
        <w:t>=</w:t>
      </w:r>
      <w:r>
        <w:rPr>
          <w:rFonts w:ascii="Cambria Math" w:eastAsia="Cambria Math"/>
          <w:spacing w:val="11"/>
          <w:position w:val="12"/>
          <w:sz w:val="18"/>
        </w:rPr>
        <w:t> </w:t>
      </w:r>
      <w:r>
        <w:rPr>
          <w:rFonts w:ascii="Cambria Math" w:eastAsia="Cambria Math"/>
          <w:sz w:val="18"/>
        </w:rPr>
        <w:t>𝐹𝑃</w:t>
      </w:r>
      <w:r>
        <w:rPr>
          <w:rFonts w:ascii="Cambria Math" w:eastAsia="Cambria Math"/>
          <w:spacing w:val="8"/>
          <w:sz w:val="18"/>
        </w:rPr>
        <w:t> </w:t>
      </w:r>
      <w:r>
        <w:rPr>
          <w:rFonts w:ascii="Cambria Math" w:eastAsia="Cambria Math"/>
          <w:sz w:val="18"/>
        </w:rPr>
        <w:t>+</w:t>
      </w:r>
      <w:r>
        <w:rPr>
          <w:rFonts w:ascii="Cambria Math" w:eastAsia="Cambria Math"/>
          <w:spacing w:val="-5"/>
          <w:sz w:val="18"/>
        </w:rPr>
        <w:t> </w:t>
      </w:r>
      <w:r>
        <w:rPr>
          <w:rFonts w:ascii="Cambria Math" w:eastAsia="Cambria Math"/>
          <w:sz w:val="18"/>
        </w:rPr>
        <w:t>𝐹𝑁</w:t>
      </w:r>
      <w:r>
        <w:rPr>
          <w:rFonts w:ascii="Cambria Math" w:eastAsia="Cambria Math"/>
          <w:spacing w:val="9"/>
          <w:sz w:val="18"/>
        </w:rPr>
        <w:t> </w:t>
      </w:r>
      <w:r>
        <w:rPr>
          <w:rFonts w:ascii="Cambria Math" w:eastAsia="Cambria Math"/>
          <w:sz w:val="18"/>
        </w:rPr>
        <w:t>+ 𝑇𝑁</w:t>
      </w:r>
      <w:r>
        <w:rPr>
          <w:rFonts w:ascii="Cambria Math" w:eastAsia="Cambria Math"/>
          <w:spacing w:val="4"/>
          <w:sz w:val="18"/>
        </w:rPr>
        <w:t> </w:t>
      </w:r>
      <w:r>
        <w:rPr>
          <w:rFonts w:ascii="Cambria Math" w:eastAsia="Cambria Math"/>
          <w:sz w:val="18"/>
        </w:rPr>
        <w:t>+ </w:t>
      </w:r>
      <w:r>
        <w:rPr>
          <w:rFonts w:ascii="Cambria Math" w:eastAsia="Cambria Math"/>
          <w:spacing w:val="-5"/>
          <w:sz w:val="18"/>
        </w:rPr>
        <w:t>𝑇𝑃</w:t>
      </w:r>
    </w:p>
    <w:p>
      <w:pPr>
        <w:pStyle w:val="BodyText"/>
        <w:spacing w:before="27"/>
        <w:rPr>
          <w:rFonts w:ascii="Cambria Math"/>
          <w:sz w:val="18"/>
        </w:rPr>
      </w:pPr>
    </w:p>
    <w:p>
      <w:pPr>
        <w:pStyle w:val="BodyText"/>
        <w:ind w:left="55" w:right="50"/>
        <w:jc w:val="both"/>
      </w:pPr>
      <w:r>
        <w:rPr/>
        <w:t>Arka plan pikselleri çok baskın olduğunda Accuracy tek başına yanıltıcı olabilir; bu yüzden Dice/IoU ile birlikte </w:t>
      </w:r>
      <w:r>
        <w:rPr>
          <w:spacing w:val="-2"/>
        </w:rPr>
        <w:t>raporlanır.</w:t>
      </w:r>
    </w:p>
    <w:p>
      <w:pPr>
        <w:pStyle w:val="BodyText"/>
        <w:spacing w:before="50"/>
      </w:pPr>
    </w:p>
    <w:p>
      <w:pPr>
        <w:pStyle w:val="BodyText"/>
        <w:ind w:left="55" w:right="50"/>
        <w:jc w:val="both"/>
      </w:pPr>
      <w:r>
        <w:rPr/>
        <w:t>Recall gerçek polip piksellerinin ne kadarının model tarafından doğru şekilde polip olarak yakalandığını ölçer. Başka bir deyişle </w:t>
      </w:r>
      <w:r>
        <w:rPr>
          <w:rFonts w:ascii="Cambria Math" w:hAnsi="Cambria Math" w:eastAsia="Cambria Math"/>
        </w:rPr>
        <w:t>𝐹𝑁 </w:t>
      </w:r>
      <w:r>
        <w:rPr/>
        <w:t>cezalandırır; klinik açıdan “polipi atlamama” tarafını temsil eder. Bu çalışmada duyarlılık şu şekilde tanımlanmıştır:</w:t>
      </w:r>
    </w:p>
    <w:p>
      <w:pPr>
        <w:pStyle w:val="BodyText"/>
        <w:spacing w:before="27"/>
      </w:pPr>
    </w:p>
    <w:p>
      <w:pPr>
        <w:spacing w:line="192" w:lineRule="exact" w:before="1"/>
        <w:ind w:left="3396" w:right="0" w:firstLine="0"/>
        <w:jc w:val="left"/>
        <w:rPr>
          <w:rFonts w:ascii="Cambria Math" w:eastAsia="Cambria Math"/>
          <w:sz w:val="20"/>
        </w:rPr>
      </w:pPr>
      <w:r>
        <w:rPr>
          <w:rFonts w:ascii="Cambria Math" w:eastAsia="Cambria Math"/>
          <w:spacing w:val="-5"/>
          <w:sz w:val="20"/>
        </w:rPr>
        <w:t>𝑇𝑃</w:t>
      </w:r>
    </w:p>
    <w:p>
      <w:pPr>
        <w:spacing w:line="143" w:lineRule="exact" w:before="0"/>
        <w:ind w:left="1075" w:right="0" w:firstLine="0"/>
        <w:jc w:val="left"/>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30688">
                <wp:simplePos x="0" y="0"/>
                <wp:positionH relativeFrom="page">
                  <wp:posOffset>5857240</wp:posOffset>
                </wp:positionH>
                <wp:positionV relativeFrom="paragraph">
                  <wp:posOffset>55667</wp:posOffset>
                </wp:positionV>
                <wp:extent cx="483234"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83234" cy="6350"/>
                        </a:xfrm>
                        <a:custGeom>
                          <a:avLst/>
                          <a:gdLst/>
                          <a:ahLst/>
                          <a:cxnLst/>
                          <a:rect l="l" t="t" r="r" b="b"/>
                          <a:pathLst>
                            <a:path w="483234" h="6350">
                              <a:moveTo>
                                <a:pt x="482917" y="0"/>
                              </a:moveTo>
                              <a:lnTo>
                                <a:pt x="0" y="0"/>
                              </a:lnTo>
                              <a:lnTo>
                                <a:pt x="0" y="6350"/>
                              </a:lnTo>
                              <a:lnTo>
                                <a:pt x="482917" y="6350"/>
                              </a:lnTo>
                              <a:lnTo>
                                <a:pt x="482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200012pt;margin-top:4.383301pt;width:38.025pt;height:.5pt;mso-position-horizontal-relative:page;mso-position-vertical-relative:paragraph;z-index:15730688" id="docshape4" filled="true" fillcolor="#000000" stroked="false">
                <v:fill type="solid"/>
                <w10:wrap type="none"/>
              </v:rect>
            </w:pict>
          </mc:Fallback>
        </mc:AlternateContent>
      </w:r>
      <w:r>
        <w:rPr>
          <w:rFonts w:ascii="Cambria Math" w:eastAsia="Cambria Math"/>
          <w:sz w:val="20"/>
        </w:rPr>
        <w:t>𝑅𝑒𝑐𝑎𝑙𝑙</w:t>
      </w:r>
      <w:r>
        <w:rPr>
          <w:rFonts w:ascii="Cambria Math" w:eastAsia="Cambria Math"/>
          <w:spacing w:val="15"/>
          <w:sz w:val="20"/>
        </w:rPr>
        <w:t> </w:t>
      </w:r>
      <w:r>
        <w:rPr>
          <w:rFonts w:ascii="Cambria Math" w:eastAsia="Cambria Math"/>
          <w:sz w:val="20"/>
        </w:rPr>
        <w:t>=</w:t>
      </w:r>
      <w:r>
        <w:rPr>
          <w:rFonts w:ascii="Cambria Math" w:eastAsia="Cambria Math"/>
          <w:spacing w:val="9"/>
          <w:sz w:val="20"/>
        </w:rPr>
        <w:t> </w:t>
      </w:r>
      <w:r>
        <w:rPr>
          <w:rFonts w:ascii="Cambria Math" w:eastAsia="Cambria Math"/>
          <w:sz w:val="20"/>
        </w:rPr>
        <w:t>𝑆𝑒𝑛𝑠𝑖𝑡𝑖𝑣𝑖𝑡𝑦</w:t>
      </w:r>
      <w:r>
        <w:rPr>
          <w:rFonts w:ascii="Cambria Math" w:eastAsia="Cambria Math"/>
          <w:spacing w:val="9"/>
          <w:sz w:val="20"/>
        </w:rPr>
        <w:t> </w:t>
      </w:r>
      <w:r>
        <w:rPr>
          <w:rFonts w:ascii="Cambria Math" w:eastAsia="Cambria Math"/>
          <w:spacing w:val="-10"/>
          <w:sz w:val="20"/>
        </w:rPr>
        <w:t>=</w:t>
      </w:r>
    </w:p>
    <w:p>
      <w:pPr>
        <w:spacing w:line="185" w:lineRule="exact" w:before="0"/>
        <w:ind w:left="3141" w:right="0" w:firstLine="0"/>
        <w:jc w:val="left"/>
        <w:rPr>
          <w:rFonts w:ascii="Cambria Math" w:eastAsia="Cambria Math"/>
          <w:sz w:val="20"/>
        </w:rPr>
      </w:pPr>
      <w:r>
        <w:rPr>
          <w:rFonts w:ascii="Cambria Math" w:eastAsia="Cambria Math"/>
          <w:sz w:val="20"/>
        </w:rPr>
        <w:t>𝑇𝑃</w:t>
      </w:r>
      <w:r>
        <w:rPr>
          <w:rFonts w:ascii="Cambria Math" w:eastAsia="Cambria Math"/>
          <w:spacing w:val="6"/>
          <w:sz w:val="20"/>
        </w:rPr>
        <w:t> </w:t>
      </w:r>
      <w:r>
        <w:rPr>
          <w:rFonts w:ascii="Cambria Math" w:eastAsia="Cambria Math"/>
          <w:sz w:val="20"/>
        </w:rPr>
        <w:t>+</w:t>
      </w:r>
      <w:r>
        <w:rPr>
          <w:rFonts w:ascii="Cambria Math" w:eastAsia="Cambria Math"/>
          <w:spacing w:val="1"/>
          <w:sz w:val="20"/>
        </w:rPr>
        <w:t> </w:t>
      </w:r>
      <w:r>
        <w:rPr>
          <w:rFonts w:ascii="Cambria Math" w:eastAsia="Cambria Math"/>
          <w:spacing w:val="-5"/>
          <w:sz w:val="20"/>
        </w:rPr>
        <w:t>𝐹𝑁</w:t>
      </w:r>
    </w:p>
    <w:p>
      <w:pPr>
        <w:pStyle w:val="BodyText"/>
        <w:rPr>
          <w:rFonts w:ascii="Cambria Math"/>
        </w:rPr>
      </w:pPr>
    </w:p>
    <w:p>
      <w:pPr>
        <w:pStyle w:val="BodyText"/>
        <w:rPr>
          <w:rFonts w:ascii="Cambria Math"/>
        </w:rPr>
      </w:pPr>
    </w:p>
    <w:p>
      <w:pPr>
        <w:pStyle w:val="BodyText"/>
        <w:spacing w:before="45"/>
        <w:rPr>
          <w:rFonts w:ascii="Cambria Math"/>
        </w:rPr>
      </w:pPr>
    </w:p>
    <w:p>
      <w:pPr>
        <w:pStyle w:val="BodyText"/>
        <w:ind w:left="55" w:right="48"/>
        <w:jc w:val="both"/>
      </w:pPr>
      <w:r>
        <w:rPr/>
        <w:t>Precision, modelin polip olarak etiketlediği piksellerin ne kadarının</w:t>
      </w:r>
      <w:r>
        <w:rPr>
          <w:spacing w:val="-13"/>
        </w:rPr>
        <w:t> </w:t>
      </w:r>
      <w:r>
        <w:rPr/>
        <w:t>gerçekten</w:t>
      </w:r>
      <w:r>
        <w:rPr>
          <w:spacing w:val="-11"/>
        </w:rPr>
        <w:t> </w:t>
      </w:r>
      <w:r>
        <w:rPr/>
        <w:t>polip</w:t>
      </w:r>
      <w:r>
        <w:rPr>
          <w:spacing w:val="-11"/>
        </w:rPr>
        <w:t> </w:t>
      </w:r>
      <w:r>
        <w:rPr/>
        <w:t>olduğunu</w:t>
      </w:r>
      <w:r>
        <w:rPr>
          <w:spacing w:val="-11"/>
        </w:rPr>
        <w:t> </w:t>
      </w:r>
      <w:r>
        <w:rPr/>
        <w:t>ölçer.</w:t>
      </w:r>
      <w:r>
        <w:rPr>
          <w:spacing w:val="-15"/>
        </w:rPr>
        <w:t> </w:t>
      </w:r>
      <w:r>
        <w:rPr/>
        <w:t>Bu</w:t>
      </w:r>
      <w:r>
        <w:rPr>
          <w:spacing w:val="-11"/>
        </w:rPr>
        <w:t> </w:t>
      </w:r>
      <w:r>
        <w:rPr/>
        <w:t>metrik</w:t>
      </w:r>
      <w:r>
        <w:rPr>
          <w:spacing w:val="-11"/>
        </w:rPr>
        <w:t> </w:t>
      </w:r>
      <w:r>
        <w:rPr>
          <w:spacing w:val="-2"/>
        </w:rPr>
        <w:t>özellikle</w:t>
      </w:r>
    </w:p>
    <w:p>
      <w:pPr>
        <w:pStyle w:val="BodyText"/>
        <w:spacing w:before="2"/>
        <w:ind w:left="55" w:right="49"/>
        <w:jc w:val="both"/>
      </w:pPr>
      <w:r>
        <w:rPr>
          <w:rFonts w:ascii="Cambria Math" w:hAnsi="Cambria Math" w:eastAsia="Cambria Math"/>
        </w:rPr>
        <w:t>𝐹𝑃 </w:t>
      </w:r>
      <w:r>
        <w:rPr/>
        <w:t>cezalandırır; yani modelin “polip var” diye işaretlediği ama</w:t>
      </w:r>
      <w:r>
        <w:rPr>
          <w:spacing w:val="-13"/>
        </w:rPr>
        <w:t> </w:t>
      </w:r>
      <w:r>
        <w:rPr/>
        <w:t>gerçekte</w:t>
      </w:r>
      <w:r>
        <w:rPr>
          <w:spacing w:val="-11"/>
        </w:rPr>
        <w:t> </w:t>
      </w:r>
      <w:r>
        <w:rPr/>
        <w:t>arka</w:t>
      </w:r>
      <w:r>
        <w:rPr>
          <w:spacing w:val="-11"/>
        </w:rPr>
        <w:t> </w:t>
      </w:r>
      <w:r>
        <w:rPr/>
        <w:t>plan</w:t>
      </w:r>
      <w:r>
        <w:rPr>
          <w:spacing w:val="-12"/>
        </w:rPr>
        <w:t> </w:t>
      </w:r>
      <w:r>
        <w:rPr/>
        <w:t>olan</w:t>
      </w:r>
      <w:r>
        <w:rPr>
          <w:spacing w:val="-12"/>
        </w:rPr>
        <w:t> </w:t>
      </w:r>
      <w:r>
        <w:rPr/>
        <w:t>pikseller</w:t>
      </w:r>
      <w:r>
        <w:rPr>
          <w:spacing w:val="-12"/>
        </w:rPr>
        <w:t> </w:t>
      </w:r>
      <w:r>
        <w:rPr/>
        <w:t>arttıkça</w:t>
      </w:r>
      <w:r>
        <w:rPr>
          <w:spacing w:val="-12"/>
        </w:rPr>
        <w:t> </w:t>
      </w:r>
      <w:r>
        <w:rPr/>
        <w:t>precision</w:t>
      </w:r>
      <w:r>
        <w:rPr>
          <w:spacing w:val="-11"/>
        </w:rPr>
        <w:t> </w:t>
      </w:r>
      <w:r>
        <w:rPr>
          <w:spacing w:val="-2"/>
        </w:rPr>
        <w:t>düşer.</w:t>
      </w:r>
    </w:p>
    <w:p>
      <w:pPr>
        <w:pStyle w:val="BodyText"/>
        <w:spacing w:before="26"/>
      </w:pPr>
    </w:p>
    <w:p>
      <w:pPr>
        <w:spacing w:line="192" w:lineRule="exact" w:before="0"/>
        <w:ind w:left="1118" w:right="0" w:firstLine="0"/>
        <w:jc w:val="center"/>
        <w:rPr>
          <w:rFonts w:ascii="Cambria Math" w:eastAsia="Cambria Math"/>
          <w:sz w:val="20"/>
        </w:rPr>
      </w:pPr>
      <w:r>
        <w:rPr>
          <w:rFonts w:ascii="Cambria Math" w:eastAsia="Cambria Math"/>
          <w:spacing w:val="-5"/>
          <w:sz w:val="20"/>
        </w:rPr>
        <w:t>𝑇𝑁</w:t>
      </w:r>
    </w:p>
    <w:p>
      <w:pPr>
        <w:spacing w:line="143" w:lineRule="exact" w:before="0"/>
        <w:ind w:left="0" w:right="919"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31200">
                <wp:simplePos x="0" y="0"/>
                <wp:positionH relativeFrom="page">
                  <wp:posOffset>5520435</wp:posOffset>
                </wp:positionH>
                <wp:positionV relativeFrom="paragraph">
                  <wp:posOffset>55867</wp:posOffset>
                </wp:positionV>
                <wp:extent cx="55308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53085" cy="6350"/>
                        </a:xfrm>
                        <a:custGeom>
                          <a:avLst/>
                          <a:gdLst/>
                          <a:ahLst/>
                          <a:cxnLst/>
                          <a:rect l="l" t="t" r="r" b="b"/>
                          <a:pathLst>
                            <a:path w="553085" h="6350">
                              <a:moveTo>
                                <a:pt x="552767" y="0"/>
                              </a:moveTo>
                              <a:lnTo>
                                <a:pt x="0" y="0"/>
                              </a:lnTo>
                              <a:lnTo>
                                <a:pt x="0" y="6350"/>
                              </a:lnTo>
                              <a:lnTo>
                                <a:pt x="552767" y="6350"/>
                              </a:lnTo>
                              <a:lnTo>
                                <a:pt x="5527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4.679993pt;margin-top:4.399054pt;width:43.525pt;height:.5pt;mso-position-horizontal-relative:page;mso-position-vertical-relative:paragraph;z-index:15731200" id="docshape5" filled="true" fillcolor="#000000" stroked="false">
                <v:fill type="solid"/>
                <w10:wrap type="none"/>
              </v:rect>
            </w:pict>
          </mc:Fallback>
        </mc:AlternateContent>
      </w:r>
      <w:r>
        <w:rPr>
          <w:rFonts w:ascii="Cambria Math" w:eastAsia="Cambria Math"/>
          <w:sz w:val="20"/>
        </w:rPr>
        <w:t>𝑃𝑟𝑒𝑐𝑖𝑠𝑖𝑜𝑛</w:t>
      </w:r>
      <w:r>
        <w:rPr>
          <w:rFonts w:ascii="Cambria Math" w:eastAsia="Cambria Math"/>
          <w:spacing w:val="11"/>
          <w:sz w:val="20"/>
        </w:rPr>
        <w:t> </w:t>
      </w:r>
      <w:r>
        <w:rPr>
          <w:rFonts w:ascii="Cambria Math" w:eastAsia="Cambria Math"/>
          <w:spacing w:val="-10"/>
          <w:sz w:val="20"/>
        </w:rPr>
        <w:t>=</w:t>
      </w:r>
    </w:p>
    <w:p>
      <w:pPr>
        <w:pStyle w:val="BodyText"/>
        <w:spacing w:line="185" w:lineRule="exact"/>
        <w:ind w:left="1112"/>
        <w:jc w:val="center"/>
        <w:rPr>
          <w:rFonts w:ascii="Cambria Math" w:eastAsia="Cambria Math"/>
        </w:rPr>
      </w:pPr>
      <w:r>
        <w:rPr>
          <w:rFonts w:ascii="Cambria Math" w:eastAsia="Cambria Math"/>
        </w:rPr>
        <w:t>2𝑇𝑁</w:t>
      </w:r>
      <w:r>
        <w:rPr>
          <w:rFonts w:ascii="Cambria Math" w:eastAsia="Cambria Math"/>
          <w:spacing w:val="3"/>
        </w:rPr>
        <w:t> </w:t>
      </w:r>
      <w:r>
        <w:rPr>
          <w:rFonts w:ascii="Cambria Math" w:eastAsia="Cambria Math"/>
        </w:rPr>
        <w:t>+</w:t>
      </w:r>
      <w:r>
        <w:rPr>
          <w:rFonts w:ascii="Cambria Math" w:eastAsia="Cambria Math"/>
          <w:spacing w:val="1"/>
        </w:rPr>
        <w:t> </w:t>
      </w:r>
      <w:r>
        <w:rPr>
          <w:rFonts w:ascii="Cambria Math" w:eastAsia="Cambria Math"/>
          <w:spacing w:val="-5"/>
        </w:rPr>
        <w:t>𝐹𝑃</w:t>
      </w:r>
    </w:p>
    <w:p>
      <w:pPr>
        <w:pStyle w:val="BodyText"/>
        <w:spacing w:before="1"/>
        <w:rPr>
          <w:rFonts w:ascii="Cambria Math"/>
        </w:rPr>
      </w:pPr>
    </w:p>
    <w:p>
      <w:pPr>
        <w:pStyle w:val="BodyText"/>
        <w:spacing w:line="234" w:lineRule="exact"/>
        <w:ind w:left="55"/>
      </w:pPr>
      <w:r>
        <w:rPr/>
        <w:t>Burada</w:t>
      </w:r>
      <w:r>
        <w:rPr>
          <w:spacing w:val="20"/>
        </w:rPr>
        <w:t> </w:t>
      </w:r>
      <w:r>
        <w:rPr>
          <w:rFonts w:ascii="Cambria Math" w:hAnsi="Cambria Math" w:eastAsia="Cambria Math"/>
        </w:rPr>
        <w:t>𝑇𝑃</w:t>
      </w:r>
      <w:r>
        <w:rPr>
          <w:rFonts w:ascii="Cambria Math" w:hAnsi="Cambria Math" w:eastAsia="Cambria Math"/>
          <w:spacing w:val="30"/>
        </w:rPr>
        <w:t> </w:t>
      </w:r>
      <w:r>
        <w:rPr/>
        <w:t>doğru</w:t>
      </w:r>
      <w:r>
        <w:rPr>
          <w:spacing w:val="43"/>
        </w:rPr>
        <w:t> </w:t>
      </w:r>
      <w:r>
        <w:rPr/>
        <w:t>pozitif,</w:t>
      </w:r>
      <w:r>
        <w:rPr>
          <w:spacing w:val="24"/>
        </w:rPr>
        <w:t> </w:t>
      </w:r>
      <w:r>
        <w:rPr>
          <w:rFonts w:ascii="Cambria Math" w:hAnsi="Cambria Math" w:eastAsia="Cambria Math"/>
        </w:rPr>
        <w:t>𝐹𝑃</w:t>
      </w:r>
      <w:r>
        <w:rPr>
          <w:rFonts w:ascii="Cambria Math" w:hAnsi="Cambria Math" w:eastAsia="Cambria Math"/>
          <w:spacing w:val="32"/>
        </w:rPr>
        <w:t> </w:t>
      </w:r>
      <w:r>
        <w:rPr/>
        <w:t>yanlış</w:t>
      </w:r>
      <w:r>
        <w:rPr>
          <w:spacing w:val="44"/>
        </w:rPr>
        <w:t> </w:t>
      </w:r>
      <w:r>
        <w:rPr/>
        <w:t>pozitif</w:t>
      </w:r>
      <w:r>
        <w:rPr>
          <w:spacing w:val="41"/>
        </w:rPr>
        <w:t> </w:t>
      </w:r>
      <w:r>
        <w:rPr/>
        <w:t>piksel</w:t>
      </w:r>
      <w:r>
        <w:rPr>
          <w:spacing w:val="43"/>
        </w:rPr>
        <w:t> </w:t>
      </w:r>
      <w:r>
        <w:rPr>
          <w:spacing w:val="-2"/>
        </w:rPr>
        <w:t>sayısını</w:t>
      </w:r>
    </w:p>
    <w:p>
      <w:pPr>
        <w:pStyle w:val="BodyText"/>
        <w:spacing w:line="229" w:lineRule="exact"/>
        <w:ind w:left="55"/>
      </w:pPr>
      <w:r>
        <w:rPr/>
        <w:t>ifade</w:t>
      </w:r>
      <w:r>
        <w:rPr>
          <w:spacing w:val="-3"/>
        </w:rPr>
        <w:t> </w:t>
      </w:r>
      <w:r>
        <w:rPr>
          <w:spacing w:val="-2"/>
        </w:rPr>
        <w:t>eder.</w:t>
      </w:r>
    </w:p>
    <w:p>
      <w:pPr>
        <w:pStyle w:val="BodyText"/>
        <w:spacing w:before="50"/>
      </w:pPr>
    </w:p>
    <w:p>
      <w:pPr>
        <w:pStyle w:val="BodyText"/>
        <w:ind w:left="55"/>
        <w:jc w:val="both"/>
      </w:pPr>
      <w:r>
        <w:rPr/>
        <w:t>Arka</w:t>
      </w:r>
      <w:r>
        <w:rPr>
          <w:spacing w:val="-1"/>
        </w:rPr>
        <w:t> </w:t>
      </w:r>
      <w:r>
        <w:rPr/>
        <w:t>planı</w:t>
      </w:r>
      <w:r>
        <w:rPr>
          <w:spacing w:val="-2"/>
        </w:rPr>
        <w:t> </w:t>
      </w:r>
      <w:r>
        <w:rPr/>
        <w:t>doğru</w:t>
      </w:r>
      <w:r>
        <w:rPr>
          <w:spacing w:val="-1"/>
        </w:rPr>
        <w:t> </w:t>
      </w:r>
      <w:r>
        <w:rPr/>
        <w:t>arka</w:t>
      </w:r>
      <w:r>
        <w:rPr>
          <w:spacing w:val="-1"/>
        </w:rPr>
        <w:t> </w:t>
      </w:r>
      <w:r>
        <w:rPr/>
        <w:t>plan</w:t>
      </w:r>
      <w:r>
        <w:rPr>
          <w:spacing w:val="-1"/>
        </w:rPr>
        <w:t> </w:t>
      </w:r>
      <w:r>
        <w:rPr/>
        <w:t>olarak</w:t>
      </w:r>
      <w:r>
        <w:rPr>
          <w:spacing w:val="-1"/>
        </w:rPr>
        <w:t> </w:t>
      </w:r>
      <w:r>
        <w:rPr/>
        <w:t>bırakma </w:t>
      </w:r>
      <w:r>
        <w:rPr>
          <w:spacing w:val="-2"/>
        </w:rPr>
        <w:t>oranı:</w:t>
      </w:r>
    </w:p>
    <w:p>
      <w:pPr>
        <w:pStyle w:val="BodyText"/>
        <w:spacing w:before="27"/>
      </w:pPr>
    </w:p>
    <w:p>
      <w:pPr>
        <w:pStyle w:val="BodyText"/>
        <w:spacing w:line="192" w:lineRule="exact"/>
        <w:ind w:left="1258"/>
        <w:jc w:val="center"/>
        <w:rPr>
          <w:rFonts w:ascii="Cambria Math" w:eastAsia="Cambria Math"/>
        </w:rPr>
      </w:pPr>
      <w:r>
        <w:rPr>
          <w:rFonts w:ascii="Cambria Math" w:eastAsia="Cambria Math"/>
          <w:spacing w:val="-5"/>
        </w:rPr>
        <w:t>2𝑇𝑁</w:t>
      </w:r>
    </w:p>
    <w:p>
      <w:pPr>
        <w:spacing w:line="143" w:lineRule="exact" w:before="0"/>
        <w:ind w:left="0" w:right="809"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31712">
                <wp:simplePos x="0" y="0"/>
                <wp:positionH relativeFrom="page">
                  <wp:posOffset>5600065</wp:posOffset>
                </wp:positionH>
                <wp:positionV relativeFrom="paragraph">
                  <wp:posOffset>55939</wp:posOffset>
                </wp:positionV>
                <wp:extent cx="48260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82600" cy="6350"/>
                        </a:xfrm>
                        <a:custGeom>
                          <a:avLst/>
                          <a:gdLst/>
                          <a:ahLst/>
                          <a:cxnLst/>
                          <a:rect l="l" t="t" r="r" b="b"/>
                          <a:pathLst>
                            <a:path w="482600" h="6350">
                              <a:moveTo>
                                <a:pt x="482600" y="0"/>
                              </a:moveTo>
                              <a:lnTo>
                                <a:pt x="0" y="0"/>
                              </a:lnTo>
                              <a:lnTo>
                                <a:pt x="0" y="6350"/>
                              </a:lnTo>
                              <a:lnTo>
                                <a:pt x="482600" y="6350"/>
                              </a:lnTo>
                              <a:lnTo>
                                <a:pt x="482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0.950012pt;margin-top:4.404682pt;width:38pt;height:.5pt;mso-position-horizontal-relative:page;mso-position-vertical-relative:paragraph;z-index:15731712" id="docshape6" filled="true" fillcolor="#000000" stroked="false">
                <v:fill type="solid"/>
                <w10:wrap type="none"/>
              </v:rect>
            </w:pict>
          </mc:Fallback>
        </mc:AlternateContent>
      </w:r>
      <w:r>
        <w:rPr>
          <w:rFonts w:ascii="Cambria Math" w:eastAsia="Cambria Math"/>
          <w:sz w:val="20"/>
        </w:rPr>
        <w:t>𝑆𝑝𝑒𝑐𝑖𝑓𝑖𝑐𝑖𝑡𝑦</w:t>
      </w:r>
      <w:r>
        <w:rPr>
          <w:rFonts w:ascii="Cambria Math" w:eastAsia="Cambria Math"/>
          <w:spacing w:val="11"/>
          <w:sz w:val="20"/>
        </w:rPr>
        <w:t> </w:t>
      </w:r>
      <w:r>
        <w:rPr>
          <w:rFonts w:ascii="Cambria Math" w:eastAsia="Cambria Math"/>
          <w:spacing w:val="-10"/>
          <w:sz w:val="20"/>
        </w:rPr>
        <w:t>=</w:t>
      </w:r>
    </w:p>
    <w:p>
      <w:pPr>
        <w:spacing w:line="185" w:lineRule="exact" w:before="0"/>
        <w:ind w:left="1252" w:right="0" w:firstLine="0"/>
        <w:jc w:val="center"/>
        <w:rPr>
          <w:rFonts w:ascii="Cambria Math" w:eastAsia="Cambria Math"/>
          <w:sz w:val="20"/>
        </w:rPr>
      </w:pPr>
      <w:r>
        <w:rPr>
          <w:rFonts w:ascii="Cambria Math" w:eastAsia="Cambria Math"/>
          <w:sz w:val="20"/>
        </w:rPr>
        <w:t>𝑇𝑁</w:t>
      </w:r>
      <w:r>
        <w:rPr>
          <w:rFonts w:ascii="Cambria Math" w:eastAsia="Cambria Math"/>
          <w:spacing w:val="4"/>
          <w:sz w:val="20"/>
        </w:rPr>
        <w:t> </w:t>
      </w:r>
      <w:r>
        <w:rPr>
          <w:rFonts w:ascii="Cambria Math" w:eastAsia="Cambria Math"/>
          <w:sz w:val="20"/>
        </w:rPr>
        <w:t>+</w:t>
      </w:r>
      <w:r>
        <w:rPr>
          <w:rFonts w:ascii="Cambria Math" w:eastAsia="Cambria Math"/>
          <w:spacing w:val="1"/>
          <w:sz w:val="20"/>
        </w:rPr>
        <w:t> </w:t>
      </w:r>
      <w:r>
        <w:rPr>
          <w:rFonts w:ascii="Cambria Math" w:eastAsia="Cambria Math"/>
          <w:spacing w:val="-5"/>
          <w:sz w:val="20"/>
        </w:rPr>
        <w:t>𝐹𝑃</w:t>
      </w:r>
    </w:p>
    <w:p>
      <w:pPr>
        <w:pStyle w:val="BodyText"/>
        <w:spacing w:before="4"/>
        <w:rPr>
          <w:rFonts w:ascii="Cambria Math"/>
        </w:rPr>
      </w:pPr>
    </w:p>
    <w:p>
      <w:pPr>
        <w:pStyle w:val="BodyText"/>
        <w:ind w:left="55"/>
        <w:jc w:val="both"/>
      </w:pPr>
      <w:r>
        <w:rPr/>
        <w:t>Sınıf-ortalaması</w:t>
      </w:r>
      <w:r>
        <w:rPr>
          <w:spacing w:val="-2"/>
        </w:rPr>
        <w:t> </w:t>
      </w:r>
      <w:r>
        <w:rPr/>
        <w:t>mIoU</w:t>
      </w:r>
      <w:r>
        <w:rPr>
          <w:spacing w:val="-1"/>
        </w:rPr>
        <w:t> </w:t>
      </w:r>
      <w:r>
        <w:rPr/>
        <w:t>(Class-averaged</w:t>
      </w:r>
      <w:r>
        <w:rPr>
          <w:spacing w:val="-1"/>
        </w:rPr>
        <w:t> </w:t>
      </w:r>
      <w:r>
        <w:rPr>
          <w:spacing w:val="-4"/>
        </w:rPr>
        <w:t>mIoU)</w:t>
      </w:r>
    </w:p>
    <w:p>
      <w:pPr>
        <w:pStyle w:val="BodyText"/>
        <w:spacing w:before="52"/>
      </w:pPr>
    </w:p>
    <w:p>
      <w:pPr>
        <w:pStyle w:val="BodyText"/>
        <w:spacing w:line="234" w:lineRule="exact" w:before="1"/>
        <w:ind w:left="55"/>
        <w:rPr>
          <w:rFonts w:ascii="Cambria Math" w:hAnsi="Cambria Math" w:eastAsia="Cambria Math"/>
        </w:rPr>
      </w:pPr>
      <w:r>
        <w:rPr/>
        <w:t>Genel</w:t>
      </w:r>
      <w:r>
        <w:rPr>
          <w:spacing w:val="53"/>
        </w:rPr>
        <w:t> </w:t>
      </w:r>
      <w:r>
        <w:rPr/>
        <w:t>tanım,</w:t>
      </w:r>
      <w:r>
        <w:rPr>
          <w:spacing w:val="55"/>
        </w:rPr>
        <w:t> </w:t>
      </w:r>
      <w:r>
        <w:rPr/>
        <w:t>sınıfların</w:t>
      </w:r>
      <w:r>
        <w:rPr>
          <w:spacing w:val="56"/>
        </w:rPr>
        <w:t> </w:t>
      </w:r>
      <w:r>
        <w:rPr/>
        <w:t>IoU</w:t>
      </w:r>
      <w:r>
        <w:rPr>
          <w:spacing w:val="56"/>
        </w:rPr>
        <w:t> </w:t>
      </w:r>
      <w:r>
        <w:rPr/>
        <w:t>değerlerinin</w:t>
      </w:r>
      <w:r>
        <w:rPr>
          <w:spacing w:val="56"/>
        </w:rPr>
        <w:t> </w:t>
      </w:r>
      <w:r>
        <w:rPr/>
        <w:t>ortalamasıdır.</w:t>
      </w:r>
      <w:r>
        <w:rPr>
          <w:spacing w:val="42"/>
        </w:rPr>
        <w:t> </w:t>
      </w:r>
      <w:r>
        <w:rPr>
          <w:rFonts w:ascii="Cambria Math" w:hAnsi="Cambria Math" w:eastAsia="Cambria Math"/>
          <w:spacing w:val="-10"/>
        </w:rPr>
        <w:t>𝐾</w:t>
      </w:r>
    </w:p>
    <w:p>
      <w:pPr>
        <w:pStyle w:val="BodyText"/>
        <w:spacing w:line="229" w:lineRule="exact"/>
        <w:ind w:left="55"/>
      </w:pPr>
      <w:r>
        <w:rPr/>
        <w:t>sınıf</w:t>
      </w:r>
      <w:r>
        <w:rPr>
          <w:spacing w:val="-5"/>
        </w:rPr>
        <w:t> </w:t>
      </w:r>
      <w:r>
        <w:rPr>
          <w:spacing w:val="-2"/>
        </w:rPr>
        <w:t>için:</w:t>
      </w:r>
    </w:p>
    <w:p>
      <w:pPr>
        <w:pStyle w:val="BodyText"/>
        <w:spacing w:before="38"/>
      </w:pPr>
    </w:p>
    <w:p>
      <w:pPr>
        <w:spacing w:line="129" w:lineRule="exact" w:before="0"/>
        <w:ind w:left="0" w:right="567" w:firstLine="0"/>
        <w:jc w:val="center"/>
        <w:rPr>
          <w:rFonts w:ascii="Cambria Math" w:eastAsia="Cambria Math"/>
          <w:sz w:val="14"/>
        </w:rPr>
      </w:pPr>
      <w:r>
        <w:rPr>
          <w:rFonts w:ascii="Cambria Math" w:eastAsia="Cambria Math"/>
          <w:spacing w:val="-10"/>
          <w:w w:val="105"/>
          <w:sz w:val="14"/>
        </w:rPr>
        <w:t>𝐾</w:t>
      </w:r>
    </w:p>
    <w:p>
      <w:pPr>
        <w:pStyle w:val="BodyText"/>
        <w:tabs>
          <w:tab w:pos="2956" w:val="left" w:leader="none"/>
        </w:tabs>
        <w:spacing w:line="271" w:lineRule="exact"/>
        <w:ind w:left="1130"/>
        <w:rPr>
          <w:rFonts w:ascii="Cambria Math" w:hAnsi="Cambria Math" w:eastAsia="Cambria Math"/>
          <w:position w:val="11"/>
          <w:sz w:val="14"/>
        </w:rPr>
      </w:pPr>
      <w:r>
        <w:rPr>
          <w:rFonts w:ascii="Cambria Math" w:hAnsi="Cambria Math" w:eastAsia="Cambria Math"/>
          <w:position w:val="11"/>
          <w:sz w:val="14"/>
        </w:rPr>
        <mc:AlternateContent>
          <mc:Choice Requires="wps">
            <w:drawing>
              <wp:anchor distT="0" distB="0" distL="0" distR="0" allowOverlap="1" layoutInCell="1" locked="0" behindDoc="0" simplePos="0" relativeHeight="15732224">
                <wp:simplePos x="0" y="0"/>
                <wp:positionH relativeFrom="page">
                  <wp:posOffset>5056885</wp:posOffset>
                </wp:positionH>
                <wp:positionV relativeFrom="paragraph">
                  <wp:posOffset>152452</wp:posOffset>
                </wp:positionV>
                <wp:extent cx="92075"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2075" cy="6350"/>
                        </a:xfrm>
                        <a:custGeom>
                          <a:avLst/>
                          <a:gdLst/>
                          <a:ahLst/>
                          <a:cxnLst/>
                          <a:rect l="l" t="t" r="r" b="b"/>
                          <a:pathLst>
                            <a:path w="92075" h="6350">
                              <a:moveTo>
                                <a:pt x="92075" y="0"/>
                              </a:moveTo>
                              <a:lnTo>
                                <a:pt x="0" y="0"/>
                              </a:lnTo>
                              <a:lnTo>
                                <a:pt x="0" y="6349"/>
                              </a:lnTo>
                              <a:lnTo>
                                <a:pt x="92075" y="6349"/>
                              </a:lnTo>
                              <a:lnTo>
                                <a:pt x="9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8.179993pt;margin-top:12.004148pt;width:7.25pt;height:.5pt;mso-position-horizontal-relative:page;mso-position-vertical-relative:paragraph;z-index:15732224" id="docshape7" filled="true" fillcolor="#000000" stroked="false">
                <v:fill type="solid"/>
                <w10:wrap type="none"/>
              </v:rect>
            </w:pict>
          </mc:Fallback>
        </mc:AlternateContent>
      </w:r>
      <w:r>
        <w:rPr>
          <w:rFonts w:ascii="Cambria Math" w:hAnsi="Cambria Math" w:eastAsia="Cambria Math"/>
          <w:position w:val="11"/>
          <w:sz w:val="14"/>
        </w:rPr>
        <mc:AlternateContent>
          <mc:Choice Requires="wps">
            <w:drawing>
              <wp:anchor distT="0" distB="0" distL="0" distR="0" allowOverlap="1" layoutInCell="1" locked="0" behindDoc="0" simplePos="0" relativeHeight="15732736">
                <wp:simplePos x="0" y="0"/>
                <wp:positionH relativeFrom="page">
                  <wp:posOffset>5374385</wp:posOffset>
                </wp:positionH>
                <wp:positionV relativeFrom="paragraph">
                  <wp:posOffset>152452</wp:posOffset>
                </wp:positionV>
                <wp:extent cx="930910"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30910" cy="6350"/>
                        </a:xfrm>
                        <a:custGeom>
                          <a:avLst/>
                          <a:gdLst/>
                          <a:ahLst/>
                          <a:cxnLst/>
                          <a:rect l="l" t="t" r="r" b="b"/>
                          <a:pathLst>
                            <a:path w="930910" h="6350">
                              <a:moveTo>
                                <a:pt x="930592" y="0"/>
                              </a:moveTo>
                              <a:lnTo>
                                <a:pt x="0" y="0"/>
                              </a:lnTo>
                              <a:lnTo>
                                <a:pt x="0" y="6349"/>
                              </a:lnTo>
                              <a:lnTo>
                                <a:pt x="930592" y="6349"/>
                              </a:lnTo>
                              <a:lnTo>
                                <a:pt x="930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3.179993pt;margin-top:12.004148pt;width:73.275pt;height:.5pt;mso-position-horizontal-relative:page;mso-position-vertical-relative:paragraph;z-index:15732736" id="docshape8" filled="true" fillcolor="#000000" stroked="false">
                <v:fill type="solid"/>
                <w10:wrap type="none"/>
              </v:rect>
            </w:pict>
          </mc:Fallback>
        </mc:AlternateContent>
      </w:r>
      <w:r>
        <w:rPr>
          <w:rFonts w:ascii="Cambria Math" w:hAnsi="Cambria Math" w:eastAsia="Cambria Math"/>
          <w:w w:val="105"/>
        </w:rPr>
        <w:t>𝑚𝐼𝑜𝑈</w:t>
      </w:r>
      <w:r>
        <w:rPr>
          <w:rFonts w:ascii="Cambria Math" w:hAnsi="Cambria Math" w:eastAsia="Cambria Math"/>
          <w:spacing w:val="-3"/>
          <w:w w:val="105"/>
        </w:rPr>
        <w:t> </w:t>
      </w:r>
      <w:r>
        <w:rPr>
          <w:rFonts w:ascii="Cambria Math" w:hAnsi="Cambria Math" w:eastAsia="Cambria Math"/>
          <w:w w:val="105"/>
        </w:rPr>
        <w:t>=</w:t>
      </w:r>
      <w:r>
        <w:rPr>
          <w:rFonts w:ascii="Cambria Math" w:hAnsi="Cambria Math" w:eastAsia="Cambria Math"/>
          <w:spacing w:val="10"/>
          <w:w w:val="105"/>
        </w:rPr>
        <w:t> </w:t>
      </w:r>
      <w:r>
        <w:rPr>
          <w:rFonts w:ascii="Cambria Math" w:hAnsi="Cambria Math" w:eastAsia="Cambria Math"/>
          <w:w w:val="105"/>
          <w:position w:val="15"/>
        </w:rPr>
        <w:t>1</w:t>
      </w:r>
      <w:r>
        <w:rPr>
          <w:rFonts w:ascii="Cambria Math" w:hAnsi="Cambria Math" w:eastAsia="Cambria Math"/>
          <w:spacing w:val="5"/>
          <w:w w:val="105"/>
          <w:position w:val="15"/>
        </w:rPr>
        <w:t> </w:t>
      </w:r>
      <w:r>
        <w:rPr>
          <w:rFonts w:ascii="Cambria Math" w:hAnsi="Cambria Math" w:eastAsia="Cambria Math"/>
          <w:spacing w:val="-10"/>
          <w:w w:val="105"/>
        </w:rPr>
        <w:t>∑</w:t>
      </w:r>
      <w:r>
        <w:rPr>
          <w:rFonts w:ascii="Cambria Math" w:hAnsi="Cambria Math" w:eastAsia="Cambria Math"/>
        </w:rPr>
        <w:tab/>
      </w:r>
      <w:r>
        <w:rPr>
          <w:rFonts w:ascii="Cambria Math" w:hAnsi="Cambria Math" w:eastAsia="Cambria Math"/>
          <w:spacing w:val="-5"/>
          <w:w w:val="110"/>
          <w:position w:val="15"/>
        </w:rPr>
        <w:t>𝑇𝑃</w:t>
      </w:r>
      <w:r>
        <w:rPr>
          <w:rFonts w:ascii="Cambria Math" w:hAnsi="Cambria Math" w:eastAsia="Cambria Math"/>
          <w:spacing w:val="-5"/>
          <w:w w:val="110"/>
          <w:position w:val="11"/>
          <w:sz w:val="14"/>
        </w:rPr>
        <w:t>𝑘</w:t>
      </w:r>
    </w:p>
    <w:p>
      <w:pPr>
        <w:pStyle w:val="BodyText"/>
        <w:spacing w:after="0" w:line="271" w:lineRule="exact"/>
        <w:rPr>
          <w:rFonts w:ascii="Cambria Math" w:hAnsi="Cambria Math" w:eastAsia="Cambria Math"/>
          <w:position w:val="11"/>
          <w:sz w:val="14"/>
        </w:rPr>
        <w:sectPr>
          <w:pgSz w:w="11910" w:h="16840"/>
          <w:pgMar w:top="1000" w:bottom="280" w:left="850" w:right="850"/>
          <w:cols w:num="2" w:equalWidth="0">
            <w:col w:w="4933" w:space="299"/>
            <w:col w:w="4978"/>
          </w:cols>
        </w:sectPr>
      </w:pPr>
    </w:p>
    <w:p>
      <w:pPr>
        <w:pStyle w:val="BodyText"/>
        <w:ind w:left="55"/>
      </w:pPr>
      <w:r>
        <w:rPr/>
        <w:t>Intersection-over-Union</w:t>
      </w:r>
      <w:r>
        <w:rPr>
          <w:spacing w:val="-2"/>
        </w:rPr>
        <w:t> </w:t>
      </w:r>
      <w:r>
        <w:rPr/>
        <w:t>(IoU)</w:t>
      </w:r>
      <w:r>
        <w:rPr>
          <w:spacing w:val="-3"/>
        </w:rPr>
        <w:t> </w:t>
      </w:r>
      <w:r>
        <w:rPr/>
        <w:t>ya</w:t>
      </w:r>
      <w:r>
        <w:rPr>
          <w:spacing w:val="-1"/>
        </w:rPr>
        <w:t> </w:t>
      </w:r>
      <w:r>
        <w:rPr/>
        <w:t>da</w:t>
      </w:r>
      <w:r>
        <w:rPr>
          <w:spacing w:val="-1"/>
        </w:rPr>
        <w:t> </w:t>
      </w:r>
      <w:r>
        <w:rPr/>
        <w:t>Jaccard</w:t>
      </w:r>
      <w:r>
        <w:rPr>
          <w:spacing w:val="-2"/>
        </w:rPr>
        <w:t> </w:t>
      </w:r>
      <w:r>
        <w:rPr/>
        <w:t>indeksi,</w:t>
      </w:r>
      <w:r>
        <w:rPr>
          <w:spacing w:val="-2"/>
        </w:rPr>
        <w:t> </w:t>
      </w:r>
      <w:r>
        <w:rPr/>
        <w:t>tahmin edilen</w:t>
      </w:r>
      <w:r>
        <w:rPr>
          <w:spacing w:val="57"/>
        </w:rPr>
        <w:t> </w:t>
      </w:r>
      <w:r>
        <w:rPr/>
        <w:t>maske</w:t>
      </w:r>
      <w:r>
        <w:rPr>
          <w:spacing w:val="57"/>
        </w:rPr>
        <w:t> </w:t>
      </w:r>
      <w:r>
        <w:rPr/>
        <w:t>ile</w:t>
      </w:r>
      <w:r>
        <w:rPr>
          <w:spacing w:val="58"/>
        </w:rPr>
        <w:t> </w:t>
      </w:r>
      <w:r>
        <w:rPr/>
        <w:t>yer-gerçek</w:t>
      </w:r>
      <w:r>
        <w:rPr>
          <w:spacing w:val="57"/>
        </w:rPr>
        <w:t> </w:t>
      </w:r>
      <w:r>
        <w:rPr/>
        <w:t>maskesinin</w:t>
      </w:r>
      <w:r>
        <w:rPr>
          <w:spacing w:val="57"/>
        </w:rPr>
        <w:t> </w:t>
      </w:r>
      <w:r>
        <w:rPr/>
        <w:t>kesişim</w:t>
      </w:r>
      <w:r>
        <w:rPr>
          <w:spacing w:val="57"/>
        </w:rPr>
        <w:t> </w:t>
      </w:r>
      <w:r>
        <w:rPr>
          <w:spacing w:val="-2"/>
        </w:rPr>
        <w:t>alanının</w:t>
      </w:r>
    </w:p>
    <w:p>
      <w:pPr>
        <w:spacing w:line="180" w:lineRule="exact" w:before="0"/>
        <w:ind w:left="55" w:right="0" w:firstLine="0"/>
        <w:jc w:val="left"/>
        <w:rPr>
          <w:rFonts w:ascii="Cambria Math" w:eastAsia="Cambria Math"/>
          <w:sz w:val="20"/>
        </w:rPr>
      </w:pPr>
      <w:r>
        <w:rPr/>
        <w:br w:type="column"/>
      </w:r>
      <w:r>
        <w:rPr>
          <w:rFonts w:ascii="Cambria Math" w:eastAsia="Cambria Math"/>
          <w:spacing w:val="-10"/>
          <w:sz w:val="20"/>
        </w:rPr>
        <w:t>𝐾</w:t>
      </w:r>
    </w:p>
    <w:p>
      <w:pPr>
        <w:spacing w:line="135" w:lineRule="exact" w:before="0"/>
        <w:ind w:left="235" w:right="0" w:firstLine="0"/>
        <w:jc w:val="left"/>
        <w:rPr>
          <w:rFonts w:ascii="Cambria Math" w:eastAsia="Cambria Math"/>
          <w:sz w:val="14"/>
        </w:rPr>
      </w:pPr>
      <w:r>
        <w:rPr>
          <w:rFonts w:ascii="Cambria Math" w:eastAsia="Cambria Math"/>
          <w:spacing w:val="-5"/>
          <w:sz w:val="14"/>
        </w:rPr>
        <w:t>𝐾=1</w:t>
      </w:r>
    </w:p>
    <w:p>
      <w:pPr>
        <w:spacing w:line="208" w:lineRule="exact" w:before="0"/>
        <w:ind w:left="0" w:right="0" w:firstLine="0"/>
        <w:jc w:val="left"/>
        <w:rPr>
          <w:rFonts w:ascii="Cambria Math" w:eastAsia="Cambria Math"/>
          <w:sz w:val="20"/>
        </w:rPr>
      </w:pPr>
      <w:r>
        <w:rPr/>
        <w:br w:type="column"/>
      </w:r>
      <w:r>
        <w:rPr>
          <w:rFonts w:ascii="Cambria Math" w:eastAsia="Cambria Math"/>
          <w:spacing w:val="-2"/>
          <w:w w:val="105"/>
          <w:sz w:val="20"/>
        </w:rPr>
        <w:t>𝑇𝑃</w:t>
      </w:r>
      <w:r>
        <w:rPr>
          <w:rFonts w:ascii="Cambria Math" w:eastAsia="Cambria Math"/>
          <w:spacing w:val="-2"/>
          <w:w w:val="105"/>
          <w:sz w:val="20"/>
          <w:vertAlign w:val="subscript"/>
        </w:rPr>
        <w:t>𝑘</w:t>
      </w:r>
      <w:r>
        <w:rPr>
          <w:rFonts w:ascii="Cambria Math" w:eastAsia="Cambria Math"/>
          <w:spacing w:val="-7"/>
          <w:w w:val="105"/>
          <w:sz w:val="20"/>
          <w:vertAlign w:val="baseline"/>
        </w:rPr>
        <w:t> </w:t>
      </w:r>
      <w:r>
        <w:rPr>
          <w:rFonts w:ascii="Cambria Math" w:eastAsia="Cambria Math"/>
          <w:spacing w:val="-2"/>
          <w:w w:val="105"/>
          <w:sz w:val="20"/>
          <w:vertAlign w:val="baseline"/>
        </w:rPr>
        <w:t>+</w:t>
      </w:r>
      <w:r>
        <w:rPr>
          <w:rFonts w:ascii="Cambria Math" w:eastAsia="Cambria Math"/>
          <w:spacing w:val="-10"/>
          <w:w w:val="105"/>
          <w:sz w:val="20"/>
          <w:vertAlign w:val="baseline"/>
        </w:rPr>
        <w:t> </w:t>
      </w:r>
      <w:r>
        <w:rPr>
          <w:rFonts w:ascii="Cambria Math" w:eastAsia="Cambria Math"/>
          <w:spacing w:val="-2"/>
          <w:w w:val="105"/>
          <w:sz w:val="20"/>
          <w:vertAlign w:val="baseline"/>
        </w:rPr>
        <w:t>𝐹𝑃</w:t>
      </w:r>
      <w:r>
        <w:rPr>
          <w:rFonts w:ascii="Cambria Math" w:eastAsia="Cambria Math"/>
          <w:spacing w:val="-2"/>
          <w:w w:val="105"/>
          <w:sz w:val="20"/>
          <w:vertAlign w:val="subscript"/>
        </w:rPr>
        <w:t>𝑘</w:t>
      </w:r>
      <w:r>
        <w:rPr>
          <w:rFonts w:ascii="Cambria Math" w:eastAsia="Cambria Math"/>
          <w:spacing w:val="-3"/>
          <w:w w:val="105"/>
          <w:sz w:val="20"/>
          <w:vertAlign w:val="baseline"/>
        </w:rPr>
        <w:t> </w:t>
      </w:r>
      <w:r>
        <w:rPr>
          <w:rFonts w:ascii="Cambria Math" w:eastAsia="Cambria Math"/>
          <w:spacing w:val="-2"/>
          <w:w w:val="105"/>
          <w:sz w:val="20"/>
          <w:vertAlign w:val="baseline"/>
        </w:rPr>
        <w:t>+</w:t>
      </w:r>
      <w:r>
        <w:rPr>
          <w:rFonts w:ascii="Cambria Math" w:eastAsia="Cambria Math"/>
          <w:spacing w:val="-10"/>
          <w:w w:val="105"/>
          <w:sz w:val="20"/>
          <w:vertAlign w:val="baseline"/>
        </w:rPr>
        <w:t> </w:t>
      </w:r>
      <w:r>
        <w:rPr>
          <w:rFonts w:ascii="Cambria Math" w:eastAsia="Cambria Math"/>
          <w:spacing w:val="-5"/>
          <w:w w:val="105"/>
          <w:sz w:val="20"/>
          <w:vertAlign w:val="baseline"/>
        </w:rPr>
        <w:t>𝐹𝑁</w:t>
      </w:r>
      <w:r>
        <w:rPr>
          <w:rFonts w:ascii="Cambria Math" w:eastAsia="Cambria Math"/>
          <w:spacing w:val="-5"/>
          <w:w w:val="105"/>
          <w:sz w:val="20"/>
          <w:vertAlign w:val="subscript"/>
        </w:rPr>
        <w:t>𝑘</w:t>
      </w:r>
    </w:p>
    <w:p>
      <w:pPr>
        <w:spacing w:after="0" w:line="208" w:lineRule="exact"/>
        <w:jc w:val="left"/>
        <w:rPr>
          <w:rFonts w:ascii="Cambria Math" w:eastAsia="Cambria Math"/>
          <w:sz w:val="20"/>
        </w:rPr>
        <w:sectPr>
          <w:type w:val="continuous"/>
          <w:pgSz w:w="11910" w:h="16840"/>
          <w:pgMar w:top="480" w:bottom="280" w:left="850" w:right="850"/>
          <w:cols w:num="3" w:equalWidth="0">
            <w:col w:w="4924" w:space="2134"/>
            <w:col w:w="522" w:space="33"/>
            <w:col w:w="2597"/>
          </w:cols>
        </w:sectPr>
      </w:pPr>
    </w:p>
    <w:p>
      <w:pPr>
        <w:pStyle w:val="BodyText"/>
        <w:spacing w:line="242" w:lineRule="auto"/>
        <w:ind w:left="55"/>
        <w:jc w:val="both"/>
      </w:pPr>
      <w:r>
        <w:rPr/>
        <w:t>birleşim alanına oranını ölçen, Dice’a göre daha “katı” bir örtüşme metriğidir. Segmentasyonun </w:t>
      </w:r>
      <w:r>
        <w:rPr>
          <w:rFonts w:ascii="Cambria Math" w:hAnsi="Cambria Math" w:eastAsia="Cambria Math"/>
        </w:rPr>
        <w:t>𝐹𝑁 </w:t>
      </w:r>
      <w:r>
        <w:rPr/>
        <w:t>hem de fazla yakalama</w:t>
      </w:r>
      <w:r>
        <w:rPr>
          <w:spacing w:val="70"/>
        </w:rPr>
        <w:t> </w:t>
      </w:r>
      <w:r>
        <w:rPr>
          <w:rFonts w:ascii="Cambria Math" w:hAnsi="Cambria Math" w:eastAsia="Cambria Math"/>
        </w:rPr>
        <w:t>𝐹𝑃</w:t>
      </w:r>
      <w:r>
        <w:rPr>
          <w:rFonts w:ascii="Cambria Math" w:hAnsi="Cambria Math" w:eastAsia="Cambria Math"/>
          <w:spacing w:val="38"/>
        </w:rPr>
        <w:t> </w:t>
      </w:r>
      <w:r>
        <w:rPr/>
        <w:t>hatalarına</w:t>
      </w:r>
      <w:r>
        <w:rPr>
          <w:spacing w:val="68"/>
          <w:w w:val="150"/>
        </w:rPr>
        <w:t> </w:t>
      </w:r>
      <w:r>
        <w:rPr/>
        <w:t>duyarlıdır</w:t>
      </w:r>
      <w:r>
        <w:rPr>
          <w:spacing w:val="67"/>
          <w:w w:val="150"/>
        </w:rPr>
        <w:t> </w:t>
      </w:r>
      <w:r>
        <w:rPr/>
        <w:t>ve</w:t>
      </w:r>
      <w:r>
        <w:rPr>
          <w:spacing w:val="69"/>
          <w:w w:val="150"/>
        </w:rPr>
        <w:t> </w:t>
      </w:r>
      <w:r>
        <w:rPr/>
        <w:t>piksel</w:t>
      </w:r>
      <w:r>
        <w:rPr>
          <w:spacing w:val="68"/>
          <w:w w:val="150"/>
        </w:rPr>
        <w:t> </w:t>
      </w:r>
      <w:r>
        <w:rPr>
          <w:spacing w:val="-2"/>
        </w:rPr>
        <w:t>düzeyinde</w:t>
      </w:r>
    </w:p>
    <w:p>
      <w:pPr>
        <w:pStyle w:val="BodyText"/>
        <w:tabs>
          <w:tab w:pos="790" w:val="left" w:leader="none"/>
          <w:tab w:pos="2496" w:val="left" w:leader="none"/>
          <w:tab w:pos="3391" w:val="left" w:leader="none"/>
        </w:tabs>
        <w:spacing w:line="234" w:lineRule="exact" w:before="104"/>
        <w:ind w:left="55"/>
      </w:pPr>
      <w:r>
        <w:rPr/>
        <w:br w:type="column"/>
      </w:r>
      <w:r>
        <w:rPr>
          <w:spacing w:val="-2"/>
        </w:rPr>
        <w:t>İkili</w:t>
      </w:r>
      <w:r>
        <w:rPr/>
        <w:tab/>
      </w:r>
      <w:r>
        <w:rPr>
          <w:spacing w:val="-2"/>
        </w:rPr>
        <w:t>segmentasyonda</w:t>
      </w:r>
      <w:r>
        <w:rPr/>
        <w:tab/>
      </w:r>
      <w:r>
        <w:rPr>
          <w:rFonts w:ascii="Cambria Math" w:hAnsi="Cambria Math" w:eastAsia="Cambria Math"/>
        </w:rPr>
        <w:t>𝐾</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10"/>
        </w:rPr>
        <w:t>2</w:t>
      </w:r>
      <w:r>
        <w:rPr>
          <w:rFonts w:ascii="Cambria Math" w:hAnsi="Cambria Math" w:eastAsia="Cambria Math"/>
        </w:rPr>
        <w:tab/>
      </w:r>
      <w:r>
        <w:rPr>
          <w:spacing w:val="-2"/>
        </w:rPr>
        <w:t>(foreground=polip,</w:t>
      </w:r>
    </w:p>
    <w:p>
      <w:pPr>
        <w:pStyle w:val="BodyText"/>
        <w:spacing w:line="229" w:lineRule="exact"/>
        <w:ind w:left="55"/>
      </w:pPr>
      <w:r>
        <w:rPr/>
        <w:t>background)</w:t>
      </w:r>
      <w:r>
        <w:rPr>
          <w:spacing w:val="-4"/>
        </w:rPr>
        <w:t> </w:t>
      </w:r>
      <w:r>
        <w:rPr>
          <w:spacing w:val="-2"/>
        </w:rPr>
        <w:t>olduğundan:</w:t>
      </w:r>
    </w:p>
    <w:p>
      <w:pPr>
        <w:pStyle w:val="BodyText"/>
        <w:spacing w:after="0" w:line="229" w:lineRule="exact"/>
        <w:sectPr>
          <w:type w:val="continuous"/>
          <w:pgSz w:w="11910" w:h="16840"/>
          <w:pgMar w:top="480" w:bottom="280" w:left="850" w:right="850"/>
          <w:cols w:num="2" w:equalWidth="0">
            <w:col w:w="4925" w:space="307"/>
            <w:col w:w="4978"/>
          </w:cols>
        </w:sectPr>
      </w:pPr>
    </w:p>
    <w:p>
      <w:pPr>
        <w:pStyle w:val="BodyText"/>
      </w:pPr>
    </w:p>
    <w:p>
      <w:pPr>
        <w:pStyle w:val="BodyText"/>
        <w:spacing w:before="30"/>
      </w:pPr>
    </w:p>
    <w:p>
      <w:pPr>
        <w:spacing w:before="0"/>
        <w:ind w:left="0" w:right="0" w:firstLine="0"/>
        <w:jc w:val="right"/>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33760">
                <wp:simplePos x="0" y="0"/>
                <wp:positionH relativeFrom="page">
                  <wp:posOffset>1912366</wp:posOffset>
                </wp:positionH>
                <wp:positionV relativeFrom="paragraph">
                  <wp:posOffset>82955</wp:posOffset>
                </wp:positionV>
                <wp:extent cx="8959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895985" cy="6350"/>
                        </a:xfrm>
                        <a:custGeom>
                          <a:avLst/>
                          <a:gdLst/>
                          <a:ahLst/>
                          <a:cxnLst/>
                          <a:rect l="l" t="t" r="r" b="b"/>
                          <a:pathLst>
                            <a:path w="895985" h="6350">
                              <a:moveTo>
                                <a:pt x="895667" y="0"/>
                              </a:moveTo>
                              <a:lnTo>
                                <a:pt x="0" y="0"/>
                              </a:lnTo>
                              <a:lnTo>
                                <a:pt x="0" y="6350"/>
                              </a:lnTo>
                              <a:lnTo>
                                <a:pt x="895667" y="6350"/>
                              </a:lnTo>
                              <a:lnTo>
                                <a:pt x="895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580002pt;margin-top:6.531953pt;width:70.525pt;height:.5pt;mso-position-horizontal-relative:page;mso-position-vertical-relative:paragraph;z-index:15733760" id="docshape9" filled="true" fillcolor="#000000" stroked="false">
                <v:fill type="solid"/>
                <w10:wrap type="none"/>
              </v:rect>
            </w:pict>
          </mc:Fallback>
        </mc:AlternateContent>
      </w:r>
      <w:r>
        <w:rPr>
          <w:rFonts w:ascii="Cambria Math" w:eastAsia="Cambria Math"/>
          <w:sz w:val="20"/>
        </w:rPr>
        <w:t>𝑚𝐼𝑜𝑈</w:t>
      </w:r>
      <w:r>
        <w:rPr>
          <w:rFonts w:ascii="Cambria Math" w:eastAsia="Cambria Math"/>
          <w:spacing w:val="12"/>
          <w:sz w:val="20"/>
        </w:rPr>
        <w:t> </w:t>
      </w:r>
      <w:r>
        <w:rPr>
          <w:rFonts w:ascii="Cambria Math" w:eastAsia="Cambria Math"/>
          <w:spacing w:val="-12"/>
          <w:sz w:val="20"/>
        </w:rPr>
        <w:t>=</w:t>
      </w:r>
    </w:p>
    <w:p>
      <w:pPr>
        <w:spacing w:line="240" w:lineRule="auto" w:before="0"/>
        <w:rPr>
          <w:rFonts w:ascii="Cambria Math"/>
          <w:sz w:val="14"/>
        </w:rPr>
      </w:pPr>
      <w:r>
        <w:rPr/>
        <w:br w:type="column"/>
      </w:r>
      <w:r>
        <w:rPr>
          <w:rFonts w:ascii="Cambria Math"/>
          <w:sz w:val="14"/>
        </w:rPr>
      </w:r>
    </w:p>
    <w:p>
      <w:pPr>
        <w:pStyle w:val="BodyText"/>
        <w:spacing w:before="7"/>
        <w:rPr>
          <w:rFonts w:ascii="Cambria Math"/>
          <w:sz w:val="14"/>
        </w:rPr>
      </w:pPr>
    </w:p>
    <w:p>
      <w:pPr>
        <w:spacing w:line="268" w:lineRule="auto" w:before="0"/>
        <w:ind w:left="666" w:right="38" w:hanging="650"/>
        <w:jc w:val="left"/>
        <w:rPr>
          <w:rFonts w:ascii="Cambria Math" w:eastAsia="Cambria Math"/>
          <w:sz w:val="20"/>
        </w:rPr>
      </w:pPr>
      <w:r>
        <w:rPr>
          <w:rFonts w:ascii="Cambria Math" w:eastAsia="Cambria Math"/>
          <w:spacing w:val="-2"/>
          <w:w w:val="105"/>
          <w:sz w:val="20"/>
        </w:rPr>
        <w:t>𝐼𝑜𝑈</w:t>
      </w:r>
      <w:r>
        <w:rPr>
          <w:rFonts w:ascii="Cambria Math" w:eastAsia="Cambria Math"/>
          <w:spacing w:val="-2"/>
          <w:w w:val="105"/>
          <w:position w:val="-3"/>
          <w:sz w:val="14"/>
        </w:rPr>
        <w:t>𝑝𝑜𝑙𝑖𝑝</w:t>
      </w:r>
      <w:r>
        <w:rPr>
          <w:rFonts w:ascii="Cambria Math" w:eastAsia="Cambria Math"/>
          <w:w w:val="105"/>
          <w:position w:val="-3"/>
          <w:sz w:val="14"/>
        </w:rPr>
        <w:t> </w:t>
      </w:r>
      <w:r>
        <w:rPr>
          <w:rFonts w:ascii="Cambria Math" w:eastAsia="Cambria Math"/>
          <w:spacing w:val="-2"/>
          <w:w w:val="105"/>
          <w:sz w:val="20"/>
        </w:rPr>
        <w:t>+</w:t>
      </w:r>
      <w:r>
        <w:rPr>
          <w:rFonts w:ascii="Cambria Math" w:eastAsia="Cambria Math"/>
          <w:spacing w:val="-9"/>
          <w:w w:val="105"/>
          <w:sz w:val="20"/>
        </w:rPr>
        <w:t> </w:t>
      </w:r>
      <w:r>
        <w:rPr>
          <w:rFonts w:ascii="Cambria Math" w:eastAsia="Cambria Math"/>
          <w:spacing w:val="-2"/>
          <w:w w:val="105"/>
          <w:sz w:val="20"/>
        </w:rPr>
        <w:t>𝐼𝑜𝑈</w:t>
      </w:r>
      <w:r>
        <w:rPr>
          <w:rFonts w:ascii="Cambria Math" w:eastAsia="Cambria Math"/>
          <w:spacing w:val="-2"/>
          <w:w w:val="105"/>
          <w:position w:val="-3"/>
          <w:sz w:val="14"/>
        </w:rPr>
        <w:t>𝑏𝑔</w:t>
      </w:r>
      <w:r>
        <w:rPr>
          <w:rFonts w:ascii="Cambria Math" w:eastAsia="Cambria Math"/>
          <w:spacing w:val="40"/>
          <w:w w:val="105"/>
          <w:position w:val="-3"/>
          <w:sz w:val="14"/>
        </w:rPr>
        <w:t> </w:t>
      </w:r>
      <w:r>
        <w:rPr>
          <w:rFonts w:ascii="Cambria Math" w:eastAsia="Cambria Math"/>
          <w:spacing w:val="-10"/>
          <w:w w:val="105"/>
          <w:sz w:val="20"/>
        </w:rPr>
        <w:t>2</w:t>
      </w:r>
    </w:p>
    <w:p>
      <w:pPr>
        <w:pStyle w:val="BodyText"/>
        <w:spacing w:before="79"/>
        <w:ind w:left="1411" w:right="48"/>
        <w:jc w:val="both"/>
      </w:pPr>
      <w:r>
        <w:rPr/>
        <w:br w:type="column"/>
      </w:r>
      <w:r>
        <w:rPr/>
        <w:t>kapsamında GPU hızlandırması etkinleştirilmiş, sistem tarafında</w:t>
      </w:r>
      <w:r>
        <w:rPr>
          <w:spacing w:val="-10"/>
        </w:rPr>
        <w:t> </w:t>
      </w:r>
      <w:r>
        <w:rPr/>
        <w:t>yaklaşık</w:t>
      </w:r>
      <w:r>
        <w:rPr>
          <w:spacing w:val="-11"/>
        </w:rPr>
        <w:t> </w:t>
      </w:r>
      <w:r>
        <w:rPr/>
        <w:t>16</w:t>
      </w:r>
      <w:r>
        <w:rPr>
          <w:spacing w:val="-10"/>
        </w:rPr>
        <w:t> </w:t>
      </w:r>
      <w:r>
        <w:rPr/>
        <w:t>GB</w:t>
      </w:r>
      <w:r>
        <w:rPr>
          <w:spacing w:val="-10"/>
        </w:rPr>
        <w:t> </w:t>
      </w:r>
      <w:r>
        <w:rPr/>
        <w:t>Colab</w:t>
      </w:r>
      <w:r>
        <w:rPr>
          <w:spacing w:val="-10"/>
        </w:rPr>
        <w:t> </w:t>
      </w:r>
      <w:r>
        <w:rPr/>
        <w:t>RAM</w:t>
      </w:r>
      <w:r>
        <w:rPr>
          <w:spacing w:val="-10"/>
        </w:rPr>
        <w:t> </w:t>
      </w:r>
      <w:r>
        <w:rPr/>
        <w:t>ile</w:t>
      </w:r>
      <w:r>
        <w:rPr>
          <w:spacing w:val="-10"/>
        </w:rPr>
        <w:t> </w:t>
      </w:r>
      <w:r>
        <w:rPr/>
        <w:t>çalışma</w:t>
      </w:r>
      <w:r>
        <w:rPr>
          <w:spacing w:val="-10"/>
        </w:rPr>
        <w:t> </w:t>
      </w:r>
      <w:r>
        <w:rPr/>
        <w:t>yürütülmüş ve yerel çalışma belleği/kapasite bilgisi olarak yaklaşık 12 GB</w:t>
      </w:r>
      <w:r>
        <w:rPr>
          <w:spacing w:val="-3"/>
        </w:rPr>
        <w:t> </w:t>
      </w:r>
      <w:r>
        <w:rPr/>
        <w:t>sistem</w:t>
      </w:r>
      <w:r>
        <w:rPr>
          <w:spacing w:val="-4"/>
        </w:rPr>
        <w:t> </w:t>
      </w:r>
      <w:r>
        <w:rPr/>
        <w:t>RAM</w:t>
      </w:r>
      <w:r>
        <w:rPr>
          <w:spacing w:val="-3"/>
        </w:rPr>
        <w:t> </w:t>
      </w:r>
      <w:r>
        <w:rPr/>
        <w:t>ve</w:t>
      </w:r>
      <w:r>
        <w:rPr>
          <w:spacing w:val="-3"/>
        </w:rPr>
        <w:t> </w:t>
      </w:r>
      <w:r>
        <w:rPr/>
        <w:t>112.6</w:t>
      </w:r>
      <w:r>
        <w:rPr>
          <w:spacing w:val="-4"/>
        </w:rPr>
        <w:t> </w:t>
      </w:r>
      <w:r>
        <w:rPr/>
        <w:t>GB</w:t>
      </w:r>
      <w:r>
        <w:rPr>
          <w:spacing w:val="-3"/>
        </w:rPr>
        <w:t> </w:t>
      </w:r>
      <w:r>
        <w:rPr/>
        <w:t>depolama</w:t>
      </w:r>
      <w:r>
        <w:rPr>
          <w:spacing w:val="-3"/>
        </w:rPr>
        <w:t> </w:t>
      </w:r>
      <w:r>
        <w:rPr/>
        <w:t>alanı</w:t>
      </w:r>
      <w:r>
        <w:rPr>
          <w:spacing w:val="-4"/>
        </w:rPr>
        <w:t> </w:t>
      </w:r>
      <w:r>
        <w:rPr/>
        <w:t>kullanılmıştır. Modellerin eğitimi 15 epoch boyunca sürdürülmüş; eğitim süreci</w:t>
      </w:r>
      <w:r>
        <w:rPr>
          <w:spacing w:val="-7"/>
        </w:rPr>
        <w:t> </w:t>
      </w:r>
      <w:r>
        <w:rPr/>
        <w:t>boyunca</w:t>
      </w:r>
      <w:r>
        <w:rPr>
          <w:spacing w:val="-4"/>
        </w:rPr>
        <w:t> </w:t>
      </w:r>
      <w:r>
        <w:rPr/>
        <w:t>mini-batch</w:t>
      </w:r>
      <w:r>
        <w:rPr>
          <w:spacing w:val="-5"/>
        </w:rPr>
        <w:t> </w:t>
      </w:r>
      <w:r>
        <w:rPr/>
        <w:t>tabanlı</w:t>
      </w:r>
      <w:r>
        <w:rPr>
          <w:spacing w:val="-6"/>
        </w:rPr>
        <w:t> </w:t>
      </w:r>
      <w:r>
        <w:rPr/>
        <w:t>optimizasyon</w:t>
      </w:r>
      <w:r>
        <w:rPr>
          <w:spacing w:val="-5"/>
        </w:rPr>
        <w:t> </w:t>
      </w:r>
      <w:r>
        <w:rPr>
          <w:spacing w:val="-2"/>
        </w:rPr>
        <w:t>uygulanarak</w:t>
      </w:r>
    </w:p>
    <w:p>
      <w:pPr>
        <w:pStyle w:val="BodyText"/>
        <w:spacing w:after="0"/>
        <w:jc w:val="both"/>
        <w:sectPr>
          <w:pgSz w:w="11910" w:h="16840"/>
          <w:pgMar w:top="1000" w:bottom="280" w:left="850" w:right="850"/>
          <w:cols w:num="3" w:equalWidth="0">
            <w:col w:w="2106" w:space="40"/>
            <w:col w:w="1461" w:space="270"/>
            <w:col w:w="6333"/>
          </w:cols>
        </w:sectPr>
      </w:pPr>
    </w:p>
    <w:p>
      <w:pPr>
        <w:pStyle w:val="Heading2"/>
        <w:numPr>
          <w:ilvl w:val="0"/>
          <w:numId w:val="1"/>
        </w:numPr>
        <w:tabs>
          <w:tab w:pos="753" w:val="left" w:leader="none"/>
        </w:tabs>
        <w:spacing w:line="240" w:lineRule="auto" w:before="145" w:after="0"/>
        <w:ind w:left="753" w:right="0" w:hanging="348"/>
        <w:jc w:val="left"/>
      </w:pPr>
      <w:bookmarkStart w:name="IV. DENEYSEL SONUÇLAR VE TARTIŞMA" w:id="4"/>
      <w:bookmarkEnd w:id="4"/>
      <w:r>
        <w:rPr>
          <w:b w:val="0"/>
        </w:rPr>
      </w:r>
      <w:r>
        <w:rPr/>
        <w:t>DENEYSEL</w:t>
      </w:r>
      <w:r>
        <w:rPr>
          <w:spacing w:val="-11"/>
        </w:rPr>
        <w:t> </w:t>
      </w:r>
      <w:r>
        <w:rPr/>
        <w:t>SONUÇLAR</w:t>
      </w:r>
      <w:r>
        <w:rPr>
          <w:spacing w:val="-11"/>
        </w:rPr>
        <w:t> </w:t>
      </w:r>
      <w:r>
        <w:rPr/>
        <w:t>VE</w:t>
      </w:r>
      <w:r>
        <w:rPr>
          <w:spacing w:val="-14"/>
        </w:rPr>
        <w:t> </w:t>
      </w:r>
      <w:r>
        <w:rPr>
          <w:spacing w:val="-2"/>
        </w:rPr>
        <w:t>TARTIŞMA</w:t>
      </w:r>
    </w:p>
    <w:p>
      <w:pPr>
        <w:pStyle w:val="BodyText"/>
        <w:spacing w:line="230" w:lineRule="auto" w:before="78"/>
        <w:ind w:left="55" w:firstLine="250"/>
        <w:jc w:val="both"/>
      </w:pPr>
      <w:r>
        <w:rPr/>
        <w:t>Bu bölümde, çalışmada kullanılan veri kümesi, önerilen modelin deneysel kurulumları ve önerilen modelin performans sonuçları sunulmuştur.</w:t>
      </w:r>
    </w:p>
    <w:p>
      <w:pPr>
        <w:pStyle w:val="BodyText"/>
        <w:spacing w:before="5"/>
      </w:pPr>
    </w:p>
    <w:p>
      <w:pPr>
        <w:pStyle w:val="Heading3"/>
        <w:numPr>
          <w:ilvl w:val="0"/>
          <w:numId w:val="5"/>
        </w:numPr>
        <w:tabs>
          <w:tab w:pos="299" w:val="left" w:leader="none"/>
        </w:tabs>
        <w:spacing w:line="240" w:lineRule="auto" w:before="0" w:after="0"/>
        <w:ind w:left="299" w:right="0" w:hanging="244"/>
        <w:jc w:val="left"/>
      </w:pPr>
      <w:r>
        <w:rPr/>
        <w:t>Veri</w:t>
      </w:r>
      <w:r>
        <w:rPr>
          <w:spacing w:val="-2"/>
        </w:rPr>
        <w:t> </w:t>
      </w:r>
      <w:r>
        <w:rPr/>
        <w:t>Kümesi</w:t>
      </w:r>
      <w:r>
        <w:rPr>
          <w:spacing w:val="-1"/>
        </w:rPr>
        <w:t> </w:t>
      </w:r>
      <w:r>
        <w:rPr>
          <w:spacing w:val="-2"/>
        </w:rPr>
        <w:t>Açıklaması</w:t>
      </w:r>
    </w:p>
    <w:p>
      <w:pPr>
        <w:pStyle w:val="BodyText"/>
        <w:spacing w:before="10"/>
        <w:rPr>
          <w:b/>
        </w:rPr>
      </w:pPr>
    </w:p>
    <w:p>
      <w:pPr>
        <w:pStyle w:val="BodyText"/>
        <w:ind w:left="55"/>
      </w:pPr>
      <w:r>
        <w:rPr/>
        <w:t>Kolonoskopi;</w:t>
      </w:r>
      <w:r>
        <w:rPr>
          <w:spacing w:val="-3"/>
        </w:rPr>
        <w:t> </w:t>
      </w:r>
      <w:r>
        <w:rPr/>
        <w:t>ucunda</w:t>
      </w:r>
      <w:r>
        <w:rPr>
          <w:spacing w:val="-1"/>
        </w:rPr>
        <w:t> </w:t>
      </w:r>
      <w:r>
        <w:rPr/>
        <w:t>kamera ve</w:t>
      </w:r>
      <w:r>
        <w:rPr>
          <w:spacing w:val="-1"/>
        </w:rPr>
        <w:t> </w:t>
      </w:r>
      <w:r>
        <w:rPr/>
        <w:t>ışık</w:t>
      </w:r>
      <w:r>
        <w:rPr>
          <w:spacing w:val="-2"/>
        </w:rPr>
        <w:t> </w:t>
      </w:r>
      <w:r>
        <w:rPr/>
        <w:t>bulunan</w:t>
      </w:r>
      <w:r>
        <w:rPr>
          <w:spacing w:val="-2"/>
        </w:rPr>
        <w:t> </w:t>
      </w:r>
      <w:r>
        <w:rPr/>
        <w:t>esnek</w:t>
      </w:r>
      <w:r>
        <w:rPr>
          <w:spacing w:val="-1"/>
        </w:rPr>
        <w:t> </w:t>
      </w:r>
      <w:r>
        <w:rPr>
          <w:spacing w:val="-5"/>
        </w:rPr>
        <w:t>bir</w:t>
      </w:r>
    </w:p>
    <w:p>
      <w:pPr>
        <w:pStyle w:val="BodyText"/>
        <w:ind w:left="55"/>
        <w:jc w:val="both"/>
      </w:pPr>
      <w:r>
        <w:rPr/>
        <w:br w:type="column"/>
      </w:r>
      <w:r>
        <w:rPr/>
        <w:t>kayıp</w:t>
      </w:r>
      <w:r>
        <w:rPr>
          <w:spacing w:val="-3"/>
        </w:rPr>
        <w:t> </w:t>
      </w:r>
      <w:r>
        <w:rPr/>
        <w:t>fonksiyonunun</w:t>
      </w:r>
      <w:r>
        <w:rPr>
          <w:spacing w:val="-3"/>
        </w:rPr>
        <w:t> </w:t>
      </w:r>
      <w:r>
        <w:rPr/>
        <w:t>yakınsaması</w:t>
      </w:r>
      <w:r>
        <w:rPr>
          <w:spacing w:val="-3"/>
        </w:rPr>
        <w:t> </w:t>
      </w:r>
      <w:r>
        <w:rPr>
          <w:spacing w:val="-2"/>
        </w:rPr>
        <w:t>izlenmiştir.</w:t>
      </w:r>
    </w:p>
    <w:p>
      <w:pPr>
        <w:pStyle w:val="BodyText"/>
        <w:ind w:left="55" w:right="43" w:firstLine="340"/>
        <w:jc w:val="both"/>
      </w:pPr>
      <w:r>
        <w:rPr/>
        <w:t>Deneysel değerlendirmelerde eğitim/validasyon/test ayrımı sabit tutulmuş, raporlanan metrikler tüm test görüntüleri üzerinde piksel-seviyesinde hesaplanmıştır. Bu kurulum, gerçekçi donanım kısıtları altında yeniden üretilebilir bir eğitim/evaluasyon süreci sunmayı </w:t>
      </w:r>
      <w:r>
        <w:rPr>
          <w:spacing w:val="-2"/>
        </w:rPr>
        <w:t>hedeflemektedir.</w:t>
      </w:r>
    </w:p>
    <w:p>
      <w:pPr>
        <w:pStyle w:val="BodyText"/>
        <w:spacing w:before="121"/>
      </w:pPr>
    </w:p>
    <w:p>
      <w:pPr>
        <w:pStyle w:val="Heading4"/>
        <w:spacing w:line="98" w:lineRule="exact"/>
        <w:jc w:val="both"/>
      </w:pPr>
      <w:bookmarkStart w:name="Deney Sonuçları" w:id="5"/>
      <w:bookmarkEnd w:id="5"/>
      <w:r>
        <w:rPr>
          <w:b w:val="0"/>
          <w:i w:val="0"/>
        </w:rPr>
      </w:r>
      <w:r>
        <w:rPr/>
        <w:t>Deney</w:t>
      </w:r>
      <w:r>
        <w:rPr>
          <w:spacing w:val="1"/>
        </w:rPr>
        <w:t> </w:t>
      </w:r>
      <w:r>
        <w:rPr>
          <w:spacing w:val="-2"/>
        </w:rPr>
        <w:t>Sonuçları</w:t>
      </w:r>
    </w:p>
    <w:p>
      <w:pPr>
        <w:pStyle w:val="Heading4"/>
        <w:spacing w:after="0" w:line="98" w:lineRule="exact"/>
        <w:jc w:val="both"/>
        <w:sectPr>
          <w:type w:val="continuous"/>
          <w:pgSz w:w="11910" w:h="16840"/>
          <w:pgMar w:top="480" w:bottom="280" w:left="850" w:right="850"/>
          <w:cols w:num="2" w:equalWidth="0">
            <w:col w:w="4924" w:space="308"/>
            <w:col w:w="4978"/>
          </w:cols>
        </w:sectPr>
      </w:pPr>
    </w:p>
    <w:p>
      <w:pPr>
        <w:pStyle w:val="BodyText"/>
        <w:tabs>
          <w:tab w:pos="5287" w:val="left" w:leader="none"/>
          <w:tab w:pos="10199" w:val="left" w:leader="none"/>
        </w:tabs>
        <w:spacing w:line="208" w:lineRule="exact"/>
        <w:ind w:left="55"/>
      </w:pPr>
      <w:r>
        <w:rPr/>
        <mc:AlternateContent>
          <mc:Choice Requires="wps">
            <w:drawing>
              <wp:anchor distT="0" distB="0" distL="0" distR="0" allowOverlap="1" layoutInCell="1" locked="0" behindDoc="0" simplePos="0" relativeHeight="15734272">
                <wp:simplePos x="0" y="0"/>
                <wp:positionH relativeFrom="page">
                  <wp:posOffset>3854513</wp:posOffset>
                </wp:positionH>
                <wp:positionV relativeFrom="paragraph">
                  <wp:posOffset>262240</wp:posOffset>
                </wp:positionV>
                <wp:extent cx="3171825" cy="6985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71825" cy="6985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8"/>
                              <w:gridCol w:w="663"/>
                              <w:gridCol w:w="683"/>
                              <w:gridCol w:w="665"/>
                              <w:gridCol w:w="737"/>
                              <w:gridCol w:w="887"/>
                            </w:tblGrid>
                            <w:tr>
                              <w:trPr>
                                <w:trHeight w:val="350" w:hRule="atLeast"/>
                              </w:trPr>
                              <w:tc>
                                <w:tcPr>
                                  <w:tcW w:w="1238" w:type="dxa"/>
                                  <w:tcBorders>
                                    <w:bottom w:val="single" w:sz="4" w:space="0" w:color="7E7E7E"/>
                                  </w:tcBorders>
                                </w:tcPr>
                                <w:p>
                                  <w:pPr>
                                    <w:pStyle w:val="TableParagraph"/>
                                    <w:ind w:left="7"/>
                                    <w:rPr>
                                      <w:b/>
                                      <w:sz w:val="18"/>
                                    </w:rPr>
                                  </w:pPr>
                                  <w:r>
                                    <w:rPr>
                                      <w:b/>
                                      <w:spacing w:val="-4"/>
                                      <w:sz w:val="18"/>
                                    </w:rPr>
                                    <w:t>Seti</w:t>
                                  </w:r>
                                </w:p>
                              </w:tc>
                              <w:tc>
                                <w:tcPr>
                                  <w:tcW w:w="1346" w:type="dxa"/>
                                  <w:gridSpan w:val="2"/>
                                  <w:tcBorders>
                                    <w:bottom w:val="single" w:sz="4" w:space="0" w:color="7E7E7E"/>
                                  </w:tcBorders>
                                </w:tcPr>
                                <w:p>
                                  <w:pPr>
                                    <w:pStyle w:val="TableParagraph"/>
                                    <w:ind w:left="815"/>
                                    <w:jc w:val="left"/>
                                    <w:rPr>
                                      <w:b/>
                                      <w:sz w:val="18"/>
                                    </w:rPr>
                                  </w:pPr>
                                  <w:r>
                                    <w:rPr>
                                      <w:b/>
                                      <w:spacing w:val="-2"/>
                                      <w:sz w:val="18"/>
                                    </w:rPr>
                                    <w:t>(Iou)</w:t>
                                  </w:r>
                                </w:p>
                              </w:tc>
                              <w:tc>
                                <w:tcPr>
                                  <w:tcW w:w="665" w:type="dxa"/>
                                  <w:tcBorders>
                                    <w:bottom w:val="single" w:sz="4" w:space="0" w:color="7E7E7E"/>
                                  </w:tcBorders>
                                </w:tcPr>
                                <w:p>
                                  <w:pPr>
                                    <w:pStyle w:val="TableParagraph"/>
                                    <w:ind w:left="24"/>
                                    <w:rPr>
                                      <w:b/>
                                      <w:sz w:val="18"/>
                                    </w:rPr>
                                  </w:pPr>
                                  <w:r>
                                    <w:rPr>
                                      <w:b/>
                                      <w:spacing w:val="-4"/>
                                      <w:sz w:val="18"/>
                                    </w:rPr>
                                    <w:t>(F1)</w:t>
                                  </w:r>
                                </w:p>
                              </w:tc>
                              <w:tc>
                                <w:tcPr>
                                  <w:tcW w:w="737" w:type="dxa"/>
                                  <w:tcBorders>
                                    <w:bottom w:val="single" w:sz="4" w:space="0" w:color="7E7E7E"/>
                                  </w:tcBorders>
                                </w:tcPr>
                                <w:p>
                                  <w:pPr>
                                    <w:pStyle w:val="TableParagraph"/>
                                    <w:ind w:right="40"/>
                                    <w:rPr>
                                      <w:b/>
                                      <w:sz w:val="18"/>
                                    </w:rPr>
                                  </w:pPr>
                                  <w:r>
                                    <w:rPr>
                                      <w:b/>
                                      <w:spacing w:val="-2"/>
                                      <w:sz w:val="18"/>
                                    </w:rPr>
                                    <w:t>(Rec.)</w:t>
                                  </w:r>
                                </w:p>
                              </w:tc>
                              <w:tc>
                                <w:tcPr>
                                  <w:tcW w:w="887" w:type="dxa"/>
                                  <w:tcBorders>
                                    <w:bottom w:val="single" w:sz="4" w:space="0" w:color="7E7E7E"/>
                                  </w:tcBorders>
                                </w:tcPr>
                                <w:p>
                                  <w:pPr>
                                    <w:pStyle w:val="TableParagraph"/>
                                    <w:ind w:right="206"/>
                                    <w:jc w:val="right"/>
                                    <w:rPr>
                                      <w:b/>
                                      <w:sz w:val="18"/>
                                    </w:rPr>
                                  </w:pPr>
                                  <w:r>
                                    <w:rPr>
                                      <w:b/>
                                      <w:spacing w:val="-2"/>
                                      <w:sz w:val="18"/>
                                    </w:rPr>
                                    <w:t>(Prec.)</w:t>
                                  </w:r>
                                </w:p>
                              </w:tc>
                            </w:tr>
                            <w:tr>
                              <w:trPr>
                                <w:trHeight w:val="250" w:hRule="atLeast"/>
                              </w:trPr>
                              <w:tc>
                                <w:tcPr>
                                  <w:tcW w:w="1238" w:type="dxa"/>
                                  <w:tcBorders>
                                    <w:bottom w:val="single" w:sz="4" w:space="0" w:color="7E7E7E"/>
                                  </w:tcBorders>
                                </w:tcPr>
                                <w:p>
                                  <w:pPr>
                                    <w:pStyle w:val="TableParagraph"/>
                                    <w:ind w:left="112"/>
                                    <w:jc w:val="left"/>
                                    <w:rPr>
                                      <w:b/>
                                      <w:sz w:val="18"/>
                                    </w:rPr>
                                  </w:pPr>
                                  <w:r>
                                    <w:rPr>
                                      <w:b/>
                                      <w:sz w:val="18"/>
                                    </w:rPr>
                                    <w:t>UNet </w:t>
                                  </w:r>
                                  <w:r>
                                    <w:rPr>
                                      <w:b/>
                                      <w:spacing w:val="-2"/>
                                      <w:sz w:val="18"/>
                                    </w:rPr>
                                    <w:t>(val)</w:t>
                                  </w:r>
                                </w:p>
                              </w:tc>
                              <w:tc>
                                <w:tcPr>
                                  <w:tcW w:w="663" w:type="dxa"/>
                                  <w:tcBorders>
                                    <w:bottom w:val="single" w:sz="4" w:space="0" w:color="7E7E7E"/>
                                  </w:tcBorders>
                                </w:tcPr>
                                <w:p>
                                  <w:pPr>
                                    <w:pStyle w:val="TableParagraph"/>
                                    <w:ind w:right="16"/>
                                    <w:rPr>
                                      <w:sz w:val="18"/>
                                    </w:rPr>
                                  </w:pPr>
                                  <w:r>
                                    <w:rPr>
                                      <w:spacing w:val="-2"/>
                                      <w:sz w:val="18"/>
                                    </w:rPr>
                                    <w:t>97.10</w:t>
                                  </w:r>
                                </w:p>
                              </w:tc>
                              <w:tc>
                                <w:tcPr>
                                  <w:tcW w:w="683" w:type="dxa"/>
                                  <w:tcBorders>
                                    <w:bottom w:val="single" w:sz="4" w:space="0" w:color="7E7E7E"/>
                                  </w:tcBorders>
                                </w:tcPr>
                                <w:p>
                                  <w:pPr>
                                    <w:pStyle w:val="TableParagraph"/>
                                    <w:ind w:left="1" w:right="2"/>
                                    <w:rPr>
                                      <w:sz w:val="18"/>
                                    </w:rPr>
                                  </w:pPr>
                                  <w:r>
                                    <w:rPr>
                                      <w:spacing w:val="-2"/>
                                      <w:sz w:val="18"/>
                                    </w:rPr>
                                    <w:t>82.47</w:t>
                                  </w:r>
                                </w:p>
                              </w:tc>
                              <w:tc>
                                <w:tcPr>
                                  <w:tcW w:w="665" w:type="dxa"/>
                                  <w:tcBorders>
                                    <w:bottom w:val="single" w:sz="4" w:space="0" w:color="7E7E7E"/>
                                  </w:tcBorders>
                                </w:tcPr>
                                <w:p>
                                  <w:pPr>
                                    <w:pStyle w:val="TableParagraph"/>
                                    <w:ind w:left="24" w:right="5"/>
                                    <w:rPr>
                                      <w:sz w:val="18"/>
                                    </w:rPr>
                                  </w:pPr>
                                  <w:r>
                                    <w:rPr>
                                      <w:spacing w:val="-2"/>
                                      <w:sz w:val="18"/>
                                    </w:rPr>
                                    <w:t>88.87</w:t>
                                  </w:r>
                                </w:p>
                              </w:tc>
                              <w:tc>
                                <w:tcPr>
                                  <w:tcW w:w="737" w:type="dxa"/>
                                  <w:tcBorders>
                                    <w:bottom w:val="single" w:sz="4" w:space="0" w:color="7E7E7E"/>
                                  </w:tcBorders>
                                </w:tcPr>
                                <w:p>
                                  <w:pPr>
                                    <w:pStyle w:val="TableParagraph"/>
                                    <w:ind w:right="40"/>
                                    <w:rPr>
                                      <w:sz w:val="18"/>
                                    </w:rPr>
                                  </w:pPr>
                                  <w:r>
                                    <w:rPr>
                                      <w:spacing w:val="-2"/>
                                      <w:sz w:val="18"/>
                                    </w:rPr>
                                    <w:t>90.24</w:t>
                                  </w:r>
                                </w:p>
                              </w:tc>
                              <w:tc>
                                <w:tcPr>
                                  <w:tcW w:w="887" w:type="dxa"/>
                                  <w:tcBorders>
                                    <w:bottom w:val="single" w:sz="4" w:space="0" w:color="7E7E7E"/>
                                  </w:tcBorders>
                                </w:tcPr>
                                <w:p>
                                  <w:pPr>
                                    <w:pStyle w:val="TableParagraph"/>
                                    <w:ind w:right="261"/>
                                    <w:jc w:val="right"/>
                                    <w:rPr>
                                      <w:sz w:val="18"/>
                                    </w:rPr>
                                  </w:pPr>
                                  <w:r>
                                    <w:rPr>
                                      <w:spacing w:val="-2"/>
                                      <w:sz w:val="18"/>
                                    </w:rPr>
                                    <w:t>90.90</w:t>
                                  </w:r>
                                </w:p>
                              </w:tc>
                            </w:tr>
                            <w:tr>
                              <w:trPr>
                                <w:trHeight w:val="210" w:hRule="atLeast"/>
                              </w:trPr>
                              <w:tc>
                                <w:tcPr>
                                  <w:tcW w:w="1238" w:type="dxa"/>
                                  <w:tcBorders>
                                    <w:top w:val="single" w:sz="4" w:space="0" w:color="7E7E7E"/>
                                    <w:bottom w:val="single" w:sz="4" w:space="0" w:color="7E7E7E"/>
                                  </w:tcBorders>
                                </w:tcPr>
                                <w:p>
                                  <w:pPr>
                                    <w:pStyle w:val="TableParagraph"/>
                                    <w:spacing w:line="190" w:lineRule="exact"/>
                                    <w:ind w:left="112"/>
                                    <w:jc w:val="left"/>
                                    <w:rPr>
                                      <w:b/>
                                      <w:sz w:val="18"/>
                                    </w:rPr>
                                  </w:pPr>
                                  <w:r>
                                    <w:rPr>
                                      <w:b/>
                                      <w:spacing w:val="-2"/>
                                      <w:sz w:val="18"/>
                                    </w:rPr>
                                    <w:t>UNet(test)</w:t>
                                  </w:r>
                                </w:p>
                              </w:tc>
                              <w:tc>
                                <w:tcPr>
                                  <w:tcW w:w="663" w:type="dxa"/>
                                  <w:tcBorders>
                                    <w:top w:val="single" w:sz="4" w:space="0" w:color="7E7E7E"/>
                                    <w:bottom w:val="single" w:sz="4" w:space="0" w:color="7E7E7E"/>
                                  </w:tcBorders>
                                </w:tcPr>
                                <w:p>
                                  <w:pPr>
                                    <w:pStyle w:val="TableParagraph"/>
                                    <w:spacing w:line="190" w:lineRule="exact"/>
                                    <w:ind w:right="16"/>
                                    <w:rPr>
                                      <w:sz w:val="18"/>
                                    </w:rPr>
                                  </w:pPr>
                                  <w:r>
                                    <w:rPr>
                                      <w:spacing w:val="-2"/>
                                      <w:sz w:val="18"/>
                                    </w:rPr>
                                    <w:t>96.65</w:t>
                                  </w:r>
                                </w:p>
                              </w:tc>
                              <w:tc>
                                <w:tcPr>
                                  <w:tcW w:w="683" w:type="dxa"/>
                                  <w:tcBorders>
                                    <w:top w:val="single" w:sz="4" w:space="0" w:color="7E7E7E"/>
                                    <w:bottom w:val="single" w:sz="4" w:space="0" w:color="7E7E7E"/>
                                  </w:tcBorders>
                                </w:tcPr>
                                <w:p>
                                  <w:pPr>
                                    <w:pStyle w:val="TableParagraph"/>
                                    <w:spacing w:line="190" w:lineRule="exact"/>
                                    <w:ind w:left="2" w:right="1"/>
                                    <w:rPr>
                                      <w:sz w:val="18"/>
                                    </w:rPr>
                                  </w:pPr>
                                  <w:r>
                                    <w:rPr>
                                      <w:spacing w:val="-4"/>
                                      <w:sz w:val="18"/>
                                    </w:rPr>
                                    <w:t>8353</w:t>
                                  </w:r>
                                </w:p>
                              </w:tc>
                              <w:tc>
                                <w:tcPr>
                                  <w:tcW w:w="665" w:type="dxa"/>
                                  <w:tcBorders>
                                    <w:top w:val="single" w:sz="4" w:space="0" w:color="7E7E7E"/>
                                    <w:bottom w:val="single" w:sz="4" w:space="0" w:color="7E7E7E"/>
                                  </w:tcBorders>
                                </w:tcPr>
                                <w:p>
                                  <w:pPr>
                                    <w:pStyle w:val="TableParagraph"/>
                                    <w:spacing w:line="190" w:lineRule="exact"/>
                                    <w:ind w:left="24" w:right="5"/>
                                    <w:rPr>
                                      <w:sz w:val="18"/>
                                    </w:rPr>
                                  </w:pPr>
                                  <w:r>
                                    <w:rPr>
                                      <w:spacing w:val="-2"/>
                                      <w:sz w:val="18"/>
                                    </w:rPr>
                                    <w:t>89.33</w:t>
                                  </w:r>
                                </w:p>
                              </w:tc>
                              <w:tc>
                                <w:tcPr>
                                  <w:tcW w:w="737" w:type="dxa"/>
                                  <w:tcBorders>
                                    <w:top w:val="single" w:sz="4" w:space="0" w:color="7E7E7E"/>
                                    <w:bottom w:val="single" w:sz="4" w:space="0" w:color="7E7E7E"/>
                                  </w:tcBorders>
                                </w:tcPr>
                                <w:p>
                                  <w:pPr>
                                    <w:pStyle w:val="TableParagraph"/>
                                    <w:spacing w:line="190" w:lineRule="exact"/>
                                    <w:ind w:right="40"/>
                                    <w:rPr>
                                      <w:sz w:val="18"/>
                                    </w:rPr>
                                  </w:pPr>
                                  <w:r>
                                    <w:rPr>
                                      <w:spacing w:val="-2"/>
                                      <w:sz w:val="18"/>
                                    </w:rPr>
                                    <w:t>91.87</w:t>
                                  </w:r>
                                </w:p>
                              </w:tc>
                              <w:tc>
                                <w:tcPr>
                                  <w:tcW w:w="887" w:type="dxa"/>
                                  <w:tcBorders>
                                    <w:top w:val="single" w:sz="4" w:space="0" w:color="7E7E7E"/>
                                    <w:bottom w:val="single" w:sz="4" w:space="0" w:color="7E7E7E"/>
                                  </w:tcBorders>
                                </w:tcPr>
                                <w:p>
                                  <w:pPr>
                                    <w:pStyle w:val="TableParagraph"/>
                                    <w:spacing w:line="190" w:lineRule="exact"/>
                                    <w:ind w:right="261"/>
                                    <w:jc w:val="right"/>
                                    <w:rPr>
                                      <w:sz w:val="18"/>
                                    </w:rPr>
                                  </w:pPr>
                                  <w:r>
                                    <w:rPr>
                                      <w:spacing w:val="-2"/>
                                      <w:sz w:val="18"/>
                                    </w:rPr>
                                    <w:t>90.89</w:t>
                                  </w:r>
                                </w:p>
                              </w:tc>
                            </w:tr>
                            <w:tr>
                              <w:trPr>
                                <w:trHeight w:val="250" w:hRule="atLeast"/>
                              </w:trPr>
                              <w:tc>
                                <w:tcPr>
                                  <w:tcW w:w="1238" w:type="dxa"/>
                                  <w:tcBorders>
                                    <w:top w:val="single" w:sz="4" w:space="0" w:color="7E7E7E"/>
                                    <w:bottom w:val="single" w:sz="4" w:space="0" w:color="7E7E7E"/>
                                  </w:tcBorders>
                                </w:tcPr>
                                <w:p>
                                  <w:pPr>
                                    <w:pStyle w:val="TableParagraph"/>
                                    <w:spacing w:line="204" w:lineRule="exact"/>
                                    <w:ind w:left="127"/>
                                    <w:jc w:val="left"/>
                                    <w:rPr>
                                      <w:b/>
                                      <w:sz w:val="18"/>
                                    </w:rPr>
                                  </w:pPr>
                                  <w:r>
                                    <w:rPr>
                                      <w:b/>
                                      <w:spacing w:val="-2"/>
                                      <w:sz w:val="18"/>
                                    </w:rPr>
                                    <w:t>UNet(sessile)</w:t>
                                  </w:r>
                                </w:p>
                              </w:tc>
                              <w:tc>
                                <w:tcPr>
                                  <w:tcW w:w="663" w:type="dxa"/>
                                  <w:tcBorders>
                                    <w:top w:val="single" w:sz="4" w:space="0" w:color="7E7E7E"/>
                                    <w:bottom w:val="single" w:sz="4" w:space="0" w:color="7E7E7E"/>
                                  </w:tcBorders>
                                </w:tcPr>
                                <w:p>
                                  <w:pPr>
                                    <w:pStyle w:val="TableParagraph"/>
                                    <w:spacing w:line="204" w:lineRule="exact"/>
                                    <w:ind w:right="16"/>
                                    <w:rPr>
                                      <w:sz w:val="18"/>
                                    </w:rPr>
                                  </w:pPr>
                                  <w:r>
                                    <w:rPr>
                                      <w:spacing w:val="-2"/>
                                      <w:sz w:val="18"/>
                                    </w:rPr>
                                    <w:t>98.11</w:t>
                                  </w:r>
                                </w:p>
                              </w:tc>
                              <w:tc>
                                <w:tcPr>
                                  <w:tcW w:w="683" w:type="dxa"/>
                                  <w:tcBorders>
                                    <w:top w:val="single" w:sz="4" w:space="0" w:color="7E7E7E"/>
                                    <w:bottom w:val="single" w:sz="4" w:space="0" w:color="7E7E7E"/>
                                  </w:tcBorders>
                                </w:tcPr>
                                <w:p>
                                  <w:pPr>
                                    <w:pStyle w:val="TableParagraph"/>
                                    <w:spacing w:line="204" w:lineRule="exact"/>
                                    <w:ind w:left="1" w:right="2"/>
                                    <w:rPr>
                                      <w:sz w:val="18"/>
                                    </w:rPr>
                                  </w:pPr>
                                  <w:r>
                                    <w:rPr>
                                      <w:spacing w:val="-2"/>
                                      <w:sz w:val="18"/>
                                    </w:rPr>
                                    <w:t>80.09</w:t>
                                  </w:r>
                                </w:p>
                              </w:tc>
                              <w:tc>
                                <w:tcPr>
                                  <w:tcW w:w="665" w:type="dxa"/>
                                  <w:tcBorders>
                                    <w:top w:val="single" w:sz="4" w:space="0" w:color="7E7E7E"/>
                                    <w:bottom w:val="single" w:sz="4" w:space="0" w:color="7E7E7E"/>
                                  </w:tcBorders>
                                </w:tcPr>
                                <w:p>
                                  <w:pPr>
                                    <w:pStyle w:val="TableParagraph"/>
                                    <w:spacing w:line="204" w:lineRule="exact"/>
                                    <w:ind w:left="24" w:right="5"/>
                                    <w:rPr>
                                      <w:sz w:val="18"/>
                                    </w:rPr>
                                  </w:pPr>
                                  <w:r>
                                    <w:rPr>
                                      <w:spacing w:val="-2"/>
                                      <w:sz w:val="18"/>
                                    </w:rPr>
                                    <w:t>87.42</w:t>
                                  </w:r>
                                </w:p>
                              </w:tc>
                              <w:tc>
                                <w:tcPr>
                                  <w:tcW w:w="737" w:type="dxa"/>
                                  <w:tcBorders>
                                    <w:top w:val="single" w:sz="4" w:space="0" w:color="7E7E7E"/>
                                    <w:bottom w:val="single" w:sz="4" w:space="0" w:color="7E7E7E"/>
                                  </w:tcBorders>
                                </w:tcPr>
                                <w:p>
                                  <w:pPr>
                                    <w:pStyle w:val="TableParagraph"/>
                                    <w:spacing w:line="204" w:lineRule="exact"/>
                                    <w:ind w:right="40"/>
                                    <w:rPr>
                                      <w:sz w:val="18"/>
                                    </w:rPr>
                                  </w:pPr>
                                  <w:r>
                                    <w:rPr>
                                      <w:spacing w:val="-2"/>
                                      <w:sz w:val="18"/>
                                    </w:rPr>
                                    <w:t>89.27</w:t>
                                  </w:r>
                                </w:p>
                              </w:tc>
                              <w:tc>
                                <w:tcPr>
                                  <w:tcW w:w="887" w:type="dxa"/>
                                  <w:tcBorders>
                                    <w:top w:val="single" w:sz="4" w:space="0" w:color="7E7E7E"/>
                                    <w:bottom w:val="single" w:sz="4" w:space="0" w:color="7E7E7E"/>
                                  </w:tcBorders>
                                </w:tcPr>
                                <w:p>
                                  <w:pPr>
                                    <w:pStyle w:val="TableParagraph"/>
                                    <w:spacing w:line="204" w:lineRule="exact"/>
                                    <w:ind w:right="261"/>
                                    <w:jc w:val="right"/>
                                    <w:rPr>
                                      <w:sz w:val="18"/>
                                    </w:rPr>
                                  </w:pPr>
                                  <w:r>
                                    <w:rPr>
                                      <w:spacing w:val="-2"/>
                                      <w:sz w:val="18"/>
                                    </w:rPr>
                                    <w:t>89.10</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505005pt;margin-top:20.648865pt;width:249.75pt;height:55pt;mso-position-horizontal-relative:page;mso-position-vertical-relative:paragraph;z-index:15734272" type="#_x0000_t202" id="docshape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8"/>
                        <w:gridCol w:w="663"/>
                        <w:gridCol w:w="683"/>
                        <w:gridCol w:w="665"/>
                        <w:gridCol w:w="737"/>
                        <w:gridCol w:w="887"/>
                      </w:tblGrid>
                      <w:tr>
                        <w:trPr>
                          <w:trHeight w:val="350" w:hRule="atLeast"/>
                        </w:trPr>
                        <w:tc>
                          <w:tcPr>
                            <w:tcW w:w="1238" w:type="dxa"/>
                            <w:tcBorders>
                              <w:bottom w:val="single" w:sz="4" w:space="0" w:color="7E7E7E"/>
                            </w:tcBorders>
                          </w:tcPr>
                          <w:p>
                            <w:pPr>
                              <w:pStyle w:val="TableParagraph"/>
                              <w:ind w:left="7"/>
                              <w:rPr>
                                <w:b/>
                                <w:sz w:val="18"/>
                              </w:rPr>
                            </w:pPr>
                            <w:r>
                              <w:rPr>
                                <w:b/>
                                <w:spacing w:val="-4"/>
                                <w:sz w:val="18"/>
                              </w:rPr>
                              <w:t>Seti</w:t>
                            </w:r>
                          </w:p>
                        </w:tc>
                        <w:tc>
                          <w:tcPr>
                            <w:tcW w:w="1346" w:type="dxa"/>
                            <w:gridSpan w:val="2"/>
                            <w:tcBorders>
                              <w:bottom w:val="single" w:sz="4" w:space="0" w:color="7E7E7E"/>
                            </w:tcBorders>
                          </w:tcPr>
                          <w:p>
                            <w:pPr>
                              <w:pStyle w:val="TableParagraph"/>
                              <w:ind w:left="815"/>
                              <w:jc w:val="left"/>
                              <w:rPr>
                                <w:b/>
                                <w:sz w:val="18"/>
                              </w:rPr>
                            </w:pPr>
                            <w:r>
                              <w:rPr>
                                <w:b/>
                                <w:spacing w:val="-2"/>
                                <w:sz w:val="18"/>
                              </w:rPr>
                              <w:t>(Iou)</w:t>
                            </w:r>
                          </w:p>
                        </w:tc>
                        <w:tc>
                          <w:tcPr>
                            <w:tcW w:w="665" w:type="dxa"/>
                            <w:tcBorders>
                              <w:bottom w:val="single" w:sz="4" w:space="0" w:color="7E7E7E"/>
                            </w:tcBorders>
                          </w:tcPr>
                          <w:p>
                            <w:pPr>
                              <w:pStyle w:val="TableParagraph"/>
                              <w:ind w:left="24"/>
                              <w:rPr>
                                <w:b/>
                                <w:sz w:val="18"/>
                              </w:rPr>
                            </w:pPr>
                            <w:r>
                              <w:rPr>
                                <w:b/>
                                <w:spacing w:val="-4"/>
                                <w:sz w:val="18"/>
                              </w:rPr>
                              <w:t>(F1)</w:t>
                            </w:r>
                          </w:p>
                        </w:tc>
                        <w:tc>
                          <w:tcPr>
                            <w:tcW w:w="737" w:type="dxa"/>
                            <w:tcBorders>
                              <w:bottom w:val="single" w:sz="4" w:space="0" w:color="7E7E7E"/>
                            </w:tcBorders>
                          </w:tcPr>
                          <w:p>
                            <w:pPr>
                              <w:pStyle w:val="TableParagraph"/>
                              <w:ind w:right="40"/>
                              <w:rPr>
                                <w:b/>
                                <w:sz w:val="18"/>
                              </w:rPr>
                            </w:pPr>
                            <w:r>
                              <w:rPr>
                                <w:b/>
                                <w:spacing w:val="-2"/>
                                <w:sz w:val="18"/>
                              </w:rPr>
                              <w:t>(Rec.)</w:t>
                            </w:r>
                          </w:p>
                        </w:tc>
                        <w:tc>
                          <w:tcPr>
                            <w:tcW w:w="887" w:type="dxa"/>
                            <w:tcBorders>
                              <w:bottom w:val="single" w:sz="4" w:space="0" w:color="7E7E7E"/>
                            </w:tcBorders>
                          </w:tcPr>
                          <w:p>
                            <w:pPr>
                              <w:pStyle w:val="TableParagraph"/>
                              <w:ind w:right="206"/>
                              <w:jc w:val="right"/>
                              <w:rPr>
                                <w:b/>
                                <w:sz w:val="18"/>
                              </w:rPr>
                            </w:pPr>
                            <w:r>
                              <w:rPr>
                                <w:b/>
                                <w:spacing w:val="-2"/>
                                <w:sz w:val="18"/>
                              </w:rPr>
                              <w:t>(Prec.)</w:t>
                            </w:r>
                          </w:p>
                        </w:tc>
                      </w:tr>
                      <w:tr>
                        <w:trPr>
                          <w:trHeight w:val="250" w:hRule="atLeast"/>
                        </w:trPr>
                        <w:tc>
                          <w:tcPr>
                            <w:tcW w:w="1238" w:type="dxa"/>
                            <w:tcBorders>
                              <w:bottom w:val="single" w:sz="4" w:space="0" w:color="7E7E7E"/>
                            </w:tcBorders>
                          </w:tcPr>
                          <w:p>
                            <w:pPr>
                              <w:pStyle w:val="TableParagraph"/>
                              <w:ind w:left="112"/>
                              <w:jc w:val="left"/>
                              <w:rPr>
                                <w:b/>
                                <w:sz w:val="18"/>
                              </w:rPr>
                            </w:pPr>
                            <w:r>
                              <w:rPr>
                                <w:b/>
                                <w:sz w:val="18"/>
                              </w:rPr>
                              <w:t>UNet </w:t>
                            </w:r>
                            <w:r>
                              <w:rPr>
                                <w:b/>
                                <w:spacing w:val="-2"/>
                                <w:sz w:val="18"/>
                              </w:rPr>
                              <w:t>(val)</w:t>
                            </w:r>
                          </w:p>
                        </w:tc>
                        <w:tc>
                          <w:tcPr>
                            <w:tcW w:w="663" w:type="dxa"/>
                            <w:tcBorders>
                              <w:bottom w:val="single" w:sz="4" w:space="0" w:color="7E7E7E"/>
                            </w:tcBorders>
                          </w:tcPr>
                          <w:p>
                            <w:pPr>
                              <w:pStyle w:val="TableParagraph"/>
                              <w:ind w:right="16"/>
                              <w:rPr>
                                <w:sz w:val="18"/>
                              </w:rPr>
                            </w:pPr>
                            <w:r>
                              <w:rPr>
                                <w:spacing w:val="-2"/>
                                <w:sz w:val="18"/>
                              </w:rPr>
                              <w:t>97.10</w:t>
                            </w:r>
                          </w:p>
                        </w:tc>
                        <w:tc>
                          <w:tcPr>
                            <w:tcW w:w="683" w:type="dxa"/>
                            <w:tcBorders>
                              <w:bottom w:val="single" w:sz="4" w:space="0" w:color="7E7E7E"/>
                            </w:tcBorders>
                          </w:tcPr>
                          <w:p>
                            <w:pPr>
                              <w:pStyle w:val="TableParagraph"/>
                              <w:ind w:left="1" w:right="2"/>
                              <w:rPr>
                                <w:sz w:val="18"/>
                              </w:rPr>
                            </w:pPr>
                            <w:r>
                              <w:rPr>
                                <w:spacing w:val="-2"/>
                                <w:sz w:val="18"/>
                              </w:rPr>
                              <w:t>82.47</w:t>
                            </w:r>
                          </w:p>
                        </w:tc>
                        <w:tc>
                          <w:tcPr>
                            <w:tcW w:w="665" w:type="dxa"/>
                            <w:tcBorders>
                              <w:bottom w:val="single" w:sz="4" w:space="0" w:color="7E7E7E"/>
                            </w:tcBorders>
                          </w:tcPr>
                          <w:p>
                            <w:pPr>
                              <w:pStyle w:val="TableParagraph"/>
                              <w:ind w:left="24" w:right="5"/>
                              <w:rPr>
                                <w:sz w:val="18"/>
                              </w:rPr>
                            </w:pPr>
                            <w:r>
                              <w:rPr>
                                <w:spacing w:val="-2"/>
                                <w:sz w:val="18"/>
                              </w:rPr>
                              <w:t>88.87</w:t>
                            </w:r>
                          </w:p>
                        </w:tc>
                        <w:tc>
                          <w:tcPr>
                            <w:tcW w:w="737" w:type="dxa"/>
                            <w:tcBorders>
                              <w:bottom w:val="single" w:sz="4" w:space="0" w:color="7E7E7E"/>
                            </w:tcBorders>
                          </w:tcPr>
                          <w:p>
                            <w:pPr>
                              <w:pStyle w:val="TableParagraph"/>
                              <w:ind w:right="40"/>
                              <w:rPr>
                                <w:sz w:val="18"/>
                              </w:rPr>
                            </w:pPr>
                            <w:r>
                              <w:rPr>
                                <w:spacing w:val="-2"/>
                                <w:sz w:val="18"/>
                              </w:rPr>
                              <w:t>90.24</w:t>
                            </w:r>
                          </w:p>
                        </w:tc>
                        <w:tc>
                          <w:tcPr>
                            <w:tcW w:w="887" w:type="dxa"/>
                            <w:tcBorders>
                              <w:bottom w:val="single" w:sz="4" w:space="0" w:color="7E7E7E"/>
                            </w:tcBorders>
                          </w:tcPr>
                          <w:p>
                            <w:pPr>
                              <w:pStyle w:val="TableParagraph"/>
                              <w:ind w:right="261"/>
                              <w:jc w:val="right"/>
                              <w:rPr>
                                <w:sz w:val="18"/>
                              </w:rPr>
                            </w:pPr>
                            <w:r>
                              <w:rPr>
                                <w:spacing w:val="-2"/>
                                <w:sz w:val="18"/>
                              </w:rPr>
                              <w:t>90.90</w:t>
                            </w:r>
                          </w:p>
                        </w:tc>
                      </w:tr>
                      <w:tr>
                        <w:trPr>
                          <w:trHeight w:val="210" w:hRule="atLeast"/>
                        </w:trPr>
                        <w:tc>
                          <w:tcPr>
                            <w:tcW w:w="1238" w:type="dxa"/>
                            <w:tcBorders>
                              <w:top w:val="single" w:sz="4" w:space="0" w:color="7E7E7E"/>
                              <w:bottom w:val="single" w:sz="4" w:space="0" w:color="7E7E7E"/>
                            </w:tcBorders>
                          </w:tcPr>
                          <w:p>
                            <w:pPr>
                              <w:pStyle w:val="TableParagraph"/>
                              <w:spacing w:line="190" w:lineRule="exact"/>
                              <w:ind w:left="112"/>
                              <w:jc w:val="left"/>
                              <w:rPr>
                                <w:b/>
                                <w:sz w:val="18"/>
                              </w:rPr>
                            </w:pPr>
                            <w:r>
                              <w:rPr>
                                <w:b/>
                                <w:spacing w:val="-2"/>
                                <w:sz w:val="18"/>
                              </w:rPr>
                              <w:t>UNet(test)</w:t>
                            </w:r>
                          </w:p>
                        </w:tc>
                        <w:tc>
                          <w:tcPr>
                            <w:tcW w:w="663" w:type="dxa"/>
                            <w:tcBorders>
                              <w:top w:val="single" w:sz="4" w:space="0" w:color="7E7E7E"/>
                              <w:bottom w:val="single" w:sz="4" w:space="0" w:color="7E7E7E"/>
                            </w:tcBorders>
                          </w:tcPr>
                          <w:p>
                            <w:pPr>
                              <w:pStyle w:val="TableParagraph"/>
                              <w:spacing w:line="190" w:lineRule="exact"/>
                              <w:ind w:right="16"/>
                              <w:rPr>
                                <w:sz w:val="18"/>
                              </w:rPr>
                            </w:pPr>
                            <w:r>
                              <w:rPr>
                                <w:spacing w:val="-2"/>
                                <w:sz w:val="18"/>
                              </w:rPr>
                              <w:t>96.65</w:t>
                            </w:r>
                          </w:p>
                        </w:tc>
                        <w:tc>
                          <w:tcPr>
                            <w:tcW w:w="683" w:type="dxa"/>
                            <w:tcBorders>
                              <w:top w:val="single" w:sz="4" w:space="0" w:color="7E7E7E"/>
                              <w:bottom w:val="single" w:sz="4" w:space="0" w:color="7E7E7E"/>
                            </w:tcBorders>
                          </w:tcPr>
                          <w:p>
                            <w:pPr>
                              <w:pStyle w:val="TableParagraph"/>
                              <w:spacing w:line="190" w:lineRule="exact"/>
                              <w:ind w:left="2" w:right="1"/>
                              <w:rPr>
                                <w:sz w:val="18"/>
                              </w:rPr>
                            </w:pPr>
                            <w:r>
                              <w:rPr>
                                <w:spacing w:val="-4"/>
                                <w:sz w:val="18"/>
                              </w:rPr>
                              <w:t>8353</w:t>
                            </w:r>
                          </w:p>
                        </w:tc>
                        <w:tc>
                          <w:tcPr>
                            <w:tcW w:w="665" w:type="dxa"/>
                            <w:tcBorders>
                              <w:top w:val="single" w:sz="4" w:space="0" w:color="7E7E7E"/>
                              <w:bottom w:val="single" w:sz="4" w:space="0" w:color="7E7E7E"/>
                            </w:tcBorders>
                          </w:tcPr>
                          <w:p>
                            <w:pPr>
                              <w:pStyle w:val="TableParagraph"/>
                              <w:spacing w:line="190" w:lineRule="exact"/>
                              <w:ind w:left="24" w:right="5"/>
                              <w:rPr>
                                <w:sz w:val="18"/>
                              </w:rPr>
                            </w:pPr>
                            <w:r>
                              <w:rPr>
                                <w:spacing w:val="-2"/>
                                <w:sz w:val="18"/>
                              </w:rPr>
                              <w:t>89.33</w:t>
                            </w:r>
                          </w:p>
                        </w:tc>
                        <w:tc>
                          <w:tcPr>
                            <w:tcW w:w="737" w:type="dxa"/>
                            <w:tcBorders>
                              <w:top w:val="single" w:sz="4" w:space="0" w:color="7E7E7E"/>
                              <w:bottom w:val="single" w:sz="4" w:space="0" w:color="7E7E7E"/>
                            </w:tcBorders>
                          </w:tcPr>
                          <w:p>
                            <w:pPr>
                              <w:pStyle w:val="TableParagraph"/>
                              <w:spacing w:line="190" w:lineRule="exact"/>
                              <w:ind w:right="40"/>
                              <w:rPr>
                                <w:sz w:val="18"/>
                              </w:rPr>
                            </w:pPr>
                            <w:r>
                              <w:rPr>
                                <w:spacing w:val="-2"/>
                                <w:sz w:val="18"/>
                              </w:rPr>
                              <w:t>91.87</w:t>
                            </w:r>
                          </w:p>
                        </w:tc>
                        <w:tc>
                          <w:tcPr>
                            <w:tcW w:w="887" w:type="dxa"/>
                            <w:tcBorders>
                              <w:top w:val="single" w:sz="4" w:space="0" w:color="7E7E7E"/>
                              <w:bottom w:val="single" w:sz="4" w:space="0" w:color="7E7E7E"/>
                            </w:tcBorders>
                          </w:tcPr>
                          <w:p>
                            <w:pPr>
                              <w:pStyle w:val="TableParagraph"/>
                              <w:spacing w:line="190" w:lineRule="exact"/>
                              <w:ind w:right="261"/>
                              <w:jc w:val="right"/>
                              <w:rPr>
                                <w:sz w:val="18"/>
                              </w:rPr>
                            </w:pPr>
                            <w:r>
                              <w:rPr>
                                <w:spacing w:val="-2"/>
                                <w:sz w:val="18"/>
                              </w:rPr>
                              <w:t>90.89</w:t>
                            </w:r>
                          </w:p>
                        </w:tc>
                      </w:tr>
                      <w:tr>
                        <w:trPr>
                          <w:trHeight w:val="250" w:hRule="atLeast"/>
                        </w:trPr>
                        <w:tc>
                          <w:tcPr>
                            <w:tcW w:w="1238" w:type="dxa"/>
                            <w:tcBorders>
                              <w:top w:val="single" w:sz="4" w:space="0" w:color="7E7E7E"/>
                              <w:bottom w:val="single" w:sz="4" w:space="0" w:color="7E7E7E"/>
                            </w:tcBorders>
                          </w:tcPr>
                          <w:p>
                            <w:pPr>
                              <w:pStyle w:val="TableParagraph"/>
                              <w:spacing w:line="204" w:lineRule="exact"/>
                              <w:ind w:left="127"/>
                              <w:jc w:val="left"/>
                              <w:rPr>
                                <w:b/>
                                <w:sz w:val="18"/>
                              </w:rPr>
                            </w:pPr>
                            <w:r>
                              <w:rPr>
                                <w:b/>
                                <w:spacing w:val="-2"/>
                                <w:sz w:val="18"/>
                              </w:rPr>
                              <w:t>UNet(sessile)</w:t>
                            </w:r>
                          </w:p>
                        </w:tc>
                        <w:tc>
                          <w:tcPr>
                            <w:tcW w:w="663" w:type="dxa"/>
                            <w:tcBorders>
                              <w:top w:val="single" w:sz="4" w:space="0" w:color="7E7E7E"/>
                              <w:bottom w:val="single" w:sz="4" w:space="0" w:color="7E7E7E"/>
                            </w:tcBorders>
                          </w:tcPr>
                          <w:p>
                            <w:pPr>
                              <w:pStyle w:val="TableParagraph"/>
                              <w:spacing w:line="204" w:lineRule="exact"/>
                              <w:ind w:right="16"/>
                              <w:rPr>
                                <w:sz w:val="18"/>
                              </w:rPr>
                            </w:pPr>
                            <w:r>
                              <w:rPr>
                                <w:spacing w:val="-2"/>
                                <w:sz w:val="18"/>
                              </w:rPr>
                              <w:t>98.11</w:t>
                            </w:r>
                          </w:p>
                        </w:tc>
                        <w:tc>
                          <w:tcPr>
                            <w:tcW w:w="683" w:type="dxa"/>
                            <w:tcBorders>
                              <w:top w:val="single" w:sz="4" w:space="0" w:color="7E7E7E"/>
                              <w:bottom w:val="single" w:sz="4" w:space="0" w:color="7E7E7E"/>
                            </w:tcBorders>
                          </w:tcPr>
                          <w:p>
                            <w:pPr>
                              <w:pStyle w:val="TableParagraph"/>
                              <w:spacing w:line="204" w:lineRule="exact"/>
                              <w:ind w:left="1" w:right="2"/>
                              <w:rPr>
                                <w:sz w:val="18"/>
                              </w:rPr>
                            </w:pPr>
                            <w:r>
                              <w:rPr>
                                <w:spacing w:val="-2"/>
                                <w:sz w:val="18"/>
                              </w:rPr>
                              <w:t>80.09</w:t>
                            </w:r>
                          </w:p>
                        </w:tc>
                        <w:tc>
                          <w:tcPr>
                            <w:tcW w:w="665" w:type="dxa"/>
                            <w:tcBorders>
                              <w:top w:val="single" w:sz="4" w:space="0" w:color="7E7E7E"/>
                              <w:bottom w:val="single" w:sz="4" w:space="0" w:color="7E7E7E"/>
                            </w:tcBorders>
                          </w:tcPr>
                          <w:p>
                            <w:pPr>
                              <w:pStyle w:val="TableParagraph"/>
                              <w:spacing w:line="204" w:lineRule="exact"/>
                              <w:ind w:left="24" w:right="5"/>
                              <w:rPr>
                                <w:sz w:val="18"/>
                              </w:rPr>
                            </w:pPr>
                            <w:r>
                              <w:rPr>
                                <w:spacing w:val="-2"/>
                                <w:sz w:val="18"/>
                              </w:rPr>
                              <w:t>87.42</w:t>
                            </w:r>
                          </w:p>
                        </w:tc>
                        <w:tc>
                          <w:tcPr>
                            <w:tcW w:w="737" w:type="dxa"/>
                            <w:tcBorders>
                              <w:top w:val="single" w:sz="4" w:space="0" w:color="7E7E7E"/>
                              <w:bottom w:val="single" w:sz="4" w:space="0" w:color="7E7E7E"/>
                            </w:tcBorders>
                          </w:tcPr>
                          <w:p>
                            <w:pPr>
                              <w:pStyle w:val="TableParagraph"/>
                              <w:spacing w:line="204" w:lineRule="exact"/>
                              <w:ind w:right="40"/>
                              <w:rPr>
                                <w:sz w:val="18"/>
                              </w:rPr>
                            </w:pPr>
                            <w:r>
                              <w:rPr>
                                <w:spacing w:val="-2"/>
                                <w:sz w:val="18"/>
                              </w:rPr>
                              <w:t>89.27</w:t>
                            </w:r>
                          </w:p>
                        </w:tc>
                        <w:tc>
                          <w:tcPr>
                            <w:tcW w:w="887" w:type="dxa"/>
                            <w:tcBorders>
                              <w:top w:val="single" w:sz="4" w:space="0" w:color="7E7E7E"/>
                              <w:bottom w:val="single" w:sz="4" w:space="0" w:color="7E7E7E"/>
                            </w:tcBorders>
                          </w:tcPr>
                          <w:p>
                            <w:pPr>
                              <w:pStyle w:val="TableParagraph"/>
                              <w:spacing w:line="204" w:lineRule="exact"/>
                              <w:ind w:right="261"/>
                              <w:jc w:val="right"/>
                              <w:rPr>
                                <w:sz w:val="18"/>
                              </w:rPr>
                            </w:pPr>
                            <w:r>
                              <w:rPr>
                                <w:spacing w:val="-2"/>
                                <w:sz w:val="18"/>
                              </w:rPr>
                              <w:t>89.10</w:t>
                            </w:r>
                          </w:p>
                        </w:tc>
                      </w:tr>
                    </w:tbl>
                    <w:p>
                      <w:pPr>
                        <w:pStyle w:val="BodyText"/>
                      </w:pPr>
                    </w:p>
                  </w:txbxContent>
                </v:textbox>
                <w10:wrap type="none"/>
              </v:shape>
            </w:pict>
          </mc:Fallback>
        </mc:AlternateContent>
      </w:r>
      <w:r>
        <w:rPr/>
        <w:t>endoskop</w:t>
      </w:r>
      <w:r>
        <w:rPr>
          <w:spacing w:val="-2"/>
        </w:rPr>
        <w:t> </w:t>
      </w:r>
      <w:r>
        <w:rPr/>
        <w:t>ile</w:t>
      </w:r>
      <w:r>
        <w:rPr>
          <w:spacing w:val="-1"/>
        </w:rPr>
        <w:t> </w:t>
      </w:r>
      <w:r>
        <w:rPr/>
        <w:t>rektumdan</w:t>
      </w:r>
      <w:r>
        <w:rPr>
          <w:spacing w:val="-2"/>
        </w:rPr>
        <w:t> </w:t>
      </w:r>
      <w:r>
        <w:rPr/>
        <w:t>girilerek</w:t>
      </w:r>
      <w:r>
        <w:rPr>
          <w:spacing w:val="-1"/>
        </w:rPr>
        <w:t> </w:t>
      </w:r>
      <w:r>
        <w:rPr/>
        <w:t>kolon</w:t>
      </w:r>
      <w:r>
        <w:rPr>
          <w:spacing w:val="-2"/>
        </w:rPr>
        <w:t> </w:t>
      </w:r>
      <w:r>
        <w:rPr/>
        <w:t>ve</w:t>
      </w:r>
      <w:r>
        <w:rPr>
          <w:spacing w:val="-2"/>
        </w:rPr>
        <w:t> </w:t>
      </w:r>
      <w:r>
        <w:rPr/>
        <w:t>rektumun</w:t>
      </w:r>
      <w:r>
        <w:rPr>
          <w:spacing w:val="-1"/>
        </w:rPr>
        <w:t> </w:t>
      </w:r>
      <w:r>
        <w:rPr>
          <w:spacing w:val="-5"/>
        </w:rPr>
        <w:t>iç</w:t>
      </w:r>
      <w:r>
        <w:rPr/>
        <w:tab/>
      </w:r>
      <w:r>
        <w:rPr>
          <w:u w:val="single" w:color="7E7E7E"/>
        </w:rPr>
        <w:tab/>
      </w:r>
    </w:p>
    <w:p>
      <w:pPr>
        <w:pStyle w:val="BodyText"/>
        <w:spacing w:after="0" w:line="208" w:lineRule="exact"/>
        <w:sectPr>
          <w:type w:val="continuous"/>
          <w:pgSz w:w="11910" w:h="16840"/>
          <w:pgMar w:top="480" w:bottom="280" w:left="850" w:right="850"/>
        </w:sectPr>
      </w:pPr>
    </w:p>
    <w:p>
      <w:pPr>
        <w:pStyle w:val="BodyText"/>
        <w:spacing w:before="13"/>
        <w:ind w:left="55"/>
      </w:pPr>
      <w:r>
        <w:rPr/>
        <w:t>yüzeyinin</w:t>
      </w:r>
      <w:r>
        <w:rPr>
          <w:spacing w:val="-9"/>
        </w:rPr>
        <w:t> </w:t>
      </w:r>
      <w:r>
        <w:rPr/>
        <w:t>görüntülenmesi</w:t>
      </w:r>
      <w:r>
        <w:rPr>
          <w:spacing w:val="-10"/>
        </w:rPr>
        <w:t> </w:t>
      </w:r>
      <w:r>
        <w:rPr/>
        <w:t>işlemidir.</w:t>
      </w:r>
      <w:r>
        <w:rPr>
          <w:spacing w:val="-9"/>
        </w:rPr>
        <w:t> </w:t>
      </w:r>
      <w:r>
        <w:rPr/>
        <w:t>Klinik</w:t>
      </w:r>
      <w:r>
        <w:rPr>
          <w:spacing w:val="-9"/>
        </w:rPr>
        <w:t> </w:t>
      </w:r>
      <w:r>
        <w:rPr/>
        <w:t>pratikte</w:t>
      </w:r>
      <w:r>
        <w:rPr>
          <w:spacing w:val="-8"/>
        </w:rPr>
        <w:t> </w:t>
      </w:r>
      <w:r>
        <w:rPr/>
        <w:t>özellikle kolorektal kanser taramasında poliplerin bulunması ve çıkarılması için “altın standart” yöntem olarak kabul edilir; ancak görüntülerde aydınlatma değişimi, mukus/sıvı,</w:t>
      </w:r>
      <w:r>
        <w:rPr>
          <w:spacing w:val="40"/>
        </w:rPr>
        <w:t> </w:t>
      </w:r>
      <w:r>
        <w:rPr/>
        <w:t>hareket</w:t>
      </w:r>
      <w:r>
        <w:rPr>
          <w:spacing w:val="-4"/>
        </w:rPr>
        <w:t> </w:t>
      </w:r>
      <w:r>
        <w:rPr/>
        <w:t>bulanıklığı,</w:t>
      </w:r>
      <w:r>
        <w:rPr>
          <w:spacing w:val="-4"/>
        </w:rPr>
        <w:t> </w:t>
      </w:r>
      <w:r>
        <w:rPr/>
        <w:t>specular</w:t>
      </w:r>
      <w:r>
        <w:rPr>
          <w:spacing w:val="-5"/>
        </w:rPr>
        <w:t> </w:t>
      </w:r>
      <w:r>
        <w:rPr/>
        <w:t>yansıma,</w:t>
      </w:r>
      <w:r>
        <w:rPr>
          <w:spacing w:val="-7"/>
        </w:rPr>
        <w:t> </w:t>
      </w:r>
      <w:r>
        <w:rPr/>
        <w:t>alet</w:t>
      </w:r>
      <w:r>
        <w:rPr>
          <w:spacing w:val="-4"/>
        </w:rPr>
        <w:t> </w:t>
      </w:r>
      <w:r>
        <w:rPr/>
        <w:t>gölgeleri</w:t>
      </w:r>
      <w:r>
        <w:rPr>
          <w:spacing w:val="-4"/>
        </w:rPr>
        <w:t> </w:t>
      </w:r>
      <w:r>
        <w:rPr/>
        <w:t>ve</w:t>
      </w:r>
      <w:r>
        <w:rPr>
          <w:spacing w:val="-2"/>
        </w:rPr>
        <w:t> </w:t>
      </w:r>
      <w:r>
        <w:rPr/>
        <w:t>polip sınırlarının belirsizliği gibi etkenler segmentasyonu </w:t>
      </w:r>
      <w:r>
        <w:rPr>
          <w:spacing w:val="-2"/>
        </w:rPr>
        <w:t>zorlaştırır.</w:t>
      </w:r>
    </w:p>
    <w:p>
      <w:pPr>
        <w:spacing w:line="199" w:lineRule="exact" w:before="0"/>
        <w:ind w:left="55" w:right="0" w:firstLine="0"/>
        <w:jc w:val="left"/>
        <w:rPr>
          <w:b/>
          <w:sz w:val="18"/>
        </w:rPr>
      </w:pPr>
      <w:r>
        <w:rPr/>
        <w:br w:type="column"/>
      </w:r>
      <w:r>
        <w:rPr>
          <w:b/>
          <w:spacing w:val="-2"/>
          <w:sz w:val="18"/>
        </w:rPr>
        <w:t>Model/Veri</w:t>
      </w:r>
    </w:p>
    <w:p>
      <w:pPr>
        <w:tabs>
          <w:tab w:pos="626" w:val="left" w:leader="none"/>
        </w:tabs>
        <w:spacing w:line="199" w:lineRule="exact" w:before="0"/>
        <w:ind w:left="55" w:right="0" w:firstLine="0"/>
        <w:jc w:val="left"/>
        <w:rPr>
          <w:b/>
          <w:sz w:val="18"/>
        </w:rPr>
      </w:pPr>
      <w:r>
        <w:rPr/>
        <w:br w:type="column"/>
      </w:r>
      <w:r>
        <w:rPr>
          <w:b/>
          <w:spacing w:val="-5"/>
          <w:sz w:val="18"/>
        </w:rPr>
        <w:t>Acc</w:t>
      </w:r>
      <w:r>
        <w:rPr>
          <w:b/>
          <w:sz w:val="18"/>
        </w:rPr>
        <w:tab/>
      </w:r>
      <w:r>
        <w:rPr>
          <w:b/>
          <w:spacing w:val="-2"/>
          <w:sz w:val="18"/>
        </w:rPr>
        <w:t>Jaccar</w:t>
      </w:r>
    </w:p>
    <w:p>
      <w:pPr>
        <w:spacing w:line="199" w:lineRule="exact" w:before="0"/>
        <w:ind w:left="55" w:right="0" w:firstLine="0"/>
        <w:jc w:val="left"/>
        <w:rPr>
          <w:b/>
          <w:sz w:val="18"/>
        </w:rPr>
      </w:pPr>
      <w:r>
        <w:rPr/>
        <w:br w:type="column"/>
      </w:r>
      <w:r>
        <w:rPr>
          <w:b/>
          <w:spacing w:val="-4"/>
          <w:sz w:val="18"/>
        </w:rPr>
        <w:t>Dice</w:t>
      </w:r>
    </w:p>
    <w:p>
      <w:pPr>
        <w:spacing w:line="199" w:lineRule="exact" w:before="0"/>
        <w:ind w:left="55" w:right="0" w:firstLine="0"/>
        <w:jc w:val="left"/>
        <w:rPr>
          <w:b/>
          <w:sz w:val="18"/>
        </w:rPr>
      </w:pPr>
      <w:r>
        <w:rPr/>
        <w:br w:type="column"/>
      </w:r>
      <w:r>
        <w:rPr>
          <w:b/>
          <w:spacing w:val="-2"/>
          <w:sz w:val="18"/>
        </w:rPr>
        <w:t>Recall</w:t>
      </w:r>
    </w:p>
    <w:p>
      <w:pPr>
        <w:spacing w:line="199" w:lineRule="exact" w:before="0"/>
        <w:ind w:left="55" w:right="0" w:firstLine="0"/>
        <w:jc w:val="left"/>
        <w:rPr>
          <w:b/>
          <w:sz w:val="18"/>
        </w:rPr>
      </w:pPr>
      <w:r>
        <w:rPr/>
        <w:br w:type="column"/>
      </w:r>
      <w:r>
        <w:rPr>
          <w:b/>
          <w:spacing w:val="-2"/>
          <w:sz w:val="18"/>
        </w:rPr>
        <w:t>Precision</w:t>
      </w:r>
    </w:p>
    <w:p>
      <w:pPr>
        <w:spacing w:after="0" w:line="199" w:lineRule="exact"/>
        <w:jc w:val="left"/>
        <w:rPr>
          <w:b/>
          <w:sz w:val="18"/>
        </w:rPr>
        <w:sectPr>
          <w:type w:val="continuous"/>
          <w:pgSz w:w="11910" w:h="16840"/>
          <w:pgMar w:top="480" w:bottom="280" w:left="850" w:right="850"/>
          <w:cols w:num="6" w:equalWidth="0">
            <w:col w:w="4908" w:space="499"/>
            <w:col w:w="937" w:space="299"/>
            <w:col w:w="1136" w:space="204"/>
            <w:col w:w="396" w:space="199"/>
            <w:col w:w="536" w:space="165"/>
            <w:col w:w="931"/>
          </w:cols>
        </w:sectPr>
      </w:pPr>
    </w:p>
    <w:p>
      <w:pPr>
        <w:pStyle w:val="BodyText"/>
        <w:rPr>
          <w:b/>
          <w:sz w:val="13"/>
        </w:rPr>
      </w:pPr>
    </w:p>
    <w:p>
      <w:pPr>
        <w:pStyle w:val="BodyText"/>
        <w:spacing w:after="0"/>
        <w:rPr>
          <w:b/>
          <w:sz w:val="13"/>
        </w:rPr>
        <w:sectPr>
          <w:type w:val="continuous"/>
          <w:pgSz w:w="11910" w:h="16840"/>
          <w:pgMar w:top="480" w:bottom="280" w:left="850" w:right="850"/>
        </w:sectPr>
      </w:pPr>
    </w:p>
    <w:p>
      <w:pPr>
        <w:pStyle w:val="BodyText"/>
        <w:spacing w:before="91"/>
        <w:ind w:left="55" w:right="234" w:firstLine="290"/>
      </w:pPr>
      <w:r>
        <w:rPr/>
        <w:t>Bu çalışma kapsamında temel eğitim/validasyon/test verisi olarak Kvasir-SEG kullanılmıştır [7]. Kvasir-SEG, kolonoskopi görüntülerinde poliplerin piksel-seviyesinde işaretlendiği, segmentasyon görevleri için yaygın bir benchmark veri setidir. Veri seti, 1000 adet polip içeren kolonoskopi görüntüsü ve her görüntüye karşılık gelen ground-truth segmentasyon maskelerini içerir; görüntüler farklı çözünürlük ve koşullarda elde edildiği için gerçek dünya çeşitliliği barındırır. Maskelerin klinik doğruluğu açısından, anotasyonların tıbbi uzmanlıkla üretildiği ve uzman görüşüyle kontrol edildiği belirtilmektedir. Deney düzenimizde Kvasir-SEG içerisindeki 1000 görüntü train=700, validation=150 ve test=150 olacak şekilde ayrılmıştır</w:t>
      </w:r>
      <w:r>
        <w:rPr>
          <w:spacing w:val="-7"/>
        </w:rPr>
        <w:t> </w:t>
      </w:r>
      <w:r>
        <w:rPr/>
        <w:t>[8].</w:t>
      </w:r>
      <w:r>
        <w:rPr>
          <w:spacing w:val="-6"/>
        </w:rPr>
        <w:t> </w:t>
      </w:r>
      <w:r>
        <w:rPr/>
        <w:t>Bu</w:t>
      </w:r>
      <w:r>
        <w:rPr>
          <w:spacing w:val="-6"/>
        </w:rPr>
        <w:t> </w:t>
      </w:r>
      <w:r>
        <w:rPr/>
        <w:t>ayrım,</w:t>
      </w:r>
      <w:r>
        <w:rPr>
          <w:spacing w:val="-6"/>
        </w:rPr>
        <w:t> </w:t>
      </w:r>
      <w:r>
        <w:rPr/>
        <w:t>model</w:t>
      </w:r>
      <w:r>
        <w:rPr>
          <w:spacing w:val="-7"/>
        </w:rPr>
        <w:t> </w:t>
      </w:r>
      <w:r>
        <w:rPr/>
        <w:t>seçimi</w:t>
      </w:r>
      <w:r>
        <w:rPr>
          <w:spacing w:val="-7"/>
        </w:rPr>
        <w:t> </w:t>
      </w:r>
      <w:r>
        <w:rPr/>
        <w:t>ve</w:t>
      </w:r>
      <w:r>
        <w:rPr>
          <w:spacing w:val="-5"/>
        </w:rPr>
        <w:t> </w:t>
      </w:r>
      <w:r>
        <w:rPr/>
        <w:t>hiperparametre ayarı için validasyon kümesini izole tutarken; nihai raporlama için test kümesini eğitim sürecinden tamamen bağımsız bırakmayı hedefler.</w:t>
      </w:r>
    </w:p>
    <w:p>
      <w:pPr>
        <w:pStyle w:val="BodyText"/>
        <w:spacing w:before="12"/>
      </w:pPr>
    </w:p>
    <w:p>
      <w:pPr>
        <w:pStyle w:val="BodyText"/>
        <w:ind w:left="55" w:firstLine="290"/>
        <w:jc w:val="both"/>
      </w:pPr>
      <w:r>
        <w:rPr/>
        <w:t>Genelleme kabiliyetini daha “zor” polip tipleri üzerinde ayrıca sınamak amacıyla Kvasir-Sessile veri seti harici test olarak kullanılmıştır. Bu setin, 196 adet görüntü–maske çifti içerdiği ve özellikle sessile/flat karakterli (kolon duvarına yayvan oturan), sınırları daha silik ve klinik olarak kaçırılması daha olası polip örneklerine odaklandığı rapor edilmektedir. Bu nedenle Kvasir-Sessile, Kvasir-SEG üzerinde öğrenilen temsilin; farklı polip morfolojilerinde ve daha düşük kontrast/sınır belirginliği koşullarında domain shift</w:t>
      </w:r>
      <w:r>
        <w:rPr>
          <w:spacing w:val="-10"/>
        </w:rPr>
        <w:t> </w:t>
      </w:r>
      <w:r>
        <w:rPr/>
        <w:t>etkisine</w:t>
      </w:r>
      <w:r>
        <w:rPr>
          <w:spacing w:val="-8"/>
        </w:rPr>
        <w:t> </w:t>
      </w:r>
      <w:r>
        <w:rPr/>
        <w:t>ne</w:t>
      </w:r>
      <w:r>
        <w:rPr>
          <w:spacing w:val="-8"/>
        </w:rPr>
        <w:t> </w:t>
      </w:r>
      <w:r>
        <w:rPr/>
        <w:t>kadar</w:t>
      </w:r>
      <w:r>
        <w:rPr>
          <w:spacing w:val="-11"/>
        </w:rPr>
        <w:t> </w:t>
      </w:r>
      <w:r>
        <w:rPr/>
        <w:t>dayanıklı</w:t>
      </w:r>
      <w:r>
        <w:rPr>
          <w:spacing w:val="-10"/>
        </w:rPr>
        <w:t> </w:t>
      </w:r>
      <w:r>
        <w:rPr/>
        <w:t>olduğunu</w:t>
      </w:r>
      <w:r>
        <w:rPr>
          <w:spacing w:val="-9"/>
        </w:rPr>
        <w:t> </w:t>
      </w:r>
      <w:r>
        <w:rPr/>
        <w:t>ölçmek</w:t>
      </w:r>
      <w:r>
        <w:rPr>
          <w:spacing w:val="-9"/>
        </w:rPr>
        <w:t> </w:t>
      </w:r>
      <w:r>
        <w:rPr/>
        <w:t>için</w:t>
      </w:r>
      <w:r>
        <w:rPr>
          <w:spacing w:val="-10"/>
        </w:rPr>
        <w:t> </w:t>
      </w:r>
      <w:r>
        <w:rPr/>
        <w:t>uygun bir “stres testi” işlevi görür [9]. Biz de bu seti yalnızca test amacıyla kullanarak, eğitimde görülmeyen örnekler üzerindeki</w:t>
      </w:r>
      <w:r>
        <w:rPr>
          <w:spacing w:val="-9"/>
        </w:rPr>
        <w:t> </w:t>
      </w:r>
      <w:r>
        <w:rPr/>
        <w:t>Dice/IoU</w:t>
      </w:r>
      <w:r>
        <w:rPr>
          <w:spacing w:val="-8"/>
        </w:rPr>
        <w:t> </w:t>
      </w:r>
      <w:r>
        <w:rPr/>
        <w:t>gibi</w:t>
      </w:r>
      <w:r>
        <w:rPr>
          <w:spacing w:val="-9"/>
        </w:rPr>
        <w:t> </w:t>
      </w:r>
      <w:r>
        <w:rPr/>
        <w:t>metriklerle</w:t>
      </w:r>
      <w:r>
        <w:rPr>
          <w:spacing w:val="-8"/>
        </w:rPr>
        <w:t> </w:t>
      </w:r>
      <w:r>
        <w:rPr/>
        <w:t>modelin</w:t>
      </w:r>
      <w:r>
        <w:rPr>
          <w:spacing w:val="-8"/>
        </w:rPr>
        <w:t> </w:t>
      </w:r>
      <w:r>
        <w:rPr/>
        <w:t>gerçekçi</w:t>
      </w:r>
      <w:r>
        <w:rPr>
          <w:spacing w:val="-9"/>
        </w:rPr>
        <w:t> </w:t>
      </w:r>
      <w:r>
        <w:rPr/>
        <w:t>klinik senaryolara yaklaşımını değerlendirdik.</w:t>
      </w:r>
    </w:p>
    <w:p>
      <w:pPr>
        <w:pStyle w:val="BodyText"/>
        <w:spacing w:before="1"/>
      </w:pPr>
    </w:p>
    <w:p>
      <w:pPr>
        <w:pStyle w:val="Heading3"/>
        <w:numPr>
          <w:ilvl w:val="0"/>
          <w:numId w:val="5"/>
        </w:numPr>
        <w:tabs>
          <w:tab w:pos="579" w:val="left" w:leader="none"/>
        </w:tabs>
        <w:spacing w:line="240" w:lineRule="auto" w:before="0" w:after="0"/>
        <w:ind w:left="579" w:right="0" w:hanging="234"/>
        <w:jc w:val="left"/>
      </w:pPr>
      <w:r>
        <w:rPr/>
        <w:t>Deneysel </w:t>
      </w:r>
      <w:r>
        <w:rPr>
          <w:spacing w:val="-2"/>
        </w:rPr>
        <w:t>Kurulum</w:t>
      </w:r>
    </w:p>
    <w:p>
      <w:pPr>
        <w:pStyle w:val="BodyText"/>
        <w:rPr>
          <w:b/>
        </w:rPr>
      </w:pPr>
    </w:p>
    <w:p>
      <w:pPr>
        <w:pStyle w:val="BodyText"/>
        <w:spacing w:before="1"/>
        <w:ind w:left="55" w:right="10"/>
        <w:jc w:val="both"/>
      </w:pPr>
      <w:r>
        <w:rPr/>
        <w:t>Tüm deneyler Google Colab ortamında gerçekleştirilmiştir. Eğitim ve değerlendirme süreçlerinde Colab tarafından sağlanan</w:t>
      </w:r>
      <w:r>
        <w:rPr>
          <w:spacing w:val="56"/>
        </w:rPr>
        <w:t>  </w:t>
      </w:r>
      <w:r>
        <w:rPr/>
        <w:t>T4</w:t>
      </w:r>
      <w:r>
        <w:rPr>
          <w:spacing w:val="56"/>
        </w:rPr>
        <w:t>  </w:t>
      </w:r>
      <w:r>
        <w:rPr/>
        <w:t>GPU</w:t>
      </w:r>
      <w:r>
        <w:rPr>
          <w:spacing w:val="56"/>
        </w:rPr>
        <w:t>  </w:t>
      </w:r>
      <w:r>
        <w:rPr/>
        <w:t>kullanılmıştır.</w:t>
      </w:r>
      <w:r>
        <w:rPr>
          <w:spacing w:val="56"/>
        </w:rPr>
        <w:t>  </w:t>
      </w:r>
      <w:r>
        <w:rPr/>
        <w:t>Çalışma</w:t>
      </w:r>
      <w:r>
        <w:rPr>
          <w:spacing w:val="57"/>
        </w:rPr>
        <w:t>  </w:t>
      </w:r>
      <w:r>
        <w:rPr>
          <w:spacing w:val="-2"/>
        </w:rPr>
        <w:t>oturumu</w:t>
      </w:r>
    </w:p>
    <w:p>
      <w:pPr>
        <w:spacing w:line="240" w:lineRule="auto"/>
        <w:ind w:left="770" w:right="0" w:firstLine="0"/>
        <w:rPr>
          <w:sz w:val="20"/>
        </w:rPr>
      </w:pPr>
      <w:r>
        <w:rPr/>
        <w:br w:type="column"/>
      </w:r>
      <w:r>
        <w:rPr>
          <w:sz w:val="20"/>
        </w:rPr>
        <w:drawing>
          <wp:inline distT="0" distB="0" distL="0" distR="0">
            <wp:extent cx="2171947" cy="180593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2171947" cy="1805939"/>
                    </a:xfrm>
                    <a:prstGeom prst="rect">
                      <a:avLst/>
                    </a:prstGeom>
                  </pic:spPr>
                </pic:pic>
              </a:graphicData>
            </a:graphic>
          </wp:inline>
        </w:drawing>
      </w:r>
      <w:r>
        <w:rPr>
          <w:sz w:val="20"/>
        </w:rPr>
      </w:r>
    </w:p>
    <w:p>
      <w:pPr>
        <w:pStyle w:val="BodyText"/>
        <w:spacing w:before="57"/>
      </w:pPr>
    </w:p>
    <w:p>
      <w:pPr>
        <w:pStyle w:val="BodyText"/>
        <w:ind w:left="55"/>
      </w:pPr>
      <w:r>
        <w:rPr>
          <w:b/>
        </w:rPr>
        <w:t>Şekil</w:t>
      </w:r>
      <w:r>
        <w:rPr>
          <w:b/>
          <w:spacing w:val="40"/>
        </w:rPr>
        <w:t> </w:t>
      </w:r>
      <w:r>
        <w:rPr>
          <w:b/>
        </w:rPr>
        <w:t>3.</w:t>
      </w:r>
      <w:r>
        <w:rPr>
          <w:b/>
          <w:spacing w:val="40"/>
        </w:rPr>
        <w:t> </w:t>
      </w:r>
      <w:r>
        <w:rPr/>
        <w:t>UNet</w:t>
      </w:r>
      <w:r>
        <w:rPr>
          <w:spacing w:val="40"/>
        </w:rPr>
        <w:t> </w:t>
      </w:r>
      <w:r>
        <w:rPr/>
        <w:t>modelinin</w:t>
      </w:r>
      <w:r>
        <w:rPr>
          <w:spacing w:val="40"/>
        </w:rPr>
        <w:t> </w:t>
      </w:r>
      <w:r>
        <w:rPr/>
        <w:t>doğrulama</w:t>
      </w:r>
      <w:r>
        <w:rPr>
          <w:spacing w:val="40"/>
        </w:rPr>
        <w:t> </w:t>
      </w:r>
      <w:r>
        <w:rPr/>
        <w:t>kaybının</w:t>
      </w:r>
      <w:r>
        <w:rPr>
          <w:spacing w:val="40"/>
        </w:rPr>
        <w:t> </w:t>
      </w:r>
      <w:r>
        <w:rPr/>
        <w:t>(validation loss) eğitim adımlarına göre değişimi.</w:t>
      </w:r>
    </w:p>
    <w:p>
      <w:pPr>
        <w:pStyle w:val="BodyText"/>
      </w:pPr>
    </w:p>
    <w:p>
      <w:pPr>
        <w:pStyle w:val="BodyText"/>
        <w:spacing w:before="25"/>
      </w:pPr>
      <w:r>
        <w:rPr/>
        <w:drawing>
          <wp:anchor distT="0" distB="0" distL="0" distR="0" allowOverlap="1" layoutInCell="1" locked="0" behindDoc="1" simplePos="0" relativeHeight="487592448">
            <wp:simplePos x="0" y="0"/>
            <wp:positionH relativeFrom="page">
              <wp:posOffset>4351654</wp:posOffset>
            </wp:positionH>
            <wp:positionV relativeFrom="paragraph">
              <wp:posOffset>177468</wp:posOffset>
            </wp:positionV>
            <wp:extent cx="2172106" cy="178308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2172106" cy="1783080"/>
                    </a:xfrm>
                    <a:prstGeom prst="rect">
                      <a:avLst/>
                    </a:prstGeom>
                  </pic:spPr>
                </pic:pic>
              </a:graphicData>
            </a:graphic>
          </wp:anchor>
        </w:drawing>
      </w:r>
    </w:p>
    <w:p>
      <w:pPr>
        <w:pStyle w:val="BodyText"/>
        <w:spacing w:before="64"/>
      </w:pPr>
    </w:p>
    <w:p>
      <w:pPr>
        <w:pStyle w:val="BodyText"/>
        <w:ind w:left="55"/>
      </w:pPr>
      <w:r>
        <w:rPr>
          <w:b/>
        </w:rPr>
        <w:t>Şekil</w:t>
      </w:r>
      <w:r>
        <w:rPr>
          <w:b/>
          <w:spacing w:val="33"/>
        </w:rPr>
        <w:t> </w:t>
      </w:r>
      <w:r>
        <w:rPr>
          <w:b/>
        </w:rPr>
        <w:t>4.</w:t>
      </w:r>
      <w:r>
        <w:rPr>
          <w:b/>
          <w:spacing w:val="35"/>
        </w:rPr>
        <w:t> </w:t>
      </w:r>
      <w:r>
        <w:rPr/>
        <w:t>UNet</w:t>
      </w:r>
      <w:r>
        <w:rPr>
          <w:spacing w:val="34"/>
        </w:rPr>
        <w:t> </w:t>
      </w:r>
      <w:r>
        <w:rPr/>
        <w:t>modelinin</w:t>
      </w:r>
      <w:r>
        <w:rPr>
          <w:spacing w:val="34"/>
        </w:rPr>
        <w:t> </w:t>
      </w:r>
      <w:r>
        <w:rPr/>
        <w:t>doğrulama</w:t>
      </w:r>
      <w:r>
        <w:rPr>
          <w:spacing w:val="31"/>
        </w:rPr>
        <w:t> </w:t>
      </w:r>
      <w:r>
        <w:rPr/>
        <w:t>IoU</w:t>
      </w:r>
      <w:r>
        <w:rPr>
          <w:spacing w:val="35"/>
        </w:rPr>
        <w:t> </w:t>
      </w:r>
      <w:r>
        <w:rPr/>
        <w:t>değerinin</w:t>
      </w:r>
      <w:r>
        <w:rPr>
          <w:spacing w:val="34"/>
        </w:rPr>
        <w:t> </w:t>
      </w:r>
      <w:r>
        <w:rPr/>
        <w:t>eğitim süreci boyunca gösterdiği performans.</w:t>
      </w:r>
    </w:p>
    <w:p>
      <w:pPr>
        <w:pStyle w:val="BodyText"/>
        <w:spacing w:after="0"/>
        <w:sectPr>
          <w:type w:val="continuous"/>
          <w:pgSz w:w="11910" w:h="16840"/>
          <w:pgMar w:top="480" w:bottom="280" w:left="850" w:right="850"/>
          <w:cols w:num="2" w:equalWidth="0">
            <w:col w:w="4925" w:space="307"/>
            <w:col w:w="4978"/>
          </w:cols>
        </w:sectPr>
      </w:pPr>
    </w:p>
    <w:p>
      <w:pPr>
        <w:tabs>
          <w:tab w:pos="6126" w:val="left" w:leader="none"/>
        </w:tabs>
        <w:spacing w:line="240" w:lineRule="auto"/>
        <w:ind w:left="867" w:right="0" w:firstLine="0"/>
        <w:rPr>
          <w:position w:val="12"/>
          <w:sz w:val="20"/>
        </w:rPr>
      </w:pPr>
      <w:r>
        <w:rPr>
          <w:sz w:val="20"/>
        </w:rPr>
        <w:drawing>
          <wp:inline distT="0" distB="0" distL="0" distR="0">
            <wp:extent cx="2060802" cy="17291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2060802" cy="1729168"/>
                    </a:xfrm>
                    <a:prstGeom prst="rect">
                      <a:avLst/>
                    </a:prstGeom>
                  </pic:spPr>
                </pic:pic>
              </a:graphicData>
            </a:graphic>
          </wp:inline>
        </w:drawing>
      </w:r>
      <w:r>
        <w:rPr>
          <w:sz w:val="20"/>
        </w:rPr>
      </w:r>
      <w:r>
        <w:rPr>
          <w:sz w:val="20"/>
        </w:rPr>
        <w:tab/>
      </w:r>
      <w:r>
        <w:rPr>
          <w:position w:val="12"/>
          <w:sz w:val="20"/>
        </w:rPr>
        <w:drawing>
          <wp:inline distT="0" distB="0" distL="0" distR="0">
            <wp:extent cx="2026779" cy="165354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2026779" cy="1653540"/>
                    </a:xfrm>
                    <a:prstGeom prst="rect">
                      <a:avLst/>
                    </a:prstGeom>
                  </pic:spPr>
                </pic:pic>
              </a:graphicData>
            </a:graphic>
          </wp:inline>
        </w:drawing>
      </w:r>
      <w:r>
        <w:rPr>
          <w:position w:val="12"/>
          <w:sz w:val="20"/>
        </w:rPr>
      </w:r>
    </w:p>
    <w:p>
      <w:pPr>
        <w:pStyle w:val="BodyText"/>
        <w:spacing w:before="1"/>
        <w:rPr>
          <w:sz w:val="6"/>
        </w:rPr>
      </w:pPr>
    </w:p>
    <w:p>
      <w:pPr>
        <w:pStyle w:val="BodyText"/>
        <w:spacing w:after="0"/>
        <w:rPr>
          <w:sz w:val="6"/>
        </w:rPr>
        <w:sectPr>
          <w:pgSz w:w="11910" w:h="16840"/>
          <w:pgMar w:top="1080" w:bottom="280" w:left="850" w:right="850"/>
        </w:sectPr>
      </w:pPr>
    </w:p>
    <w:p>
      <w:pPr>
        <w:pStyle w:val="BodyText"/>
        <w:spacing w:before="216"/>
        <w:ind w:left="55"/>
      </w:pPr>
      <w:r>
        <w:rPr>
          <w:b/>
        </w:rPr>
        <w:t>Şekil</w:t>
      </w:r>
      <w:r>
        <w:rPr>
          <w:b/>
          <w:spacing w:val="-9"/>
        </w:rPr>
        <w:t> </w:t>
      </w:r>
      <w:r>
        <w:rPr>
          <w:b/>
        </w:rPr>
        <w:t>5.</w:t>
      </w:r>
      <w:r>
        <w:rPr>
          <w:b/>
          <w:spacing w:val="-7"/>
        </w:rPr>
        <w:t> </w:t>
      </w:r>
      <w:r>
        <w:rPr/>
        <w:t>UNet</w:t>
      </w:r>
      <w:r>
        <w:rPr>
          <w:spacing w:val="-8"/>
        </w:rPr>
        <w:t> </w:t>
      </w:r>
      <w:r>
        <w:rPr/>
        <w:t>modelinin</w:t>
      </w:r>
      <w:r>
        <w:rPr>
          <w:spacing w:val="-7"/>
        </w:rPr>
        <w:t> </w:t>
      </w:r>
      <w:r>
        <w:rPr/>
        <w:t>doğrulama</w:t>
      </w:r>
      <w:r>
        <w:rPr>
          <w:spacing w:val="-6"/>
        </w:rPr>
        <w:t> </w:t>
      </w:r>
      <w:r>
        <w:rPr/>
        <w:t>F-skorunun</w:t>
      </w:r>
      <w:r>
        <w:rPr>
          <w:spacing w:val="-7"/>
        </w:rPr>
        <w:t> </w:t>
      </w:r>
      <w:r>
        <w:rPr/>
        <w:t>eğitim adımlarına bağlı olarak değişimi.</w:t>
      </w:r>
    </w:p>
    <w:p>
      <w:pPr>
        <w:pStyle w:val="BodyText"/>
      </w:pPr>
    </w:p>
    <w:p>
      <w:pPr>
        <w:pStyle w:val="BodyText"/>
      </w:pPr>
    </w:p>
    <w:p>
      <w:pPr>
        <w:pStyle w:val="BodyText"/>
        <w:spacing w:before="26"/>
      </w:pPr>
      <w:r>
        <w:rPr/>
        <w:drawing>
          <wp:anchor distT="0" distB="0" distL="0" distR="0" allowOverlap="1" layoutInCell="1" locked="0" behindDoc="1" simplePos="0" relativeHeight="487593984">
            <wp:simplePos x="0" y="0"/>
            <wp:positionH relativeFrom="page">
              <wp:posOffset>1100772</wp:posOffset>
            </wp:positionH>
            <wp:positionV relativeFrom="paragraph">
              <wp:posOffset>177853</wp:posOffset>
            </wp:positionV>
            <wp:extent cx="2052180" cy="17210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052180" cy="1721072"/>
                    </a:xfrm>
                    <a:prstGeom prst="rect">
                      <a:avLst/>
                    </a:prstGeom>
                  </pic:spPr>
                </pic:pic>
              </a:graphicData>
            </a:graphic>
          </wp:anchor>
        </w:drawing>
      </w:r>
    </w:p>
    <w:p>
      <w:pPr>
        <w:pStyle w:val="BodyText"/>
        <w:spacing w:before="40"/>
      </w:pPr>
    </w:p>
    <w:p>
      <w:pPr>
        <w:pStyle w:val="BodyText"/>
        <w:ind w:left="55"/>
      </w:pPr>
      <w:r>
        <w:rPr>
          <w:b/>
          <w:spacing w:val="-2"/>
        </w:rPr>
        <w:t>Şekil 6. </w:t>
      </w:r>
      <w:r>
        <w:rPr>
          <w:spacing w:val="-2"/>
        </w:rPr>
        <w:t>UNet modelinin doğrulama</w:t>
      </w:r>
      <w:r>
        <w:rPr>
          <w:spacing w:val="-5"/>
        </w:rPr>
        <w:t> </w:t>
      </w:r>
      <w:r>
        <w:rPr>
          <w:spacing w:val="-2"/>
        </w:rPr>
        <w:t>doğruluğunun </w:t>
      </w:r>
      <w:r>
        <w:rPr>
          <w:spacing w:val="-2"/>
        </w:rPr>
        <w:t>(accuracy) </w:t>
      </w:r>
      <w:r>
        <w:rPr/>
        <w:t>eğitim süreci boyunca elde edilen sonuçları.</w:t>
      </w:r>
    </w:p>
    <w:p>
      <w:pPr>
        <w:pStyle w:val="BodyText"/>
      </w:pPr>
    </w:p>
    <w:p>
      <w:pPr>
        <w:pStyle w:val="BodyText"/>
        <w:spacing w:before="25"/>
      </w:pPr>
      <w:r>
        <w:rPr/>
        <w:drawing>
          <wp:anchor distT="0" distB="0" distL="0" distR="0" allowOverlap="1" layoutInCell="1" locked="0" behindDoc="1" simplePos="0" relativeHeight="487594496">
            <wp:simplePos x="0" y="0"/>
            <wp:positionH relativeFrom="page">
              <wp:posOffset>1111250</wp:posOffset>
            </wp:positionH>
            <wp:positionV relativeFrom="paragraph">
              <wp:posOffset>177627</wp:posOffset>
            </wp:positionV>
            <wp:extent cx="2027036" cy="166954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2027036" cy="1669542"/>
                    </a:xfrm>
                    <a:prstGeom prst="rect">
                      <a:avLst/>
                    </a:prstGeom>
                  </pic:spPr>
                </pic:pic>
              </a:graphicData>
            </a:graphic>
          </wp:anchor>
        </w:drawing>
      </w:r>
    </w:p>
    <w:p>
      <w:pPr>
        <w:pStyle w:val="BodyText"/>
        <w:spacing w:before="37"/>
      </w:pPr>
    </w:p>
    <w:p>
      <w:pPr>
        <w:pStyle w:val="BodyText"/>
        <w:ind w:left="55"/>
      </w:pPr>
      <w:r>
        <w:rPr>
          <w:b/>
        </w:rPr>
        <w:t>Şekil</w:t>
      </w:r>
      <w:r>
        <w:rPr>
          <w:b/>
          <w:spacing w:val="40"/>
        </w:rPr>
        <w:t> </w:t>
      </w:r>
      <w:r>
        <w:rPr>
          <w:b/>
        </w:rPr>
        <w:t>7.</w:t>
      </w:r>
      <w:r>
        <w:rPr>
          <w:b/>
          <w:spacing w:val="40"/>
        </w:rPr>
        <w:t> </w:t>
      </w:r>
      <w:r>
        <w:rPr/>
        <w:t>UNet</w:t>
      </w:r>
      <w:r>
        <w:rPr>
          <w:spacing w:val="40"/>
        </w:rPr>
        <w:t> </w:t>
      </w:r>
      <w:r>
        <w:rPr/>
        <w:t>modelinin</w:t>
      </w:r>
      <w:r>
        <w:rPr>
          <w:spacing w:val="40"/>
        </w:rPr>
        <w:t> </w:t>
      </w:r>
      <w:r>
        <w:rPr/>
        <w:t>eğitim</w:t>
      </w:r>
      <w:r>
        <w:rPr>
          <w:spacing w:val="40"/>
        </w:rPr>
        <w:t> </w:t>
      </w:r>
      <w:r>
        <w:rPr/>
        <w:t>kaybının</w:t>
      </w:r>
      <w:r>
        <w:rPr>
          <w:spacing w:val="40"/>
        </w:rPr>
        <w:t> </w:t>
      </w:r>
      <w:r>
        <w:rPr/>
        <w:t>(training</w:t>
      </w:r>
      <w:r>
        <w:rPr>
          <w:spacing w:val="40"/>
        </w:rPr>
        <w:t> </w:t>
      </w:r>
      <w:r>
        <w:rPr/>
        <w:t>loss) eğitim adımlarına göre değişimi.</w:t>
      </w:r>
    </w:p>
    <w:p>
      <w:pPr>
        <w:pStyle w:val="BodyText"/>
        <w:spacing w:before="70"/>
        <w:ind w:left="60" w:right="57"/>
        <w:jc w:val="both"/>
      </w:pPr>
      <w:r>
        <w:rPr/>
        <w:br w:type="column"/>
      </w:r>
      <w:r>
        <w:rPr>
          <w:b/>
        </w:rPr>
        <w:t>Şekil 8. </w:t>
      </w:r>
      <w:r>
        <w:rPr/>
        <w:t>Eğitim sürecinde kullanılan öğrenme oranının (learning rate) adımlara bağlı olarak güncellenmesi.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r>
        <w:rPr/>
        <mc:AlternateContent>
          <mc:Choice Requires="wps">
            <w:drawing>
              <wp:anchor distT="0" distB="0" distL="0" distR="0" allowOverlap="1" layoutInCell="1" locked="0" behindDoc="1" simplePos="0" relativeHeight="487595008">
                <wp:simplePos x="0" y="0"/>
                <wp:positionH relativeFrom="page">
                  <wp:posOffset>3894454</wp:posOffset>
                </wp:positionH>
                <wp:positionV relativeFrom="paragraph">
                  <wp:posOffset>178511</wp:posOffset>
                </wp:positionV>
                <wp:extent cx="3107055" cy="234251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3107055" cy="2342515"/>
                          <a:chExt cx="3107055" cy="2342515"/>
                        </a:xfrm>
                      </wpg:grpSpPr>
                      <pic:pic>
                        <pic:nvPicPr>
                          <pic:cNvPr id="20" name="Image 20"/>
                          <pic:cNvPicPr/>
                        </pic:nvPicPr>
                        <pic:blipFill>
                          <a:blip r:embed="rId15" cstate="print"/>
                          <a:stretch>
                            <a:fillRect/>
                          </a:stretch>
                        </pic:blipFill>
                        <pic:spPr>
                          <a:xfrm>
                            <a:off x="0" y="0"/>
                            <a:ext cx="3107054" cy="796099"/>
                          </a:xfrm>
                          <a:prstGeom prst="rect">
                            <a:avLst/>
                          </a:prstGeom>
                        </pic:spPr>
                      </pic:pic>
                      <pic:pic>
                        <pic:nvPicPr>
                          <pic:cNvPr id="21" name="Image 21"/>
                          <pic:cNvPicPr/>
                        </pic:nvPicPr>
                        <pic:blipFill>
                          <a:blip r:embed="rId16" cstate="print"/>
                          <a:stretch>
                            <a:fillRect/>
                          </a:stretch>
                        </pic:blipFill>
                        <pic:spPr>
                          <a:xfrm>
                            <a:off x="0" y="800163"/>
                            <a:ext cx="3089910" cy="1542288"/>
                          </a:xfrm>
                          <a:prstGeom prst="rect">
                            <a:avLst/>
                          </a:prstGeom>
                        </pic:spPr>
                      </pic:pic>
                    </wpg:wgp>
                  </a:graphicData>
                </a:graphic>
              </wp:anchor>
            </w:drawing>
          </mc:Choice>
          <mc:Fallback>
            <w:pict>
              <v:group style="position:absolute;margin-left:306.649994pt;margin-top:14.056035pt;width:244.65pt;height:184.45pt;mso-position-horizontal-relative:page;mso-position-vertical-relative:paragraph;z-index:-15721472;mso-wrap-distance-left:0;mso-wrap-distance-right:0" id="docshapegroup11" coordorigin="6133,281" coordsize="4893,3689">
                <v:shape style="position:absolute;left:6133;top:281;width:4893;height:1254" type="#_x0000_t75" id="docshape12" stroked="false">
                  <v:imagedata r:id="rId15" o:title=""/>
                </v:shape>
                <v:shape style="position:absolute;left:6133;top:1541;width:4866;height:2429" type="#_x0000_t75" id="docshape13" stroked="false">
                  <v:imagedata r:id="rId16" o:title=""/>
                </v:shape>
                <w10:wrap type="topAndBottom"/>
              </v:group>
            </w:pict>
          </mc:Fallback>
        </mc:AlternateContent>
      </w:r>
    </w:p>
    <w:p>
      <w:pPr>
        <w:pStyle w:val="BodyText"/>
        <w:spacing w:before="52"/>
      </w:pPr>
    </w:p>
    <w:p>
      <w:pPr>
        <w:pStyle w:val="BodyText"/>
        <w:ind w:left="60"/>
        <w:jc w:val="both"/>
      </w:pPr>
      <w:r>
        <w:rPr>
          <w:b/>
        </w:rPr>
        <w:t>Şekil</w:t>
      </w:r>
      <w:r>
        <w:rPr>
          <w:b/>
          <w:spacing w:val="52"/>
        </w:rPr>
        <w:t> </w:t>
      </w:r>
      <w:r>
        <w:rPr>
          <w:b/>
        </w:rPr>
        <w:t>9.</w:t>
      </w:r>
      <w:r>
        <w:rPr>
          <w:b/>
          <w:spacing w:val="54"/>
        </w:rPr>
        <w:t> </w:t>
      </w:r>
      <w:r>
        <w:rPr/>
        <w:t>UNet</w:t>
      </w:r>
      <w:r>
        <w:rPr>
          <w:spacing w:val="53"/>
        </w:rPr>
        <w:t> </w:t>
      </w:r>
      <w:r>
        <w:rPr/>
        <w:t>modeline</w:t>
      </w:r>
      <w:r>
        <w:rPr>
          <w:spacing w:val="55"/>
        </w:rPr>
        <w:t> </w:t>
      </w:r>
      <w:r>
        <w:rPr/>
        <w:t>ait</w:t>
      </w:r>
      <w:r>
        <w:rPr>
          <w:spacing w:val="52"/>
        </w:rPr>
        <w:t> </w:t>
      </w:r>
      <w:r>
        <w:rPr/>
        <w:t>tahmin</w:t>
      </w:r>
      <w:r>
        <w:rPr>
          <w:spacing w:val="58"/>
        </w:rPr>
        <w:t> </w:t>
      </w:r>
      <w:r>
        <w:rPr/>
        <w:t>maskeleri</w:t>
      </w:r>
      <w:r>
        <w:rPr>
          <w:spacing w:val="53"/>
        </w:rPr>
        <w:t> </w:t>
      </w:r>
      <w:r>
        <w:rPr/>
        <w:t>ile</w:t>
      </w:r>
      <w:r>
        <w:rPr>
          <w:spacing w:val="55"/>
        </w:rPr>
        <w:t> </w:t>
      </w:r>
      <w:r>
        <w:rPr>
          <w:spacing w:val="-2"/>
        </w:rPr>
        <w:t>gerçek</w:t>
      </w:r>
    </w:p>
    <w:p>
      <w:pPr>
        <w:pStyle w:val="BodyText"/>
        <w:spacing w:before="1"/>
        <w:ind w:left="60"/>
        <w:jc w:val="both"/>
      </w:pPr>
      <w:r>
        <w:rPr/>
        <w:t>maskelerin</w:t>
      </w:r>
      <w:r>
        <w:rPr>
          <w:spacing w:val="-4"/>
        </w:rPr>
        <w:t> </w:t>
      </w:r>
      <w:r>
        <w:rPr/>
        <w:t>görsel</w:t>
      </w:r>
      <w:r>
        <w:rPr>
          <w:spacing w:val="-3"/>
        </w:rPr>
        <w:t> </w:t>
      </w:r>
      <w:r>
        <w:rPr/>
        <w:t>karşılaştırması</w:t>
      </w:r>
      <w:r>
        <w:rPr>
          <w:spacing w:val="-3"/>
        </w:rPr>
        <w:t> </w:t>
      </w:r>
      <w:r>
        <w:rPr/>
        <w:t>ve</w:t>
      </w:r>
      <w:r>
        <w:rPr>
          <w:spacing w:val="-1"/>
        </w:rPr>
        <w:t> </w:t>
      </w:r>
      <w:r>
        <w:rPr/>
        <w:t>örtüşme</w:t>
      </w:r>
      <w:r>
        <w:rPr>
          <w:spacing w:val="-1"/>
        </w:rPr>
        <w:t> </w:t>
      </w:r>
      <w:r>
        <w:rPr>
          <w:spacing w:val="-2"/>
        </w:rPr>
        <w:t>analizi.</w:t>
      </w:r>
    </w:p>
    <w:p>
      <w:pPr>
        <w:pStyle w:val="BodyText"/>
      </w:pPr>
    </w:p>
    <w:p>
      <w:pPr>
        <w:pStyle w:val="BodyText"/>
        <w:spacing w:before="24"/>
      </w:pPr>
      <w:r>
        <w:rPr/>
        <w:drawing>
          <wp:anchor distT="0" distB="0" distL="0" distR="0" allowOverlap="1" layoutInCell="1" locked="0" behindDoc="1" simplePos="0" relativeHeight="487595520">
            <wp:simplePos x="0" y="0"/>
            <wp:positionH relativeFrom="page">
              <wp:posOffset>3894454</wp:posOffset>
            </wp:positionH>
            <wp:positionV relativeFrom="paragraph">
              <wp:posOffset>176706</wp:posOffset>
            </wp:positionV>
            <wp:extent cx="3112861" cy="154228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3112861" cy="1542288"/>
                    </a:xfrm>
                    <a:prstGeom prst="rect">
                      <a:avLst/>
                    </a:prstGeom>
                  </pic:spPr>
                </pic:pic>
              </a:graphicData>
            </a:graphic>
          </wp:anchor>
        </w:drawing>
      </w:r>
    </w:p>
    <w:p>
      <w:pPr>
        <w:pStyle w:val="BodyText"/>
        <w:ind w:left="60" w:right="48"/>
        <w:jc w:val="both"/>
      </w:pPr>
      <w:r>
        <w:rPr>
          <w:b/>
        </w:rPr>
        <w:t>Şekil 10. </w:t>
      </w:r>
      <w:r>
        <w:rPr/>
        <w:t>Geliştirilmiş polip segmentasyon modeli için kullanılan mimari, kayıp fonksiyonları, veri artırma, eğitim, hızlandırma ve açıklanabilirlik bileşenlerinin genel </w:t>
      </w:r>
      <w:r>
        <w:rPr>
          <w:spacing w:val="-2"/>
        </w:rPr>
        <w:t>görünümü.</w:t>
      </w:r>
    </w:p>
    <w:p>
      <w:pPr>
        <w:pStyle w:val="BodyText"/>
        <w:spacing w:after="0"/>
        <w:jc w:val="both"/>
        <w:sectPr>
          <w:type w:val="continuous"/>
          <w:pgSz w:w="11910" w:h="16840"/>
          <w:pgMar w:top="480" w:bottom="280" w:left="850" w:right="850"/>
          <w:cols w:num="2" w:equalWidth="0">
            <w:col w:w="4926" w:space="302"/>
            <w:col w:w="4982"/>
          </w:cols>
        </w:sectPr>
      </w:pPr>
    </w:p>
    <w:p>
      <w:pPr>
        <w:pStyle w:val="Heading2"/>
        <w:numPr>
          <w:ilvl w:val="0"/>
          <w:numId w:val="1"/>
        </w:numPr>
        <w:tabs>
          <w:tab w:pos="863" w:val="left" w:leader="none"/>
        </w:tabs>
        <w:spacing w:line="240" w:lineRule="auto" w:before="79" w:after="0"/>
        <w:ind w:left="863" w:right="0" w:hanging="308"/>
        <w:jc w:val="left"/>
      </w:pPr>
      <w:bookmarkStart w:name="V. SONUÇ VE GELECEK ÇALIŞMALAR" w:id="6"/>
      <w:bookmarkEnd w:id="6"/>
      <w:r>
        <w:rPr>
          <w:b w:val="0"/>
        </w:rPr>
      </w:r>
      <w:r>
        <w:rPr/>
        <w:t>SONUÇ</w:t>
      </w:r>
      <w:r>
        <w:rPr>
          <w:spacing w:val="-11"/>
        </w:rPr>
        <w:t> </w:t>
      </w:r>
      <w:r>
        <w:rPr/>
        <w:t>VE</w:t>
      </w:r>
      <w:r>
        <w:rPr>
          <w:spacing w:val="-11"/>
        </w:rPr>
        <w:t> </w:t>
      </w:r>
      <w:r>
        <w:rPr/>
        <w:t>GELECEK</w:t>
      </w:r>
      <w:r>
        <w:rPr>
          <w:spacing w:val="-11"/>
        </w:rPr>
        <w:t> </w:t>
      </w:r>
      <w:r>
        <w:rPr>
          <w:spacing w:val="-2"/>
        </w:rPr>
        <w:t>ÇALIŞMALAR</w:t>
      </w:r>
    </w:p>
    <w:p>
      <w:pPr>
        <w:pStyle w:val="BodyText"/>
        <w:spacing w:before="9"/>
        <w:rPr>
          <w:b/>
        </w:rPr>
      </w:pPr>
    </w:p>
    <w:p>
      <w:pPr>
        <w:pStyle w:val="BodyText"/>
        <w:spacing w:before="1"/>
        <w:ind w:left="55" w:firstLine="250"/>
        <w:jc w:val="both"/>
      </w:pPr>
      <w:r>
        <w:rPr/>
        <w:t>Bu çalışmada, Kvasir-SEG veri kümesi üzerinde poliplerin otomatik anlamsal segmentasyonu için derin öğrenme tabanlı bir yaklaşım ele alınmış ve eğitim süreci sistematik bir kurulumla optimize edilmiştir. Kolonoskopi görüntülerindeki gerçek dünya zorluklarına (aydınlatma değişimleri, düşük kontrast, bulanıklık, doku benzerliği ve sınır</w:t>
      </w:r>
      <w:r>
        <w:rPr>
          <w:spacing w:val="-3"/>
        </w:rPr>
        <w:t> </w:t>
      </w:r>
      <w:r>
        <w:rPr/>
        <w:t>belirsizliği)</w:t>
      </w:r>
      <w:r>
        <w:rPr>
          <w:spacing w:val="-2"/>
        </w:rPr>
        <w:t> </w:t>
      </w:r>
      <w:r>
        <w:rPr/>
        <w:t>rağmen,</w:t>
      </w:r>
      <w:r>
        <w:rPr>
          <w:spacing w:val="-1"/>
        </w:rPr>
        <w:t> </w:t>
      </w:r>
      <w:r>
        <w:rPr/>
        <w:t>elde</w:t>
      </w:r>
      <w:r>
        <w:rPr>
          <w:spacing w:val="-4"/>
        </w:rPr>
        <w:t> </w:t>
      </w:r>
      <w:r>
        <w:rPr/>
        <w:t>edilen</w:t>
      </w:r>
      <w:r>
        <w:rPr>
          <w:spacing w:val="-1"/>
        </w:rPr>
        <w:t> </w:t>
      </w:r>
      <w:r>
        <w:rPr/>
        <w:t>sonuçlar</w:t>
      </w:r>
      <w:r>
        <w:rPr>
          <w:spacing w:val="-2"/>
        </w:rPr>
        <w:t> </w:t>
      </w:r>
      <w:r>
        <w:rPr/>
        <w:t>modelin</w:t>
      </w:r>
      <w:r>
        <w:rPr>
          <w:spacing w:val="-1"/>
        </w:rPr>
        <w:t> </w:t>
      </w:r>
      <w:r>
        <w:rPr/>
        <w:t>polip bölgelerini anlamlı doğrulukta ayırt edebildiğini ve segmentasyon çıktılarının klinik karar destek senaryolarına temel oluşturabilecek nitelikte olduğunu göstermektedir. Çalışma kapsamında kullanılan metrikler (DSC/Dice, IoU, accuracy,</w:t>
      </w:r>
      <w:r>
        <w:rPr>
          <w:spacing w:val="-13"/>
        </w:rPr>
        <w:t> </w:t>
      </w:r>
      <w:r>
        <w:rPr/>
        <w:t>precision,</w:t>
      </w:r>
      <w:r>
        <w:rPr>
          <w:spacing w:val="-12"/>
        </w:rPr>
        <w:t> </w:t>
      </w:r>
      <w:r>
        <w:rPr/>
        <w:t>recall,</w:t>
      </w:r>
      <w:r>
        <w:rPr>
          <w:spacing w:val="-13"/>
        </w:rPr>
        <w:t> </w:t>
      </w:r>
      <w:r>
        <w:rPr/>
        <w:t>specificity</w:t>
      </w:r>
      <w:r>
        <w:rPr>
          <w:spacing w:val="-12"/>
        </w:rPr>
        <w:t> </w:t>
      </w:r>
      <w:r>
        <w:rPr/>
        <w:t>ve</w:t>
      </w:r>
      <w:r>
        <w:rPr>
          <w:spacing w:val="-13"/>
        </w:rPr>
        <w:t> </w:t>
      </w:r>
      <w:r>
        <w:rPr/>
        <w:t>sınır</w:t>
      </w:r>
      <w:r>
        <w:rPr>
          <w:spacing w:val="-12"/>
        </w:rPr>
        <w:t> </w:t>
      </w:r>
      <w:r>
        <w:rPr/>
        <w:t>odaklı</w:t>
      </w:r>
      <w:r>
        <w:rPr>
          <w:spacing w:val="-13"/>
        </w:rPr>
        <w:t> </w:t>
      </w:r>
      <w:r>
        <w:rPr/>
        <w:t>ölçütler) birlikte değerlendirildiğinde, yaklaşımın hem bölgesel örtüşme</w:t>
      </w:r>
      <w:r>
        <w:rPr>
          <w:spacing w:val="-13"/>
        </w:rPr>
        <w:t> </w:t>
      </w:r>
      <w:r>
        <w:rPr/>
        <w:t>başarımı</w:t>
      </w:r>
      <w:r>
        <w:rPr>
          <w:spacing w:val="-12"/>
        </w:rPr>
        <w:t> </w:t>
      </w:r>
      <w:r>
        <w:rPr/>
        <w:t>hem</w:t>
      </w:r>
      <w:r>
        <w:rPr>
          <w:spacing w:val="-13"/>
        </w:rPr>
        <w:t> </w:t>
      </w:r>
      <w:r>
        <w:rPr/>
        <w:t>de</w:t>
      </w:r>
      <w:r>
        <w:rPr>
          <w:spacing w:val="-12"/>
        </w:rPr>
        <w:t> </w:t>
      </w:r>
      <w:r>
        <w:rPr/>
        <w:t>yanlış</w:t>
      </w:r>
      <w:r>
        <w:rPr>
          <w:spacing w:val="-12"/>
        </w:rPr>
        <w:t> </w:t>
      </w:r>
      <w:r>
        <w:rPr/>
        <w:t>pozitif/yanlış</w:t>
      </w:r>
      <w:r>
        <w:rPr>
          <w:spacing w:val="-11"/>
        </w:rPr>
        <w:t> </w:t>
      </w:r>
      <w:r>
        <w:rPr/>
        <w:t>negatif</w:t>
      </w:r>
      <w:r>
        <w:rPr>
          <w:spacing w:val="-13"/>
        </w:rPr>
        <w:t> </w:t>
      </w:r>
      <w:r>
        <w:rPr/>
        <w:t>dengesi açısından tutarlı bir performans ortaya koyduğu anlaşılmaktadır. Ayrıca Kvasir-Sessile gibi farklı bir test dağılımında değerlendirme yapılması, modelin yalnızca tek bir veri kümesine “ezberlemesini” azaltmaya yönelik pratik bir dış test adımı sağlamıştır.</w:t>
      </w:r>
    </w:p>
    <w:p>
      <w:pPr>
        <w:pStyle w:val="BodyText"/>
        <w:spacing w:before="11"/>
      </w:pPr>
    </w:p>
    <w:p>
      <w:pPr>
        <w:pStyle w:val="BodyText"/>
        <w:ind w:left="55" w:right="1" w:firstLine="250"/>
        <w:jc w:val="both"/>
      </w:pPr>
      <w:r>
        <w:rPr/>
        <w:t>Gelecek çalışmalarda performansı ve genellenebilirliği artırmak</w:t>
      </w:r>
      <w:r>
        <w:rPr>
          <w:spacing w:val="-8"/>
        </w:rPr>
        <w:t> </w:t>
      </w:r>
      <w:r>
        <w:rPr/>
        <w:t>için</w:t>
      </w:r>
      <w:r>
        <w:rPr>
          <w:spacing w:val="-9"/>
        </w:rPr>
        <w:t> </w:t>
      </w:r>
      <w:r>
        <w:rPr/>
        <w:t>birkaç</w:t>
      </w:r>
      <w:r>
        <w:rPr>
          <w:spacing w:val="-7"/>
        </w:rPr>
        <w:t> </w:t>
      </w:r>
      <w:r>
        <w:rPr/>
        <w:t>net</w:t>
      </w:r>
      <w:r>
        <w:rPr>
          <w:spacing w:val="-9"/>
        </w:rPr>
        <w:t> </w:t>
      </w:r>
      <w:r>
        <w:rPr/>
        <w:t>yön</w:t>
      </w:r>
      <w:r>
        <w:rPr>
          <w:spacing w:val="-8"/>
        </w:rPr>
        <w:t> </w:t>
      </w:r>
      <w:r>
        <w:rPr/>
        <w:t>öne</w:t>
      </w:r>
      <w:r>
        <w:rPr>
          <w:spacing w:val="-7"/>
        </w:rPr>
        <w:t> </w:t>
      </w:r>
      <w:r>
        <w:rPr/>
        <w:t>çıkmaktadır.</w:t>
      </w:r>
      <w:r>
        <w:rPr>
          <w:spacing w:val="-8"/>
        </w:rPr>
        <w:t> </w:t>
      </w:r>
      <w:r>
        <w:rPr/>
        <w:t>İlk</w:t>
      </w:r>
      <w:r>
        <w:rPr>
          <w:spacing w:val="-4"/>
        </w:rPr>
        <w:t> </w:t>
      </w:r>
      <w:r>
        <w:rPr/>
        <w:t>olarak,</w:t>
      </w:r>
      <w:r>
        <w:rPr>
          <w:spacing w:val="-8"/>
        </w:rPr>
        <w:t> </w:t>
      </w:r>
      <w:r>
        <w:rPr/>
        <w:t>çok- merkezli ve daha heterojen veri ile dış doğrulama (external validation) yapılması, klinik ortama yakın genelleme iddiasını güçlendirecektir. Bu kapsamda farklı cihaz markaları,</w:t>
      </w:r>
      <w:r>
        <w:rPr>
          <w:spacing w:val="-13"/>
        </w:rPr>
        <w:t> </w:t>
      </w:r>
      <w:r>
        <w:rPr/>
        <w:t>farklı</w:t>
      </w:r>
      <w:r>
        <w:rPr>
          <w:spacing w:val="-12"/>
        </w:rPr>
        <w:t> </w:t>
      </w:r>
      <w:r>
        <w:rPr/>
        <w:t>çözünürlükler</w:t>
      </w:r>
      <w:r>
        <w:rPr>
          <w:spacing w:val="-13"/>
        </w:rPr>
        <w:t> </w:t>
      </w:r>
      <w:r>
        <w:rPr/>
        <w:t>ve</w:t>
      </w:r>
      <w:r>
        <w:rPr>
          <w:spacing w:val="-12"/>
        </w:rPr>
        <w:t> </w:t>
      </w:r>
      <w:r>
        <w:rPr/>
        <w:t>farklı</w:t>
      </w:r>
      <w:r>
        <w:rPr>
          <w:spacing w:val="-13"/>
        </w:rPr>
        <w:t> </w:t>
      </w:r>
      <w:r>
        <w:rPr/>
        <w:t>hasta</w:t>
      </w:r>
      <w:r>
        <w:rPr>
          <w:spacing w:val="-12"/>
        </w:rPr>
        <w:t> </w:t>
      </w:r>
      <w:r>
        <w:rPr/>
        <w:t>profilleri</w:t>
      </w:r>
      <w:r>
        <w:rPr>
          <w:spacing w:val="-13"/>
        </w:rPr>
        <w:t> </w:t>
      </w:r>
      <w:r>
        <w:rPr/>
        <w:t>içeren veri kümeleriyle çapraz-veri seti</w:t>
      </w:r>
      <w:r>
        <w:rPr>
          <w:spacing w:val="-3"/>
        </w:rPr>
        <w:t> </w:t>
      </w:r>
      <w:r>
        <w:rPr/>
        <w:t>testleri planlanabilir. İkinci olarak, sınır kalitesine özel iyileştirmeler hedeflenebilir: Boundary F1’i artırmak için boundary-aware loss (ör. boundary loss, surface loss) veya Dice+Boundary hibrit kayıplar denenebilir; ayrıca post-processing tarafında morfolojik düzeltmeler ya da CRF gibi yöntemlerle sınır pürüzleri azaltılabilir. Üçüncü olarak, metrikler içinde yer alan Hausdorff Distance gibi uzaklık tabanlı ölçütlerde iyileşme için özellikle küçük poliplerde görülen “parça parça”</w:t>
      </w:r>
      <w:r>
        <w:rPr>
          <w:spacing w:val="-5"/>
        </w:rPr>
        <w:t> </w:t>
      </w:r>
      <w:r>
        <w:rPr/>
        <w:t>segmentasyon</w:t>
      </w:r>
      <w:r>
        <w:rPr>
          <w:spacing w:val="-6"/>
        </w:rPr>
        <w:t> </w:t>
      </w:r>
      <w:r>
        <w:rPr/>
        <w:t>hatalarını</w:t>
      </w:r>
      <w:r>
        <w:rPr>
          <w:spacing w:val="-7"/>
        </w:rPr>
        <w:t> </w:t>
      </w:r>
      <w:r>
        <w:rPr/>
        <w:t>azaltacak</w:t>
      </w:r>
      <w:r>
        <w:rPr>
          <w:spacing w:val="-6"/>
        </w:rPr>
        <w:t> </w:t>
      </w:r>
      <w:r>
        <w:rPr/>
        <w:t>çok-ölçekli</w:t>
      </w:r>
      <w:r>
        <w:rPr>
          <w:spacing w:val="-7"/>
        </w:rPr>
        <w:t> </w:t>
      </w:r>
      <w:r>
        <w:rPr/>
        <w:t>(multi- scale) özellik birleştirme ve ince detay (fine-grained) odaklı decoder tasarımları değerlendirilebilir.</w:t>
      </w:r>
    </w:p>
    <w:p>
      <w:pPr>
        <w:pStyle w:val="BodyText"/>
        <w:spacing w:before="12"/>
      </w:pPr>
    </w:p>
    <w:p>
      <w:pPr>
        <w:pStyle w:val="BodyText"/>
        <w:ind w:left="55" w:firstLine="250"/>
        <w:jc w:val="both"/>
      </w:pPr>
      <w:r>
        <w:rPr/>
        <w:t>Bunlara ek olarak, gerçek klinik kullanım için hız ve gecikme (latency) kritik olduğundan, modelin hafifletilmesi (pruning/quantization), daha verimli backbone’lar ve TensorRT/ONNX gibi dağıtım optimizasyonlarıyla gerçek zamanlıya yakın çıkarım hedeflenebilir. Bir diğer önemli başlık yanlış pozitiflerin azaltılmasıdır: polip olmayan görüntülerin daha güçlü biçimde eğitim sürecine dahil edilmesi, “negatif örnek” çeşitliliğinin artırılması ve iki aşamalı</w:t>
      </w:r>
      <w:r>
        <w:rPr>
          <w:spacing w:val="-7"/>
        </w:rPr>
        <w:t> </w:t>
      </w:r>
      <w:r>
        <w:rPr/>
        <w:t>(önce</w:t>
      </w:r>
      <w:r>
        <w:rPr>
          <w:spacing w:val="-4"/>
        </w:rPr>
        <w:t> </w:t>
      </w:r>
      <w:r>
        <w:rPr/>
        <w:t>tespit,</w:t>
      </w:r>
      <w:r>
        <w:rPr>
          <w:spacing w:val="-6"/>
        </w:rPr>
        <w:t> </w:t>
      </w:r>
      <w:r>
        <w:rPr/>
        <w:t>sonra</w:t>
      </w:r>
      <w:r>
        <w:rPr>
          <w:spacing w:val="-4"/>
        </w:rPr>
        <w:t> </w:t>
      </w:r>
      <w:r>
        <w:rPr/>
        <w:t>segmentasyon)</w:t>
      </w:r>
      <w:r>
        <w:rPr>
          <w:spacing w:val="-7"/>
        </w:rPr>
        <w:t> </w:t>
      </w:r>
      <w:r>
        <w:rPr/>
        <w:t>boru</w:t>
      </w:r>
      <w:r>
        <w:rPr>
          <w:spacing w:val="-5"/>
        </w:rPr>
        <w:t> </w:t>
      </w:r>
      <w:r>
        <w:rPr/>
        <w:t>hatları</w:t>
      </w:r>
      <w:r>
        <w:rPr>
          <w:spacing w:val="-6"/>
        </w:rPr>
        <w:t> </w:t>
      </w:r>
      <w:r>
        <w:rPr/>
        <w:t>klinik güvenilirliği artırabilir. Son olarak, klinisyen güveni açısından açıklanabilirlik bileşenleri eklemek anlamlı olacaktır; örneğin belirsizlik haritaları (uncertainty maps), Grad-CAM benzeri görselleştirmeler veya hata örüntüsü analiziyle modelin hangi durumlarda zorlandığı daha şeffaf biçimde raporlanabilir.</w:t>
      </w:r>
    </w:p>
    <w:p>
      <w:pPr>
        <w:pStyle w:val="BodyText"/>
        <w:spacing w:before="11"/>
      </w:pPr>
    </w:p>
    <w:p>
      <w:pPr>
        <w:pStyle w:val="Heading2"/>
        <w:numPr>
          <w:ilvl w:val="0"/>
          <w:numId w:val="1"/>
        </w:numPr>
        <w:tabs>
          <w:tab w:pos="2004" w:val="left" w:leader="none"/>
        </w:tabs>
        <w:spacing w:line="240" w:lineRule="auto" w:before="0" w:after="0"/>
        <w:ind w:left="2004" w:right="0" w:hanging="348"/>
        <w:jc w:val="left"/>
      </w:pPr>
      <w:bookmarkStart w:name="VI. KAYNAKÇA" w:id="7"/>
      <w:bookmarkEnd w:id="7"/>
      <w:r>
        <w:rPr>
          <w:b w:val="0"/>
        </w:rPr>
      </w:r>
      <w:r>
        <w:rPr>
          <w:spacing w:val="-2"/>
        </w:rPr>
        <w:t>KAYNAKÇA</w:t>
      </w:r>
    </w:p>
    <w:p>
      <w:pPr>
        <w:pStyle w:val="BodyText"/>
        <w:spacing w:before="50"/>
        <w:rPr>
          <w:b/>
        </w:rPr>
      </w:pPr>
    </w:p>
    <w:p>
      <w:pPr>
        <w:pStyle w:val="ListParagraph"/>
        <w:numPr>
          <w:ilvl w:val="0"/>
          <w:numId w:val="6"/>
        </w:numPr>
        <w:tabs>
          <w:tab w:pos="415" w:val="left" w:leader="none"/>
        </w:tabs>
        <w:spacing w:line="240" w:lineRule="auto" w:before="1" w:after="0"/>
        <w:ind w:left="415" w:right="0" w:hanging="360"/>
        <w:jc w:val="left"/>
        <w:rPr>
          <w:sz w:val="20"/>
        </w:rPr>
      </w:pPr>
      <w:r>
        <w:rPr>
          <w:sz w:val="20"/>
        </w:rPr>
        <w:t>Harrigan,</w:t>
      </w:r>
      <w:r>
        <w:rPr>
          <w:spacing w:val="28"/>
          <w:sz w:val="20"/>
        </w:rPr>
        <w:t> </w:t>
      </w:r>
      <w:r>
        <w:rPr>
          <w:sz w:val="20"/>
        </w:rPr>
        <w:t>R.</w:t>
      </w:r>
      <w:r>
        <w:rPr>
          <w:spacing w:val="27"/>
          <w:sz w:val="20"/>
        </w:rPr>
        <w:t> </w:t>
      </w:r>
      <w:r>
        <w:rPr>
          <w:sz w:val="20"/>
        </w:rPr>
        <w:t>(2015).</w:t>
      </w:r>
      <w:r>
        <w:rPr>
          <w:spacing w:val="30"/>
          <w:sz w:val="20"/>
        </w:rPr>
        <w:t> </w:t>
      </w:r>
      <w:r>
        <w:rPr>
          <w:i/>
          <w:sz w:val="20"/>
        </w:rPr>
        <w:t>Multi-Atlas</w:t>
      </w:r>
      <w:r>
        <w:rPr>
          <w:i/>
          <w:spacing w:val="29"/>
          <w:sz w:val="20"/>
        </w:rPr>
        <w:t> </w:t>
      </w:r>
      <w:r>
        <w:rPr>
          <w:i/>
          <w:sz w:val="20"/>
        </w:rPr>
        <w:t>Labeling</w:t>
      </w:r>
      <w:r>
        <w:rPr>
          <w:i/>
          <w:spacing w:val="32"/>
          <w:sz w:val="20"/>
        </w:rPr>
        <w:t> </w:t>
      </w:r>
      <w:r>
        <w:rPr>
          <w:i/>
          <w:sz w:val="20"/>
        </w:rPr>
        <w:t>Beyond</w:t>
      </w:r>
      <w:r>
        <w:rPr>
          <w:i/>
          <w:spacing w:val="28"/>
          <w:sz w:val="20"/>
        </w:rPr>
        <w:t> </w:t>
      </w:r>
      <w:r>
        <w:rPr>
          <w:i/>
          <w:sz w:val="20"/>
        </w:rPr>
        <w:t>the Cranial</w:t>
      </w:r>
      <w:r>
        <w:rPr>
          <w:i/>
          <w:spacing w:val="-7"/>
          <w:sz w:val="20"/>
        </w:rPr>
        <w:t> </w:t>
      </w:r>
      <w:r>
        <w:rPr>
          <w:i/>
          <w:sz w:val="20"/>
        </w:rPr>
        <w:t>Vault</w:t>
      </w:r>
      <w:r>
        <w:rPr>
          <w:i/>
          <w:spacing w:val="-6"/>
          <w:sz w:val="20"/>
        </w:rPr>
        <w:t> </w:t>
      </w:r>
      <w:r>
        <w:rPr>
          <w:i/>
          <w:sz w:val="20"/>
        </w:rPr>
        <w:t>–</w:t>
      </w:r>
      <w:r>
        <w:rPr>
          <w:i/>
          <w:spacing w:val="-6"/>
          <w:sz w:val="20"/>
        </w:rPr>
        <w:t> </w:t>
      </w:r>
      <w:r>
        <w:rPr>
          <w:i/>
          <w:sz w:val="20"/>
        </w:rPr>
        <w:t>Workshop</w:t>
      </w:r>
      <w:r>
        <w:rPr>
          <w:i/>
          <w:spacing w:val="-6"/>
          <w:sz w:val="20"/>
        </w:rPr>
        <w:t> </w:t>
      </w:r>
      <w:r>
        <w:rPr>
          <w:i/>
          <w:sz w:val="20"/>
        </w:rPr>
        <w:t>and</w:t>
      </w:r>
      <w:r>
        <w:rPr>
          <w:i/>
          <w:spacing w:val="-6"/>
          <w:sz w:val="20"/>
        </w:rPr>
        <w:t> </w:t>
      </w:r>
      <w:r>
        <w:rPr>
          <w:i/>
          <w:sz w:val="20"/>
        </w:rPr>
        <w:t>Challenge</w:t>
      </w:r>
      <w:r>
        <w:rPr>
          <w:i/>
          <w:spacing w:val="-3"/>
          <w:sz w:val="20"/>
        </w:rPr>
        <w:t> </w:t>
      </w:r>
      <w:r>
        <w:rPr>
          <w:sz w:val="20"/>
        </w:rPr>
        <w:t>(syn3193805)</w:t>
      </w:r>
    </w:p>
    <w:p>
      <w:pPr>
        <w:pStyle w:val="BodyText"/>
        <w:spacing w:before="79"/>
        <w:ind w:right="52"/>
        <w:jc w:val="right"/>
      </w:pPr>
      <w:r>
        <w:rPr/>
        <w:br w:type="column"/>
      </w:r>
      <w:r>
        <w:rPr/>
        <w:t>[Data</w:t>
      </w:r>
      <w:r>
        <w:rPr>
          <w:spacing w:val="-10"/>
        </w:rPr>
        <w:t> </w:t>
      </w:r>
      <w:r>
        <w:rPr/>
        <w:t>set].</w:t>
      </w:r>
      <w:r>
        <w:rPr>
          <w:spacing w:val="-10"/>
        </w:rPr>
        <w:t> </w:t>
      </w:r>
      <w:r>
        <w:rPr/>
        <w:t>Synapse.</w:t>
      </w:r>
      <w:r>
        <w:rPr>
          <w:spacing w:val="-10"/>
        </w:rPr>
        <w:t> </w:t>
      </w:r>
      <w:r>
        <w:rPr/>
        <w:t>Retrieved</w:t>
      </w:r>
      <w:r>
        <w:rPr>
          <w:spacing w:val="-10"/>
        </w:rPr>
        <w:t> </w:t>
      </w:r>
      <w:r>
        <w:rPr/>
        <w:t>December</w:t>
      </w:r>
      <w:r>
        <w:rPr>
          <w:spacing w:val="-12"/>
        </w:rPr>
        <w:t> </w:t>
      </w:r>
      <w:r>
        <w:rPr/>
        <w:t>29,</w:t>
      </w:r>
      <w:r>
        <w:rPr>
          <w:spacing w:val="-10"/>
        </w:rPr>
        <w:t> </w:t>
      </w:r>
      <w:r>
        <w:rPr/>
        <w:t>2025,</w:t>
      </w:r>
      <w:r>
        <w:rPr>
          <w:spacing w:val="-10"/>
        </w:rPr>
        <w:t> </w:t>
      </w:r>
      <w:r>
        <w:rPr/>
        <w:t>from https://www.synapse.org/Synapse:syn3193805 </w:t>
      </w:r>
      <w:hyperlink r:id="rId18">
        <w:r>
          <w:rPr>
            <w:color w:val="0000FF"/>
            <w:u w:val="single" w:color="0000FF"/>
          </w:rPr>
          <w:t>Synapse</w:t>
        </w:r>
      </w:hyperlink>
    </w:p>
    <w:p>
      <w:pPr>
        <w:pStyle w:val="ListParagraph"/>
        <w:numPr>
          <w:ilvl w:val="0"/>
          <w:numId w:val="6"/>
        </w:numPr>
        <w:tabs>
          <w:tab w:pos="360" w:val="left" w:leader="none"/>
        </w:tabs>
        <w:spacing w:line="240" w:lineRule="auto" w:before="0" w:after="0"/>
        <w:ind w:left="360" w:right="59" w:hanging="360"/>
        <w:jc w:val="right"/>
        <w:rPr>
          <w:sz w:val="20"/>
        </w:rPr>
      </w:pPr>
      <w:r>
        <w:rPr>
          <w:sz w:val="20"/>
        </w:rPr>
        <w:t>Wu,</w:t>
      </w:r>
      <w:r>
        <w:rPr>
          <w:spacing w:val="38"/>
          <w:sz w:val="20"/>
        </w:rPr>
        <w:t> </w:t>
      </w:r>
      <w:r>
        <w:rPr>
          <w:sz w:val="20"/>
        </w:rPr>
        <w:t>Z.,</w:t>
      </w:r>
      <w:r>
        <w:rPr>
          <w:spacing w:val="38"/>
          <w:sz w:val="20"/>
        </w:rPr>
        <w:t> </w:t>
      </w:r>
      <w:r>
        <w:rPr>
          <w:sz w:val="20"/>
        </w:rPr>
        <w:t>Lv,</w:t>
      </w:r>
      <w:r>
        <w:rPr>
          <w:spacing w:val="38"/>
          <w:sz w:val="20"/>
        </w:rPr>
        <w:t> </w:t>
      </w:r>
      <w:r>
        <w:rPr>
          <w:sz w:val="20"/>
        </w:rPr>
        <w:t>F.,</w:t>
      </w:r>
      <w:r>
        <w:rPr>
          <w:spacing w:val="44"/>
          <w:sz w:val="20"/>
        </w:rPr>
        <w:t> </w:t>
      </w:r>
      <w:r>
        <w:rPr>
          <w:sz w:val="20"/>
        </w:rPr>
        <w:t>Chen,</w:t>
      </w:r>
      <w:r>
        <w:rPr>
          <w:spacing w:val="38"/>
          <w:sz w:val="20"/>
        </w:rPr>
        <w:t> </w:t>
      </w:r>
      <w:r>
        <w:rPr>
          <w:sz w:val="20"/>
        </w:rPr>
        <w:t>C.,</w:t>
      </w:r>
      <w:r>
        <w:rPr>
          <w:spacing w:val="38"/>
          <w:sz w:val="20"/>
        </w:rPr>
        <w:t> </w:t>
      </w:r>
      <w:r>
        <w:rPr>
          <w:sz w:val="20"/>
        </w:rPr>
        <w:t>Hao,</w:t>
      </w:r>
      <w:r>
        <w:rPr>
          <w:spacing w:val="38"/>
          <w:sz w:val="20"/>
        </w:rPr>
        <w:t> </w:t>
      </w:r>
      <w:r>
        <w:rPr>
          <w:sz w:val="20"/>
        </w:rPr>
        <w:t>A.,</w:t>
      </w:r>
      <w:r>
        <w:rPr>
          <w:spacing w:val="39"/>
          <w:sz w:val="20"/>
        </w:rPr>
        <w:t> </w:t>
      </w:r>
      <w:r>
        <w:rPr>
          <w:sz w:val="20"/>
        </w:rPr>
        <w:t>&amp;</w:t>
      </w:r>
      <w:r>
        <w:rPr>
          <w:spacing w:val="38"/>
          <w:sz w:val="20"/>
        </w:rPr>
        <w:t> </w:t>
      </w:r>
      <w:r>
        <w:rPr>
          <w:sz w:val="20"/>
        </w:rPr>
        <w:t>Li,</w:t>
      </w:r>
      <w:r>
        <w:rPr>
          <w:spacing w:val="38"/>
          <w:sz w:val="20"/>
        </w:rPr>
        <w:t> </w:t>
      </w:r>
      <w:r>
        <w:rPr>
          <w:sz w:val="20"/>
        </w:rPr>
        <w:t>S.</w:t>
      </w:r>
      <w:r>
        <w:rPr>
          <w:spacing w:val="44"/>
          <w:sz w:val="20"/>
        </w:rPr>
        <w:t> </w:t>
      </w:r>
      <w:r>
        <w:rPr>
          <w:spacing w:val="-2"/>
          <w:sz w:val="20"/>
        </w:rPr>
        <w:t>(2024).</w:t>
      </w:r>
    </w:p>
    <w:p>
      <w:pPr>
        <w:spacing w:before="0"/>
        <w:ind w:left="415" w:right="45" w:firstLine="0"/>
        <w:jc w:val="both"/>
        <w:rPr>
          <w:sz w:val="20"/>
        </w:rPr>
      </w:pPr>
      <w:r>
        <w:rPr>
          <w:i/>
          <w:sz w:val="20"/>
        </w:rPr>
        <w:t>Colorectal</w:t>
      </w:r>
      <w:r>
        <w:rPr>
          <w:i/>
          <w:spacing w:val="-5"/>
          <w:sz w:val="20"/>
        </w:rPr>
        <w:t> </w:t>
      </w:r>
      <w:r>
        <w:rPr>
          <w:i/>
          <w:sz w:val="20"/>
        </w:rPr>
        <w:t>polyp</w:t>
      </w:r>
      <w:r>
        <w:rPr>
          <w:i/>
          <w:spacing w:val="-4"/>
          <w:sz w:val="20"/>
        </w:rPr>
        <w:t> </w:t>
      </w:r>
      <w:r>
        <w:rPr>
          <w:i/>
          <w:sz w:val="20"/>
        </w:rPr>
        <w:t>segmentation</w:t>
      </w:r>
      <w:r>
        <w:rPr>
          <w:i/>
          <w:spacing w:val="-4"/>
          <w:sz w:val="20"/>
        </w:rPr>
        <w:t> </w:t>
      </w:r>
      <w:r>
        <w:rPr>
          <w:i/>
          <w:sz w:val="20"/>
        </w:rPr>
        <w:t>in</w:t>
      </w:r>
      <w:r>
        <w:rPr>
          <w:i/>
          <w:spacing w:val="-4"/>
          <w:sz w:val="20"/>
        </w:rPr>
        <w:t> </w:t>
      </w:r>
      <w:r>
        <w:rPr>
          <w:i/>
          <w:sz w:val="20"/>
        </w:rPr>
        <w:t>the</w:t>
      </w:r>
      <w:r>
        <w:rPr>
          <w:i/>
          <w:spacing w:val="-3"/>
          <w:sz w:val="20"/>
        </w:rPr>
        <w:t> </w:t>
      </w:r>
      <w:r>
        <w:rPr>
          <w:i/>
          <w:sz w:val="20"/>
        </w:rPr>
        <w:t>deep</w:t>
      </w:r>
      <w:r>
        <w:rPr>
          <w:i/>
          <w:spacing w:val="-4"/>
          <w:sz w:val="20"/>
        </w:rPr>
        <w:t> </w:t>
      </w:r>
      <w:r>
        <w:rPr>
          <w:i/>
          <w:sz w:val="20"/>
        </w:rPr>
        <w:t>learning</w:t>
      </w:r>
      <w:r>
        <w:rPr>
          <w:i/>
          <w:spacing w:val="-4"/>
          <w:sz w:val="20"/>
        </w:rPr>
        <w:t> </w:t>
      </w:r>
      <w:r>
        <w:rPr>
          <w:i/>
          <w:sz w:val="20"/>
        </w:rPr>
        <w:t>era: A comprehensive survey </w:t>
      </w:r>
      <w:r>
        <w:rPr>
          <w:sz w:val="20"/>
        </w:rPr>
        <w:t>(arXiv:2401.11734). arXiv. https://doi.org/10.48550/arXiv.2401.11734 </w:t>
      </w:r>
      <w:hyperlink r:id="rId19">
        <w:r>
          <w:rPr>
            <w:color w:val="0000FF"/>
            <w:sz w:val="20"/>
            <w:u w:val="single" w:color="0000FF"/>
          </w:rPr>
          <w:t>arXiv</w:t>
        </w:r>
      </w:hyperlink>
    </w:p>
    <w:p>
      <w:pPr>
        <w:pStyle w:val="ListParagraph"/>
        <w:numPr>
          <w:ilvl w:val="0"/>
          <w:numId w:val="6"/>
        </w:numPr>
        <w:tabs>
          <w:tab w:pos="415" w:val="left" w:leader="none"/>
          <w:tab w:pos="1970" w:val="left" w:leader="none"/>
          <w:tab w:pos="3385" w:val="left" w:leader="none"/>
          <w:tab w:pos="4387" w:val="left" w:leader="none"/>
        </w:tabs>
        <w:spacing w:line="240" w:lineRule="auto" w:before="0" w:after="0"/>
        <w:ind w:left="415" w:right="43" w:hanging="361"/>
        <w:jc w:val="both"/>
        <w:rPr>
          <w:sz w:val="20"/>
        </w:rPr>
      </w:pPr>
      <w:r>
        <w:rPr>
          <w:sz w:val="20"/>
        </w:rPr>
        <w:t>Wang, Z., Wang, Z., &amp; Sun, P. (2025). Deep learning model for gastrointestinal polyp segmentation. </w:t>
      </w:r>
      <w:r>
        <w:rPr>
          <w:i/>
          <w:sz w:val="20"/>
        </w:rPr>
        <w:t>PeerJ </w:t>
      </w:r>
      <w:r>
        <w:rPr>
          <w:i/>
          <w:spacing w:val="-2"/>
          <w:sz w:val="20"/>
        </w:rPr>
        <w:t>Computer</w:t>
      </w:r>
      <w:r>
        <w:rPr>
          <w:i/>
          <w:sz w:val="20"/>
        </w:rPr>
        <w:tab/>
      </w:r>
      <w:r>
        <w:rPr>
          <w:i/>
          <w:spacing w:val="-2"/>
          <w:sz w:val="20"/>
        </w:rPr>
        <w:t>Science,</w:t>
      </w:r>
      <w:r>
        <w:rPr>
          <w:i/>
          <w:sz w:val="20"/>
        </w:rPr>
        <w:tab/>
      </w:r>
      <w:r>
        <w:rPr>
          <w:i/>
          <w:spacing w:val="-4"/>
          <w:sz w:val="20"/>
        </w:rPr>
        <w:t>11</w:t>
      </w:r>
      <w:r>
        <w:rPr>
          <w:spacing w:val="-4"/>
          <w:sz w:val="20"/>
        </w:rPr>
        <w:t>,</w:t>
      </w:r>
      <w:r>
        <w:rPr>
          <w:sz w:val="20"/>
        </w:rPr>
        <w:tab/>
      </w:r>
      <w:r>
        <w:rPr>
          <w:spacing w:val="-2"/>
          <w:sz w:val="20"/>
        </w:rPr>
        <w:t>e2924. </w:t>
      </w:r>
      <w:r>
        <w:rPr>
          <w:sz w:val="20"/>
        </w:rPr>
        <w:t>https://doi.org/10.7717/peerj-cs.2924 </w:t>
      </w:r>
      <w:hyperlink r:id="rId20">
        <w:r>
          <w:rPr>
            <w:color w:val="0000FF"/>
            <w:sz w:val="20"/>
            <w:u w:val="single" w:color="0000FF"/>
          </w:rPr>
          <w:t>PubMed+1</w:t>
        </w:r>
      </w:hyperlink>
    </w:p>
    <w:p>
      <w:pPr>
        <w:pStyle w:val="ListParagraph"/>
        <w:numPr>
          <w:ilvl w:val="0"/>
          <w:numId w:val="6"/>
        </w:numPr>
        <w:tabs>
          <w:tab w:pos="415" w:val="left" w:leader="none"/>
          <w:tab w:pos="2241" w:val="left" w:leader="none"/>
          <w:tab w:pos="4226" w:val="left" w:leader="none"/>
        </w:tabs>
        <w:spacing w:line="240" w:lineRule="auto" w:before="0" w:after="0"/>
        <w:ind w:left="415" w:right="44" w:hanging="361"/>
        <w:jc w:val="both"/>
        <w:rPr>
          <w:sz w:val="20"/>
        </w:rPr>
      </w:pPr>
      <w:r>
        <w:rPr>
          <w:sz w:val="20"/>
        </w:rPr>
        <w:t>Mahbub,</w:t>
      </w:r>
      <w:r>
        <w:rPr>
          <w:spacing w:val="-2"/>
          <w:sz w:val="20"/>
        </w:rPr>
        <w:t> </w:t>
      </w:r>
      <w:r>
        <w:rPr>
          <w:sz w:val="20"/>
        </w:rPr>
        <w:t>I.,</w:t>
      </w:r>
      <w:r>
        <w:rPr>
          <w:spacing w:val="-2"/>
          <w:sz w:val="20"/>
        </w:rPr>
        <w:t> </w:t>
      </w:r>
      <w:r>
        <w:rPr>
          <w:sz w:val="20"/>
        </w:rPr>
        <w:t>Zim, A.</w:t>
      </w:r>
      <w:r>
        <w:rPr>
          <w:spacing w:val="-2"/>
          <w:sz w:val="20"/>
        </w:rPr>
        <w:t> </w:t>
      </w:r>
      <w:r>
        <w:rPr>
          <w:sz w:val="20"/>
        </w:rPr>
        <w:t>Z., Imran, T.</w:t>
      </w:r>
      <w:r>
        <w:rPr>
          <w:spacing w:val="-2"/>
          <w:sz w:val="20"/>
        </w:rPr>
        <w:t> </w:t>
      </w:r>
      <w:r>
        <w:rPr>
          <w:sz w:val="20"/>
        </w:rPr>
        <w:t>B.,</w:t>
      </w:r>
      <w:r>
        <w:rPr>
          <w:spacing w:val="-2"/>
          <w:sz w:val="20"/>
        </w:rPr>
        <w:t> </w:t>
      </w:r>
      <w:r>
        <w:rPr>
          <w:sz w:val="20"/>
        </w:rPr>
        <w:t>Mesbah,</w:t>
      </w:r>
      <w:r>
        <w:rPr>
          <w:spacing w:val="-2"/>
          <w:sz w:val="20"/>
        </w:rPr>
        <w:t> </w:t>
      </w:r>
      <w:r>
        <w:rPr>
          <w:sz w:val="20"/>
        </w:rPr>
        <w:t>K.</w:t>
      </w:r>
      <w:r>
        <w:rPr>
          <w:spacing w:val="-2"/>
          <w:sz w:val="20"/>
        </w:rPr>
        <w:t> </w:t>
      </w:r>
      <w:r>
        <w:rPr>
          <w:sz w:val="20"/>
        </w:rPr>
        <w:t>M.</w:t>
      </w:r>
      <w:r>
        <w:rPr>
          <w:spacing w:val="-2"/>
          <w:sz w:val="20"/>
        </w:rPr>
        <w:t> </w:t>
      </w:r>
      <w:r>
        <w:rPr>
          <w:sz w:val="20"/>
        </w:rPr>
        <w:t>F., Jobayer, M., &amp; Shawon, M. M. H. (2025). </w:t>
      </w:r>
      <w:r>
        <w:rPr>
          <w:i/>
          <w:sz w:val="20"/>
        </w:rPr>
        <w:t>Enhancing medical image segmentation through negative sample integration: A study on Kvasir-SEG and augmented </w:t>
      </w:r>
      <w:r>
        <w:rPr>
          <w:i/>
          <w:spacing w:val="-2"/>
          <w:sz w:val="20"/>
        </w:rPr>
        <w:t>datasets</w:t>
      </w:r>
      <w:r>
        <w:rPr>
          <w:i/>
          <w:sz w:val="20"/>
        </w:rPr>
        <w:tab/>
      </w:r>
      <w:r>
        <w:rPr>
          <w:spacing w:val="-2"/>
          <w:sz w:val="20"/>
        </w:rPr>
        <w:t>[Preprint].</w:t>
      </w:r>
      <w:r>
        <w:rPr>
          <w:sz w:val="20"/>
        </w:rPr>
        <w:tab/>
      </w:r>
      <w:r>
        <w:rPr>
          <w:spacing w:val="-2"/>
          <w:sz w:val="20"/>
        </w:rPr>
        <w:t>bioRxiv. </w:t>
      </w:r>
      <w:r>
        <w:rPr>
          <w:sz w:val="20"/>
        </w:rPr>
        <w:t>https://doi.org/10.1101/2025.10.14.682445 </w:t>
      </w:r>
      <w:hyperlink r:id="rId21">
        <w:r>
          <w:rPr>
            <w:color w:val="0000FF"/>
            <w:sz w:val="20"/>
            <w:u w:val="single" w:color="0000FF"/>
          </w:rPr>
          <w:t>CoLab+1</w:t>
        </w:r>
      </w:hyperlink>
    </w:p>
    <w:p>
      <w:pPr>
        <w:pStyle w:val="ListParagraph"/>
        <w:numPr>
          <w:ilvl w:val="0"/>
          <w:numId w:val="6"/>
        </w:numPr>
        <w:tabs>
          <w:tab w:pos="415" w:val="left" w:leader="none"/>
        </w:tabs>
        <w:spacing w:line="240" w:lineRule="auto" w:before="1" w:after="0"/>
        <w:ind w:left="415" w:right="43" w:hanging="361"/>
        <w:jc w:val="both"/>
        <w:rPr>
          <w:sz w:val="20"/>
        </w:rPr>
      </w:pPr>
      <w:r>
        <w:rPr>
          <w:sz w:val="20"/>
        </w:rPr>
        <w:t>Narasimha Raju, A. S., Venkatesh, K., Rajababu, M., Gatla, R. K., Hussain, S. J., Chowdary, G. S. M., Bhavani,</w:t>
      </w:r>
      <w:r>
        <w:rPr>
          <w:spacing w:val="-8"/>
          <w:sz w:val="20"/>
        </w:rPr>
        <w:t> </w:t>
      </w:r>
      <w:r>
        <w:rPr>
          <w:sz w:val="20"/>
        </w:rPr>
        <w:t>T.</w:t>
      </w:r>
      <w:r>
        <w:rPr>
          <w:spacing w:val="-8"/>
          <w:sz w:val="20"/>
        </w:rPr>
        <w:t> </w:t>
      </w:r>
      <w:r>
        <w:rPr>
          <w:sz w:val="20"/>
        </w:rPr>
        <w:t>G.,</w:t>
      </w:r>
      <w:r>
        <w:rPr>
          <w:spacing w:val="-8"/>
          <w:sz w:val="20"/>
        </w:rPr>
        <w:t> </w:t>
      </w:r>
      <w:r>
        <w:rPr>
          <w:sz w:val="20"/>
        </w:rPr>
        <w:t>Kareemullah,</w:t>
      </w:r>
      <w:r>
        <w:rPr>
          <w:spacing w:val="-13"/>
          <w:sz w:val="20"/>
        </w:rPr>
        <w:t> </w:t>
      </w:r>
      <w:r>
        <w:rPr>
          <w:sz w:val="20"/>
        </w:rPr>
        <w:t>M.,</w:t>
      </w:r>
      <w:r>
        <w:rPr>
          <w:spacing w:val="-8"/>
          <w:sz w:val="20"/>
        </w:rPr>
        <w:t> </w:t>
      </w:r>
      <w:r>
        <w:rPr>
          <w:sz w:val="20"/>
        </w:rPr>
        <w:t>Algburi,</w:t>
      </w:r>
      <w:r>
        <w:rPr>
          <w:spacing w:val="-9"/>
          <w:sz w:val="20"/>
        </w:rPr>
        <w:t> </w:t>
      </w:r>
      <w:r>
        <w:rPr>
          <w:sz w:val="20"/>
        </w:rPr>
        <w:t>S.,</w:t>
      </w:r>
      <w:r>
        <w:rPr>
          <w:spacing w:val="-8"/>
          <w:sz w:val="20"/>
        </w:rPr>
        <w:t> </w:t>
      </w:r>
      <w:r>
        <w:rPr>
          <w:sz w:val="20"/>
        </w:rPr>
        <w:t>Majdi,</w:t>
      </w:r>
      <w:r>
        <w:rPr>
          <w:spacing w:val="-9"/>
          <w:sz w:val="20"/>
        </w:rPr>
        <w:t> </w:t>
      </w:r>
      <w:r>
        <w:rPr>
          <w:sz w:val="20"/>
        </w:rPr>
        <w:t>A., Abdulhadi, A. M., &amp; Khan, W. A. (2025). Colorectal cancer</w:t>
      </w:r>
      <w:r>
        <w:rPr>
          <w:spacing w:val="-13"/>
          <w:sz w:val="20"/>
        </w:rPr>
        <w:t> </w:t>
      </w:r>
      <w:r>
        <w:rPr>
          <w:sz w:val="20"/>
        </w:rPr>
        <w:t>unmasked:</w:t>
      </w:r>
      <w:r>
        <w:rPr>
          <w:spacing w:val="-12"/>
          <w:sz w:val="20"/>
        </w:rPr>
        <w:t> </w:t>
      </w:r>
      <w:r>
        <w:rPr>
          <w:sz w:val="20"/>
        </w:rPr>
        <w:t>A</w:t>
      </w:r>
      <w:r>
        <w:rPr>
          <w:spacing w:val="-13"/>
          <w:sz w:val="20"/>
        </w:rPr>
        <w:t> </w:t>
      </w:r>
      <w:r>
        <w:rPr>
          <w:sz w:val="20"/>
        </w:rPr>
        <w:t>synergistic</w:t>
      </w:r>
      <w:r>
        <w:rPr>
          <w:spacing w:val="-12"/>
          <w:sz w:val="20"/>
        </w:rPr>
        <w:t> </w:t>
      </w:r>
      <w:r>
        <w:rPr>
          <w:sz w:val="20"/>
        </w:rPr>
        <w:t>AI</w:t>
      </w:r>
      <w:r>
        <w:rPr>
          <w:spacing w:val="-13"/>
          <w:sz w:val="20"/>
        </w:rPr>
        <w:t> </w:t>
      </w:r>
      <w:r>
        <w:rPr>
          <w:sz w:val="20"/>
        </w:rPr>
        <w:t>framework</w:t>
      </w:r>
      <w:r>
        <w:rPr>
          <w:spacing w:val="-12"/>
          <w:sz w:val="20"/>
        </w:rPr>
        <w:t> </w:t>
      </w:r>
      <w:r>
        <w:rPr>
          <w:sz w:val="20"/>
        </w:rPr>
        <w:t>for</w:t>
      </w:r>
      <w:r>
        <w:rPr>
          <w:spacing w:val="-13"/>
          <w:sz w:val="20"/>
        </w:rPr>
        <w:t> </w:t>
      </w:r>
      <w:r>
        <w:rPr>
          <w:sz w:val="20"/>
        </w:rPr>
        <w:t>hyper- granular image dissection, precision segmentation, and automated diagnosis. </w:t>
      </w:r>
      <w:r>
        <w:rPr>
          <w:i/>
          <w:sz w:val="20"/>
        </w:rPr>
        <w:t>BMC Medical Imaging, 25</w:t>
      </w:r>
      <w:r>
        <w:rPr>
          <w:sz w:val="20"/>
        </w:rPr>
        <w:t>(1), Article 283. https://doi.org/10.1186/s12880-025-01826-</w:t>
      </w:r>
    </w:p>
    <w:p>
      <w:pPr>
        <w:pStyle w:val="BodyText"/>
        <w:ind w:left="415"/>
        <w:jc w:val="both"/>
      </w:pPr>
      <w:r>
        <w:rPr/>
        <w:t>7</w:t>
      </w:r>
      <w:r>
        <w:rPr>
          <w:spacing w:val="-3"/>
        </w:rPr>
        <w:t> </w:t>
      </w:r>
      <w:hyperlink r:id="rId22">
        <w:r>
          <w:rPr>
            <w:color w:val="0000FF"/>
            <w:u w:val="single" w:color="0000FF"/>
          </w:rPr>
          <w:t>Springer</w:t>
        </w:r>
        <w:r>
          <w:rPr>
            <w:color w:val="0000FF"/>
            <w:spacing w:val="-3"/>
            <w:u w:val="single" w:color="0000FF"/>
          </w:rPr>
          <w:t> </w:t>
        </w:r>
        <w:r>
          <w:rPr>
            <w:color w:val="0000FF"/>
            <w:spacing w:val="-2"/>
            <w:u w:val="single" w:color="0000FF"/>
          </w:rPr>
          <w:t>Nature+1</w:t>
        </w:r>
      </w:hyperlink>
    </w:p>
    <w:p>
      <w:pPr>
        <w:pStyle w:val="ListParagraph"/>
        <w:numPr>
          <w:ilvl w:val="0"/>
          <w:numId w:val="6"/>
        </w:numPr>
        <w:tabs>
          <w:tab w:pos="415" w:val="left" w:leader="none"/>
        </w:tabs>
        <w:spacing w:line="240" w:lineRule="auto" w:before="0" w:after="0"/>
        <w:ind w:left="415" w:right="0" w:hanging="360"/>
        <w:jc w:val="both"/>
        <w:rPr>
          <w:sz w:val="20"/>
        </w:rPr>
      </w:pPr>
      <w:r>
        <w:rPr>
          <w:sz w:val="20"/>
        </w:rPr>
        <w:t>Çevik,</w:t>
      </w:r>
      <w:r>
        <w:rPr>
          <w:spacing w:val="-12"/>
          <w:sz w:val="20"/>
        </w:rPr>
        <w:t> </w:t>
      </w:r>
      <w:r>
        <w:rPr>
          <w:sz w:val="20"/>
        </w:rPr>
        <w:t>N.,</w:t>
      </w:r>
      <w:r>
        <w:rPr>
          <w:spacing w:val="-10"/>
          <w:sz w:val="20"/>
        </w:rPr>
        <w:t> </w:t>
      </w:r>
      <w:r>
        <w:rPr>
          <w:sz w:val="20"/>
        </w:rPr>
        <w:t>Çevik,</w:t>
      </w:r>
      <w:r>
        <w:rPr>
          <w:spacing w:val="-15"/>
          <w:sz w:val="20"/>
        </w:rPr>
        <w:t> </w:t>
      </w:r>
      <w:r>
        <w:rPr>
          <w:sz w:val="20"/>
        </w:rPr>
        <w:t>T.,</w:t>
      </w:r>
      <w:r>
        <w:rPr>
          <w:spacing w:val="-11"/>
          <w:sz w:val="20"/>
        </w:rPr>
        <w:t> </w:t>
      </w:r>
      <w:r>
        <w:rPr>
          <w:sz w:val="20"/>
        </w:rPr>
        <w:t>Osman,</w:t>
      </w:r>
      <w:r>
        <w:rPr>
          <w:spacing w:val="-11"/>
          <w:sz w:val="20"/>
        </w:rPr>
        <w:t> </w:t>
      </w:r>
      <w:r>
        <w:rPr>
          <w:sz w:val="20"/>
        </w:rPr>
        <w:t>O.,</w:t>
      </w:r>
      <w:r>
        <w:rPr>
          <w:spacing w:val="-10"/>
          <w:sz w:val="20"/>
        </w:rPr>
        <w:t> </w:t>
      </w:r>
      <w:r>
        <w:rPr>
          <w:sz w:val="20"/>
        </w:rPr>
        <w:t>Alsubai,</w:t>
      </w:r>
      <w:r>
        <w:rPr>
          <w:spacing w:val="-12"/>
          <w:sz w:val="20"/>
        </w:rPr>
        <w:t> </w:t>
      </w:r>
      <w:r>
        <w:rPr>
          <w:sz w:val="20"/>
        </w:rPr>
        <w:t>S.,</w:t>
      </w:r>
      <w:r>
        <w:rPr>
          <w:spacing w:val="-11"/>
          <w:sz w:val="20"/>
        </w:rPr>
        <w:t> </w:t>
      </w:r>
      <w:r>
        <w:rPr>
          <w:sz w:val="20"/>
        </w:rPr>
        <w:t>&amp;</w:t>
      </w:r>
      <w:r>
        <w:rPr>
          <w:spacing w:val="-11"/>
          <w:sz w:val="20"/>
        </w:rPr>
        <w:t> </w:t>
      </w:r>
      <w:r>
        <w:rPr>
          <w:spacing w:val="-2"/>
          <w:sz w:val="20"/>
        </w:rPr>
        <w:t>Rasheed,</w:t>
      </w:r>
    </w:p>
    <w:p>
      <w:pPr>
        <w:pStyle w:val="BodyText"/>
        <w:tabs>
          <w:tab w:pos="1420" w:val="left" w:leader="none"/>
          <w:tab w:pos="3065" w:val="left" w:leader="none"/>
          <w:tab w:pos="4167" w:val="left" w:leader="none"/>
        </w:tabs>
        <w:ind w:left="415" w:right="46"/>
        <w:jc w:val="both"/>
      </w:pPr>
      <w:r>
        <w:rPr/>
        <w:t>J. (2025). Advancing patient care with AI: A unified framework for medical image segmentation using transfer</w:t>
      </w:r>
      <w:r>
        <w:rPr>
          <w:spacing w:val="-12"/>
        </w:rPr>
        <w:t> </w:t>
      </w:r>
      <w:r>
        <w:rPr/>
        <w:t>learning</w:t>
      </w:r>
      <w:r>
        <w:rPr>
          <w:spacing w:val="-11"/>
        </w:rPr>
        <w:t> </w:t>
      </w:r>
      <w:r>
        <w:rPr/>
        <w:t>and</w:t>
      </w:r>
      <w:r>
        <w:rPr>
          <w:spacing w:val="-11"/>
        </w:rPr>
        <w:t> </w:t>
      </w:r>
      <w:r>
        <w:rPr/>
        <w:t>hybrid</w:t>
      </w:r>
      <w:r>
        <w:rPr>
          <w:spacing w:val="-12"/>
        </w:rPr>
        <w:t> </w:t>
      </w:r>
      <w:r>
        <w:rPr/>
        <w:t>feature</w:t>
      </w:r>
      <w:r>
        <w:rPr>
          <w:spacing w:val="-10"/>
        </w:rPr>
        <w:t> </w:t>
      </w:r>
      <w:r>
        <w:rPr/>
        <w:t>extraction.</w:t>
      </w:r>
      <w:r>
        <w:rPr>
          <w:spacing w:val="-8"/>
        </w:rPr>
        <w:t> </w:t>
      </w:r>
      <w:r>
        <w:rPr>
          <w:i/>
        </w:rPr>
        <w:t>Frontiers </w:t>
      </w:r>
      <w:r>
        <w:rPr>
          <w:i/>
          <w:spacing w:val="-5"/>
        </w:rPr>
        <w:t>in</w:t>
      </w:r>
      <w:r>
        <w:rPr>
          <w:i/>
        </w:rPr>
        <w:tab/>
      </w:r>
      <w:r>
        <w:rPr>
          <w:i/>
          <w:spacing w:val="-2"/>
        </w:rPr>
        <w:t>Medicine,</w:t>
      </w:r>
      <w:r>
        <w:rPr>
          <w:i/>
        </w:rPr>
        <w:tab/>
      </w:r>
      <w:r>
        <w:rPr>
          <w:i/>
          <w:spacing w:val="-5"/>
        </w:rPr>
        <w:t>12</w:t>
      </w:r>
      <w:r>
        <w:rPr>
          <w:spacing w:val="-5"/>
        </w:rPr>
        <w:t>,</w:t>
      </w:r>
      <w:r>
        <w:rPr/>
        <w:tab/>
      </w:r>
      <w:r>
        <w:rPr>
          <w:spacing w:val="-2"/>
        </w:rPr>
        <w:t>1589587</w:t>
      </w:r>
      <w:r>
        <w:rPr>
          <w:spacing w:val="-2"/>
        </w:rPr>
        <w:t>.</w:t>
      </w:r>
    </w:p>
    <w:p>
      <w:pPr>
        <w:pStyle w:val="BodyText"/>
        <w:spacing w:before="1"/>
        <w:ind w:left="415"/>
        <w:jc w:val="both"/>
      </w:pPr>
      <w:r>
        <w:rPr/>
        <w:t>https://doi.org/10.3389/fmed.2025.1589587</w:t>
      </w:r>
      <w:r>
        <w:rPr>
          <w:spacing w:val="-10"/>
        </w:rPr>
        <w:t> </w:t>
      </w:r>
      <w:hyperlink r:id="rId23">
        <w:r>
          <w:rPr>
            <w:color w:val="0000FF"/>
            <w:spacing w:val="-2"/>
            <w:u w:val="single" w:color="0000FF"/>
          </w:rPr>
          <w:t>Frontiers</w:t>
        </w:r>
      </w:hyperlink>
    </w:p>
    <w:p>
      <w:pPr>
        <w:pStyle w:val="ListParagraph"/>
        <w:numPr>
          <w:ilvl w:val="0"/>
          <w:numId w:val="6"/>
        </w:numPr>
        <w:tabs>
          <w:tab w:pos="415" w:val="left" w:leader="none"/>
          <w:tab w:pos="4532" w:val="left" w:leader="none"/>
        </w:tabs>
        <w:spacing w:line="240" w:lineRule="auto" w:before="0" w:after="0"/>
        <w:ind w:left="415" w:right="48" w:hanging="361"/>
        <w:jc w:val="both"/>
        <w:rPr>
          <w:sz w:val="20"/>
        </w:rPr>
      </w:pPr>
      <w:r>
        <w:rPr>
          <w:sz w:val="20"/>
        </w:rPr>
        <w:t>Jha, D. (n.d.). </w:t>
      </w:r>
      <w:r>
        <w:rPr>
          <w:i/>
          <w:sz w:val="20"/>
        </w:rPr>
        <w:t>Kvasir-SEG Data (Polyp segmentation &amp; detection) </w:t>
      </w:r>
      <w:r>
        <w:rPr>
          <w:sz w:val="20"/>
        </w:rPr>
        <w:t>[Dataset]. Kaggle. Retrieved December 29, </w:t>
      </w:r>
      <w:r>
        <w:rPr>
          <w:spacing w:val="-2"/>
          <w:sz w:val="20"/>
        </w:rPr>
        <w:t>2025,</w:t>
      </w:r>
      <w:r>
        <w:rPr>
          <w:sz w:val="20"/>
        </w:rPr>
        <w:tab/>
      </w:r>
      <w:r>
        <w:rPr>
          <w:spacing w:val="-4"/>
          <w:sz w:val="20"/>
        </w:rPr>
        <w:t>from</w:t>
      </w:r>
    </w:p>
    <w:p>
      <w:pPr>
        <w:pStyle w:val="BodyText"/>
        <w:ind w:left="415"/>
      </w:pPr>
      <w:hyperlink r:id="rId24">
        <w:r>
          <w:rPr>
            <w:color w:val="0000FF"/>
            <w:spacing w:val="-2"/>
            <w:u w:val="single" w:color="0000FF"/>
          </w:rPr>
          <w:t>https://www.kaggle.com/datasets/debeshjha1/kvasirseg</w:t>
        </w:r>
      </w:hyperlink>
      <w:r>
        <w:rPr>
          <w:color w:val="0000FF"/>
          <w:spacing w:val="-2"/>
        </w:rPr>
        <w:t> </w:t>
      </w:r>
      <w:hyperlink r:id="rId24">
        <w:r>
          <w:rPr>
            <w:color w:val="0000FF"/>
            <w:spacing w:val="-2"/>
            <w:u w:val="single" w:color="0000FF"/>
          </w:rPr>
          <w:t>Kaggle</w:t>
        </w:r>
      </w:hyperlink>
    </w:p>
    <w:p>
      <w:pPr>
        <w:pStyle w:val="ListParagraph"/>
        <w:numPr>
          <w:ilvl w:val="0"/>
          <w:numId w:val="6"/>
        </w:numPr>
        <w:tabs>
          <w:tab w:pos="415" w:val="left" w:leader="none"/>
          <w:tab w:pos="2390" w:val="left" w:leader="none"/>
          <w:tab w:pos="4262" w:val="left" w:leader="none"/>
        </w:tabs>
        <w:spacing w:line="240" w:lineRule="auto" w:before="1" w:after="0"/>
        <w:ind w:left="415" w:right="47" w:hanging="361"/>
        <w:jc w:val="both"/>
        <w:rPr>
          <w:sz w:val="20"/>
        </w:rPr>
      </w:pPr>
      <w:r>
        <w:rPr>
          <w:sz w:val="20"/>
        </w:rPr>
        <w:t>Nanni, L. (2021). </w:t>
      </w:r>
      <w:r>
        <w:rPr>
          <w:i/>
          <w:sz w:val="20"/>
        </w:rPr>
        <w:t>Polyp segmentation datasets </w:t>
      </w:r>
      <w:r>
        <w:rPr>
          <w:sz w:val="20"/>
        </w:rPr>
        <w:t>(v1) </w:t>
      </w:r>
      <w:r>
        <w:rPr>
          <w:spacing w:val="-2"/>
          <w:sz w:val="20"/>
        </w:rPr>
        <w:t>[Data</w:t>
      </w:r>
      <w:r>
        <w:rPr>
          <w:sz w:val="20"/>
        </w:rPr>
        <w:tab/>
      </w:r>
      <w:r>
        <w:rPr>
          <w:spacing w:val="-4"/>
          <w:sz w:val="20"/>
        </w:rPr>
        <w:t>set].</w:t>
      </w:r>
      <w:r>
        <w:rPr>
          <w:sz w:val="20"/>
        </w:rPr>
        <w:tab/>
      </w:r>
      <w:r>
        <w:rPr>
          <w:spacing w:val="-2"/>
          <w:sz w:val="20"/>
        </w:rPr>
        <w:t>Zenodo. </w:t>
      </w:r>
      <w:hyperlink r:id="rId25">
        <w:r>
          <w:rPr>
            <w:color w:val="0000FF"/>
            <w:spacing w:val="-2"/>
            <w:sz w:val="20"/>
            <w:u w:val="single" w:color="0000FF"/>
          </w:rPr>
          <w:t>https://doi.org/10.5281/zenodo.5579392</w:t>
        </w:r>
      </w:hyperlink>
    </w:p>
    <w:p>
      <w:pPr>
        <w:pStyle w:val="ListParagraph"/>
        <w:numPr>
          <w:ilvl w:val="0"/>
          <w:numId w:val="6"/>
        </w:numPr>
        <w:tabs>
          <w:tab w:pos="415" w:val="left" w:leader="none"/>
        </w:tabs>
        <w:spacing w:line="240" w:lineRule="auto" w:before="0" w:after="0"/>
        <w:ind w:left="415" w:right="43" w:hanging="361"/>
        <w:jc w:val="both"/>
        <w:rPr>
          <w:sz w:val="20"/>
        </w:rPr>
      </w:pPr>
      <w:r>
        <w:rPr>
          <w:sz w:val="20"/>
        </w:rPr>
        <w:t>Jha, D., Smedsrud, P. H., Riegler, M. A.,</w:t>
      </w:r>
      <w:r>
        <w:rPr>
          <w:spacing w:val="-2"/>
          <w:sz w:val="20"/>
        </w:rPr>
        <w:t> </w:t>
      </w:r>
      <w:r>
        <w:rPr>
          <w:sz w:val="20"/>
        </w:rPr>
        <w:t>Halvorsen, P., de Lange, T., Johansen, D., &amp; Johansen, H. D. (2020). Kvasir-SEG:</w:t>
      </w:r>
      <w:r>
        <w:rPr>
          <w:spacing w:val="-8"/>
          <w:sz w:val="20"/>
        </w:rPr>
        <w:t> </w:t>
      </w:r>
      <w:r>
        <w:rPr>
          <w:sz w:val="20"/>
        </w:rPr>
        <w:t>A</w:t>
      </w:r>
      <w:r>
        <w:rPr>
          <w:spacing w:val="-7"/>
          <w:sz w:val="20"/>
        </w:rPr>
        <w:t> </w:t>
      </w:r>
      <w:r>
        <w:rPr>
          <w:sz w:val="20"/>
        </w:rPr>
        <w:t>segmented</w:t>
      </w:r>
      <w:r>
        <w:rPr>
          <w:spacing w:val="-7"/>
          <w:sz w:val="20"/>
        </w:rPr>
        <w:t> </w:t>
      </w:r>
      <w:r>
        <w:rPr>
          <w:sz w:val="20"/>
        </w:rPr>
        <w:t>polyp</w:t>
      </w:r>
      <w:r>
        <w:rPr>
          <w:spacing w:val="-7"/>
          <w:sz w:val="20"/>
        </w:rPr>
        <w:t> </w:t>
      </w:r>
      <w:r>
        <w:rPr>
          <w:sz w:val="20"/>
        </w:rPr>
        <w:t>dataset.</w:t>
      </w:r>
      <w:r>
        <w:rPr>
          <w:spacing w:val="-8"/>
          <w:sz w:val="20"/>
        </w:rPr>
        <w:t> </w:t>
      </w:r>
      <w:r>
        <w:rPr>
          <w:sz w:val="20"/>
        </w:rPr>
        <w:t>In</w:t>
      </w:r>
      <w:r>
        <w:rPr>
          <w:spacing w:val="-7"/>
          <w:sz w:val="20"/>
        </w:rPr>
        <w:t> </w:t>
      </w:r>
      <w:r>
        <w:rPr>
          <w:sz w:val="20"/>
        </w:rPr>
        <w:t>Y.</w:t>
      </w:r>
      <w:r>
        <w:rPr>
          <w:spacing w:val="-7"/>
          <w:sz w:val="20"/>
        </w:rPr>
        <w:t> </w:t>
      </w:r>
      <w:r>
        <w:rPr>
          <w:sz w:val="20"/>
        </w:rPr>
        <w:t>M.</w:t>
      </w:r>
      <w:r>
        <w:rPr>
          <w:spacing w:val="-7"/>
          <w:sz w:val="20"/>
        </w:rPr>
        <w:t> </w:t>
      </w:r>
      <w:r>
        <w:rPr>
          <w:sz w:val="20"/>
        </w:rPr>
        <w:t>Ro,</w:t>
      </w:r>
      <w:r>
        <w:rPr>
          <w:spacing w:val="-7"/>
          <w:sz w:val="20"/>
        </w:rPr>
        <w:t> </w:t>
      </w:r>
      <w:r>
        <w:rPr>
          <w:sz w:val="20"/>
        </w:rPr>
        <w:t>J. Kim, J.-W. Choi, W.-H. Cheng, W.-T. Chu, P. Cui, M.-</w:t>
      </w:r>
    </w:p>
    <w:p>
      <w:pPr>
        <w:pStyle w:val="ListParagraph"/>
        <w:numPr>
          <w:ilvl w:val="0"/>
          <w:numId w:val="5"/>
        </w:numPr>
        <w:tabs>
          <w:tab w:pos="688" w:val="left" w:leader="none"/>
        </w:tabs>
        <w:spacing w:line="240" w:lineRule="auto" w:before="0" w:after="0"/>
        <w:ind w:left="415" w:right="50" w:firstLine="0"/>
        <w:jc w:val="both"/>
        <w:rPr>
          <w:sz w:val="20"/>
        </w:rPr>
      </w:pPr>
      <w:r>
        <w:rPr>
          <w:sz w:val="20"/>
        </w:rPr>
        <w:t>Hu, &amp; W. De Neve (Eds.), </w:t>
      </w:r>
      <w:r>
        <w:rPr>
          <w:i/>
          <w:sz w:val="20"/>
        </w:rPr>
        <w:t>MultiMedia Modeling (MMM</w:t>
      </w:r>
      <w:r>
        <w:rPr>
          <w:i/>
          <w:spacing w:val="-6"/>
          <w:sz w:val="20"/>
        </w:rPr>
        <w:t> </w:t>
      </w:r>
      <w:r>
        <w:rPr>
          <w:i/>
          <w:sz w:val="20"/>
        </w:rPr>
        <w:t>2020)</w:t>
      </w:r>
      <w:r>
        <w:rPr>
          <w:i/>
          <w:spacing w:val="-6"/>
          <w:sz w:val="20"/>
        </w:rPr>
        <w:t> </w:t>
      </w:r>
      <w:r>
        <w:rPr>
          <w:sz w:val="20"/>
        </w:rPr>
        <w:t>(Lecture</w:t>
      </w:r>
      <w:r>
        <w:rPr>
          <w:spacing w:val="-4"/>
          <w:sz w:val="20"/>
        </w:rPr>
        <w:t> </w:t>
      </w:r>
      <w:r>
        <w:rPr>
          <w:sz w:val="20"/>
        </w:rPr>
        <w:t>Notes</w:t>
      </w:r>
      <w:r>
        <w:rPr>
          <w:spacing w:val="-4"/>
          <w:sz w:val="20"/>
        </w:rPr>
        <w:t> </w:t>
      </w:r>
      <w:r>
        <w:rPr>
          <w:sz w:val="20"/>
        </w:rPr>
        <w:t>in</w:t>
      </w:r>
      <w:r>
        <w:rPr>
          <w:spacing w:val="-5"/>
          <w:sz w:val="20"/>
        </w:rPr>
        <w:t> </w:t>
      </w:r>
      <w:r>
        <w:rPr>
          <w:sz w:val="20"/>
        </w:rPr>
        <w:t>Computer</w:t>
      </w:r>
      <w:r>
        <w:rPr>
          <w:spacing w:val="-6"/>
          <w:sz w:val="20"/>
        </w:rPr>
        <w:t> </w:t>
      </w:r>
      <w:r>
        <w:rPr>
          <w:sz w:val="20"/>
        </w:rPr>
        <w:t>Science,</w:t>
      </w:r>
      <w:r>
        <w:rPr>
          <w:spacing w:val="-5"/>
          <w:sz w:val="20"/>
        </w:rPr>
        <w:t> </w:t>
      </w:r>
      <w:r>
        <w:rPr>
          <w:sz w:val="20"/>
        </w:rPr>
        <w:t>Vol. 11962, pp. 451–462). Springer, Cham. </w:t>
      </w:r>
      <w:hyperlink r:id="rId26">
        <w:r>
          <w:rPr>
            <w:color w:val="0000FF"/>
            <w:spacing w:val="-2"/>
            <w:sz w:val="20"/>
            <w:u w:val="single" w:color="0000FF"/>
          </w:rPr>
          <w:t>https://doi.org/10.1007/978-3-030-37734-2_37</w:t>
        </w:r>
      </w:hyperlink>
    </w:p>
    <w:p>
      <w:pPr>
        <w:pStyle w:val="ListParagraph"/>
        <w:spacing w:after="0" w:line="240" w:lineRule="auto"/>
        <w:jc w:val="both"/>
        <w:rPr>
          <w:sz w:val="20"/>
        </w:rPr>
        <w:sectPr>
          <w:pgSz w:w="11910" w:h="16840"/>
          <w:pgMar w:top="1000" w:bottom="280" w:left="850" w:right="850"/>
          <w:cols w:num="2" w:equalWidth="0">
            <w:col w:w="4926" w:space="306"/>
            <w:col w:w="4978"/>
          </w:cols>
        </w:sectPr>
      </w:pPr>
    </w:p>
    <w:p>
      <w:pPr>
        <w:pStyle w:val="BodyText"/>
        <w:spacing w:before="4"/>
        <w:rPr>
          <w:sz w:val="17"/>
        </w:rPr>
      </w:pPr>
    </w:p>
    <w:sectPr>
      <w:pgSz w:w="11910" w:h="16840"/>
      <w:pgMar w:top="19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15" w:hanging="360"/>
        <w:jc w:val="left"/>
      </w:pPr>
      <w:rPr>
        <w:rFonts w:hint="default" w:ascii="Times New Roman" w:hAnsi="Times New Roman" w:eastAsia="Times New Roman" w:cs="Times New Roman"/>
        <w:b w:val="0"/>
        <w:bCs w:val="0"/>
        <w:i w:val="0"/>
        <w:iCs w:val="0"/>
        <w:spacing w:val="0"/>
        <w:w w:val="100"/>
        <w:sz w:val="20"/>
        <w:szCs w:val="20"/>
        <w:lang w:val="tr-TR" w:eastAsia="en-US" w:bidi="ar-SA"/>
      </w:rPr>
    </w:lvl>
    <w:lvl w:ilvl="1">
      <w:start w:val="0"/>
      <w:numFmt w:val="bullet"/>
      <w:lvlText w:val="•"/>
      <w:lvlJc w:val="left"/>
      <w:pPr>
        <w:ind w:left="870" w:hanging="360"/>
      </w:pPr>
      <w:rPr>
        <w:rFonts w:hint="default"/>
        <w:lang w:val="tr-TR" w:eastAsia="en-US" w:bidi="ar-SA"/>
      </w:rPr>
    </w:lvl>
    <w:lvl w:ilvl="2">
      <w:start w:val="0"/>
      <w:numFmt w:val="bullet"/>
      <w:lvlText w:val="•"/>
      <w:lvlJc w:val="left"/>
      <w:pPr>
        <w:ind w:left="1321" w:hanging="360"/>
      </w:pPr>
      <w:rPr>
        <w:rFonts w:hint="default"/>
        <w:lang w:val="tr-TR" w:eastAsia="en-US" w:bidi="ar-SA"/>
      </w:rPr>
    </w:lvl>
    <w:lvl w:ilvl="3">
      <w:start w:val="0"/>
      <w:numFmt w:val="bullet"/>
      <w:lvlText w:val="•"/>
      <w:lvlJc w:val="left"/>
      <w:pPr>
        <w:ind w:left="1771" w:hanging="360"/>
      </w:pPr>
      <w:rPr>
        <w:rFonts w:hint="default"/>
        <w:lang w:val="tr-TR" w:eastAsia="en-US" w:bidi="ar-SA"/>
      </w:rPr>
    </w:lvl>
    <w:lvl w:ilvl="4">
      <w:start w:val="0"/>
      <w:numFmt w:val="bullet"/>
      <w:lvlText w:val="•"/>
      <w:lvlJc w:val="left"/>
      <w:pPr>
        <w:ind w:left="2222" w:hanging="360"/>
      </w:pPr>
      <w:rPr>
        <w:rFonts w:hint="default"/>
        <w:lang w:val="tr-TR" w:eastAsia="en-US" w:bidi="ar-SA"/>
      </w:rPr>
    </w:lvl>
    <w:lvl w:ilvl="5">
      <w:start w:val="0"/>
      <w:numFmt w:val="bullet"/>
      <w:lvlText w:val="•"/>
      <w:lvlJc w:val="left"/>
      <w:pPr>
        <w:ind w:left="2672" w:hanging="360"/>
      </w:pPr>
      <w:rPr>
        <w:rFonts w:hint="default"/>
        <w:lang w:val="tr-TR" w:eastAsia="en-US" w:bidi="ar-SA"/>
      </w:rPr>
    </w:lvl>
    <w:lvl w:ilvl="6">
      <w:start w:val="0"/>
      <w:numFmt w:val="bullet"/>
      <w:lvlText w:val="•"/>
      <w:lvlJc w:val="left"/>
      <w:pPr>
        <w:ind w:left="3123" w:hanging="360"/>
      </w:pPr>
      <w:rPr>
        <w:rFonts w:hint="default"/>
        <w:lang w:val="tr-TR" w:eastAsia="en-US" w:bidi="ar-SA"/>
      </w:rPr>
    </w:lvl>
    <w:lvl w:ilvl="7">
      <w:start w:val="0"/>
      <w:numFmt w:val="bullet"/>
      <w:lvlText w:val="•"/>
      <w:lvlJc w:val="left"/>
      <w:pPr>
        <w:ind w:left="3573" w:hanging="360"/>
      </w:pPr>
      <w:rPr>
        <w:rFonts w:hint="default"/>
        <w:lang w:val="tr-TR" w:eastAsia="en-US" w:bidi="ar-SA"/>
      </w:rPr>
    </w:lvl>
    <w:lvl w:ilvl="8">
      <w:start w:val="0"/>
      <w:numFmt w:val="bullet"/>
      <w:lvlText w:val="•"/>
      <w:lvlJc w:val="left"/>
      <w:pPr>
        <w:ind w:left="4024" w:hanging="360"/>
      </w:pPr>
      <w:rPr>
        <w:rFonts w:hint="default"/>
        <w:lang w:val="tr-TR" w:eastAsia="en-US" w:bidi="ar-SA"/>
      </w:rPr>
    </w:lvl>
  </w:abstractNum>
  <w:abstractNum w:abstractNumId="4">
    <w:multiLevelType w:val="hybridMultilevel"/>
    <w:lvl w:ilvl="0">
      <w:start w:val="1"/>
      <w:numFmt w:val="upperLetter"/>
      <w:lvlText w:val="%1."/>
      <w:lvlJc w:val="left"/>
      <w:pPr>
        <w:ind w:left="300" w:hanging="245"/>
        <w:jc w:val="right"/>
      </w:pPr>
      <w:rPr>
        <w:rFonts w:hint="default"/>
        <w:spacing w:val="0"/>
        <w:w w:val="100"/>
        <w:lang w:val="tr-TR" w:eastAsia="en-US" w:bidi="ar-SA"/>
      </w:rPr>
    </w:lvl>
    <w:lvl w:ilvl="1">
      <w:start w:val="0"/>
      <w:numFmt w:val="bullet"/>
      <w:lvlText w:val="•"/>
      <w:lvlJc w:val="left"/>
      <w:pPr>
        <w:ind w:left="762" w:hanging="245"/>
      </w:pPr>
      <w:rPr>
        <w:rFonts w:hint="default"/>
        <w:lang w:val="tr-TR" w:eastAsia="en-US" w:bidi="ar-SA"/>
      </w:rPr>
    </w:lvl>
    <w:lvl w:ilvl="2">
      <w:start w:val="0"/>
      <w:numFmt w:val="bullet"/>
      <w:lvlText w:val="•"/>
      <w:lvlJc w:val="left"/>
      <w:pPr>
        <w:ind w:left="1224" w:hanging="245"/>
      </w:pPr>
      <w:rPr>
        <w:rFonts w:hint="default"/>
        <w:lang w:val="tr-TR" w:eastAsia="en-US" w:bidi="ar-SA"/>
      </w:rPr>
    </w:lvl>
    <w:lvl w:ilvl="3">
      <w:start w:val="0"/>
      <w:numFmt w:val="bullet"/>
      <w:lvlText w:val="•"/>
      <w:lvlJc w:val="left"/>
      <w:pPr>
        <w:ind w:left="1686" w:hanging="245"/>
      </w:pPr>
      <w:rPr>
        <w:rFonts w:hint="default"/>
        <w:lang w:val="tr-TR" w:eastAsia="en-US" w:bidi="ar-SA"/>
      </w:rPr>
    </w:lvl>
    <w:lvl w:ilvl="4">
      <w:start w:val="0"/>
      <w:numFmt w:val="bullet"/>
      <w:lvlText w:val="•"/>
      <w:lvlJc w:val="left"/>
      <w:pPr>
        <w:ind w:left="2149" w:hanging="245"/>
      </w:pPr>
      <w:rPr>
        <w:rFonts w:hint="default"/>
        <w:lang w:val="tr-TR" w:eastAsia="en-US" w:bidi="ar-SA"/>
      </w:rPr>
    </w:lvl>
    <w:lvl w:ilvl="5">
      <w:start w:val="0"/>
      <w:numFmt w:val="bullet"/>
      <w:lvlText w:val="•"/>
      <w:lvlJc w:val="left"/>
      <w:pPr>
        <w:ind w:left="2611" w:hanging="245"/>
      </w:pPr>
      <w:rPr>
        <w:rFonts w:hint="default"/>
        <w:lang w:val="tr-TR" w:eastAsia="en-US" w:bidi="ar-SA"/>
      </w:rPr>
    </w:lvl>
    <w:lvl w:ilvl="6">
      <w:start w:val="0"/>
      <w:numFmt w:val="bullet"/>
      <w:lvlText w:val="•"/>
      <w:lvlJc w:val="left"/>
      <w:pPr>
        <w:ind w:left="3073" w:hanging="245"/>
      </w:pPr>
      <w:rPr>
        <w:rFonts w:hint="default"/>
        <w:lang w:val="tr-TR" w:eastAsia="en-US" w:bidi="ar-SA"/>
      </w:rPr>
    </w:lvl>
    <w:lvl w:ilvl="7">
      <w:start w:val="0"/>
      <w:numFmt w:val="bullet"/>
      <w:lvlText w:val="•"/>
      <w:lvlJc w:val="left"/>
      <w:pPr>
        <w:ind w:left="3536" w:hanging="245"/>
      </w:pPr>
      <w:rPr>
        <w:rFonts w:hint="default"/>
        <w:lang w:val="tr-TR" w:eastAsia="en-US" w:bidi="ar-SA"/>
      </w:rPr>
    </w:lvl>
    <w:lvl w:ilvl="8">
      <w:start w:val="0"/>
      <w:numFmt w:val="bullet"/>
      <w:lvlText w:val="•"/>
      <w:lvlJc w:val="left"/>
      <w:pPr>
        <w:ind w:left="3998" w:hanging="245"/>
      </w:pPr>
      <w:rPr>
        <w:rFonts w:hint="default"/>
        <w:lang w:val="tr-TR" w:eastAsia="en-US" w:bidi="ar-SA"/>
      </w:rPr>
    </w:lvl>
  </w:abstractNum>
  <w:abstractNum w:abstractNumId="3">
    <w:multiLevelType w:val="hybridMultilevel"/>
    <w:lvl w:ilvl="0">
      <w:start w:val="1"/>
      <w:numFmt w:val="decimal"/>
      <w:lvlText w:val="%1."/>
      <w:lvlJc w:val="left"/>
      <w:pPr>
        <w:ind w:left="465" w:hanging="360"/>
        <w:jc w:val="right"/>
      </w:pPr>
      <w:rPr>
        <w:rFonts w:hint="default"/>
        <w:spacing w:val="0"/>
        <w:w w:val="100"/>
        <w:lang w:val="tr-TR" w:eastAsia="en-US" w:bidi="ar-SA"/>
      </w:rPr>
    </w:lvl>
    <w:lvl w:ilvl="1">
      <w:start w:val="0"/>
      <w:numFmt w:val="bullet"/>
      <w:lvlText w:val="•"/>
      <w:lvlJc w:val="left"/>
      <w:pPr>
        <w:ind w:left="906" w:hanging="360"/>
      </w:pPr>
      <w:rPr>
        <w:rFonts w:hint="default"/>
        <w:lang w:val="tr-TR" w:eastAsia="en-US" w:bidi="ar-SA"/>
      </w:rPr>
    </w:lvl>
    <w:lvl w:ilvl="2">
      <w:start w:val="0"/>
      <w:numFmt w:val="bullet"/>
      <w:lvlText w:val="•"/>
      <w:lvlJc w:val="left"/>
      <w:pPr>
        <w:ind w:left="1353" w:hanging="360"/>
      </w:pPr>
      <w:rPr>
        <w:rFonts w:hint="default"/>
        <w:lang w:val="tr-TR" w:eastAsia="en-US" w:bidi="ar-SA"/>
      </w:rPr>
    </w:lvl>
    <w:lvl w:ilvl="3">
      <w:start w:val="0"/>
      <w:numFmt w:val="bullet"/>
      <w:lvlText w:val="•"/>
      <w:lvlJc w:val="left"/>
      <w:pPr>
        <w:ind w:left="1799" w:hanging="360"/>
      </w:pPr>
      <w:rPr>
        <w:rFonts w:hint="default"/>
        <w:lang w:val="tr-TR" w:eastAsia="en-US" w:bidi="ar-SA"/>
      </w:rPr>
    </w:lvl>
    <w:lvl w:ilvl="4">
      <w:start w:val="0"/>
      <w:numFmt w:val="bullet"/>
      <w:lvlText w:val="•"/>
      <w:lvlJc w:val="left"/>
      <w:pPr>
        <w:ind w:left="2246" w:hanging="360"/>
      </w:pPr>
      <w:rPr>
        <w:rFonts w:hint="default"/>
        <w:lang w:val="tr-TR" w:eastAsia="en-US" w:bidi="ar-SA"/>
      </w:rPr>
    </w:lvl>
    <w:lvl w:ilvl="5">
      <w:start w:val="0"/>
      <w:numFmt w:val="bullet"/>
      <w:lvlText w:val="•"/>
      <w:lvlJc w:val="left"/>
      <w:pPr>
        <w:ind w:left="2693" w:hanging="360"/>
      </w:pPr>
      <w:rPr>
        <w:rFonts w:hint="default"/>
        <w:lang w:val="tr-TR" w:eastAsia="en-US" w:bidi="ar-SA"/>
      </w:rPr>
    </w:lvl>
    <w:lvl w:ilvl="6">
      <w:start w:val="0"/>
      <w:numFmt w:val="bullet"/>
      <w:lvlText w:val="•"/>
      <w:lvlJc w:val="left"/>
      <w:pPr>
        <w:ind w:left="3139" w:hanging="360"/>
      </w:pPr>
      <w:rPr>
        <w:rFonts w:hint="default"/>
        <w:lang w:val="tr-TR" w:eastAsia="en-US" w:bidi="ar-SA"/>
      </w:rPr>
    </w:lvl>
    <w:lvl w:ilvl="7">
      <w:start w:val="0"/>
      <w:numFmt w:val="bullet"/>
      <w:lvlText w:val="•"/>
      <w:lvlJc w:val="left"/>
      <w:pPr>
        <w:ind w:left="3586" w:hanging="360"/>
      </w:pPr>
      <w:rPr>
        <w:rFonts w:hint="default"/>
        <w:lang w:val="tr-TR" w:eastAsia="en-US" w:bidi="ar-SA"/>
      </w:rPr>
    </w:lvl>
    <w:lvl w:ilvl="8">
      <w:start w:val="0"/>
      <w:numFmt w:val="bullet"/>
      <w:lvlText w:val="•"/>
      <w:lvlJc w:val="left"/>
      <w:pPr>
        <w:ind w:left="4032" w:hanging="360"/>
      </w:pPr>
      <w:rPr>
        <w:rFonts w:hint="default"/>
        <w:lang w:val="tr-TR" w:eastAsia="en-US" w:bidi="ar-SA"/>
      </w:rPr>
    </w:lvl>
  </w:abstractNum>
  <w:abstractNum w:abstractNumId="2">
    <w:multiLevelType w:val="hybridMultilevel"/>
    <w:lvl w:ilvl="0">
      <w:start w:val="1"/>
      <w:numFmt w:val="upperLetter"/>
      <w:lvlText w:val="%1."/>
      <w:lvlJc w:val="left"/>
      <w:pPr>
        <w:ind w:left="300" w:hanging="245"/>
        <w:jc w:val="left"/>
      </w:pPr>
      <w:rPr>
        <w:rFonts w:hint="default" w:ascii="Times New Roman" w:hAnsi="Times New Roman" w:eastAsia="Times New Roman" w:cs="Times New Roman"/>
        <w:b/>
        <w:bCs/>
        <w:i w:val="0"/>
        <w:iCs w:val="0"/>
        <w:spacing w:val="0"/>
        <w:w w:val="100"/>
        <w:sz w:val="20"/>
        <w:szCs w:val="20"/>
        <w:lang w:val="tr-TR" w:eastAsia="en-US" w:bidi="ar-SA"/>
      </w:rPr>
    </w:lvl>
    <w:lvl w:ilvl="1">
      <w:start w:val="0"/>
      <w:numFmt w:val="bullet"/>
      <w:lvlText w:val="•"/>
      <w:lvlJc w:val="left"/>
      <w:pPr>
        <w:ind w:left="762" w:hanging="245"/>
      </w:pPr>
      <w:rPr>
        <w:rFonts w:hint="default"/>
        <w:lang w:val="tr-TR" w:eastAsia="en-US" w:bidi="ar-SA"/>
      </w:rPr>
    </w:lvl>
    <w:lvl w:ilvl="2">
      <w:start w:val="0"/>
      <w:numFmt w:val="bullet"/>
      <w:lvlText w:val="•"/>
      <w:lvlJc w:val="left"/>
      <w:pPr>
        <w:ind w:left="1225" w:hanging="245"/>
      </w:pPr>
      <w:rPr>
        <w:rFonts w:hint="default"/>
        <w:lang w:val="tr-TR" w:eastAsia="en-US" w:bidi="ar-SA"/>
      </w:rPr>
    </w:lvl>
    <w:lvl w:ilvl="3">
      <w:start w:val="0"/>
      <w:numFmt w:val="bullet"/>
      <w:lvlText w:val="•"/>
      <w:lvlJc w:val="left"/>
      <w:pPr>
        <w:ind w:left="1688" w:hanging="245"/>
      </w:pPr>
      <w:rPr>
        <w:rFonts w:hint="default"/>
        <w:lang w:val="tr-TR" w:eastAsia="en-US" w:bidi="ar-SA"/>
      </w:rPr>
    </w:lvl>
    <w:lvl w:ilvl="4">
      <w:start w:val="0"/>
      <w:numFmt w:val="bullet"/>
      <w:lvlText w:val="•"/>
      <w:lvlJc w:val="left"/>
      <w:pPr>
        <w:ind w:left="2150" w:hanging="245"/>
      </w:pPr>
      <w:rPr>
        <w:rFonts w:hint="default"/>
        <w:lang w:val="tr-TR" w:eastAsia="en-US" w:bidi="ar-SA"/>
      </w:rPr>
    </w:lvl>
    <w:lvl w:ilvl="5">
      <w:start w:val="0"/>
      <w:numFmt w:val="bullet"/>
      <w:lvlText w:val="•"/>
      <w:lvlJc w:val="left"/>
      <w:pPr>
        <w:ind w:left="2613" w:hanging="245"/>
      </w:pPr>
      <w:rPr>
        <w:rFonts w:hint="default"/>
        <w:lang w:val="tr-TR" w:eastAsia="en-US" w:bidi="ar-SA"/>
      </w:rPr>
    </w:lvl>
    <w:lvl w:ilvl="6">
      <w:start w:val="0"/>
      <w:numFmt w:val="bullet"/>
      <w:lvlText w:val="•"/>
      <w:lvlJc w:val="left"/>
      <w:pPr>
        <w:ind w:left="3076" w:hanging="245"/>
      </w:pPr>
      <w:rPr>
        <w:rFonts w:hint="default"/>
        <w:lang w:val="tr-TR" w:eastAsia="en-US" w:bidi="ar-SA"/>
      </w:rPr>
    </w:lvl>
    <w:lvl w:ilvl="7">
      <w:start w:val="0"/>
      <w:numFmt w:val="bullet"/>
      <w:lvlText w:val="•"/>
      <w:lvlJc w:val="left"/>
      <w:pPr>
        <w:ind w:left="3539" w:hanging="245"/>
      </w:pPr>
      <w:rPr>
        <w:rFonts w:hint="default"/>
        <w:lang w:val="tr-TR" w:eastAsia="en-US" w:bidi="ar-SA"/>
      </w:rPr>
    </w:lvl>
    <w:lvl w:ilvl="8">
      <w:start w:val="0"/>
      <w:numFmt w:val="bullet"/>
      <w:lvlText w:val="•"/>
      <w:lvlJc w:val="left"/>
      <w:pPr>
        <w:ind w:left="4001" w:hanging="245"/>
      </w:pPr>
      <w:rPr>
        <w:rFonts w:hint="default"/>
        <w:lang w:val="tr-TR" w:eastAsia="en-US" w:bidi="ar-SA"/>
      </w:rPr>
    </w:lvl>
  </w:abstractNum>
  <w:abstractNum w:abstractNumId="1">
    <w:multiLevelType w:val="hybridMultilevel"/>
    <w:lvl w:ilvl="0">
      <w:start w:val="1"/>
      <w:numFmt w:val="upperLetter"/>
      <w:lvlText w:val="%1."/>
      <w:lvlJc w:val="left"/>
      <w:pPr>
        <w:ind w:left="300" w:hanging="245"/>
        <w:jc w:val="left"/>
      </w:pPr>
      <w:rPr>
        <w:rFonts w:hint="default" w:ascii="Times New Roman" w:hAnsi="Times New Roman" w:eastAsia="Times New Roman" w:cs="Times New Roman"/>
        <w:b/>
        <w:bCs/>
        <w:i w:val="0"/>
        <w:iCs w:val="0"/>
        <w:spacing w:val="0"/>
        <w:w w:val="100"/>
        <w:sz w:val="20"/>
        <w:szCs w:val="20"/>
        <w:lang w:val="tr-TR" w:eastAsia="en-US" w:bidi="ar-SA"/>
      </w:rPr>
    </w:lvl>
    <w:lvl w:ilvl="1">
      <w:start w:val="0"/>
      <w:numFmt w:val="bullet"/>
      <w:lvlText w:val="•"/>
      <w:lvlJc w:val="left"/>
      <w:pPr>
        <w:ind w:left="767" w:hanging="245"/>
      </w:pPr>
      <w:rPr>
        <w:rFonts w:hint="default"/>
        <w:lang w:val="tr-TR" w:eastAsia="en-US" w:bidi="ar-SA"/>
      </w:rPr>
    </w:lvl>
    <w:lvl w:ilvl="2">
      <w:start w:val="0"/>
      <w:numFmt w:val="bullet"/>
      <w:lvlText w:val="•"/>
      <w:lvlJc w:val="left"/>
      <w:pPr>
        <w:ind w:left="1234" w:hanging="245"/>
      </w:pPr>
      <w:rPr>
        <w:rFonts w:hint="default"/>
        <w:lang w:val="tr-TR" w:eastAsia="en-US" w:bidi="ar-SA"/>
      </w:rPr>
    </w:lvl>
    <w:lvl w:ilvl="3">
      <w:start w:val="0"/>
      <w:numFmt w:val="bullet"/>
      <w:lvlText w:val="•"/>
      <w:lvlJc w:val="left"/>
      <w:pPr>
        <w:ind w:left="1701" w:hanging="245"/>
      </w:pPr>
      <w:rPr>
        <w:rFonts w:hint="default"/>
        <w:lang w:val="tr-TR" w:eastAsia="en-US" w:bidi="ar-SA"/>
      </w:rPr>
    </w:lvl>
    <w:lvl w:ilvl="4">
      <w:start w:val="0"/>
      <w:numFmt w:val="bullet"/>
      <w:lvlText w:val="•"/>
      <w:lvlJc w:val="left"/>
      <w:pPr>
        <w:ind w:left="2169" w:hanging="245"/>
      </w:pPr>
      <w:rPr>
        <w:rFonts w:hint="default"/>
        <w:lang w:val="tr-TR" w:eastAsia="en-US" w:bidi="ar-SA"/>
      </w:rPr>
    </w:lvl>
    <w:lvl w:ilvl="5">
      <w:start w:val="0"/>
      <w:numFmt w:val="bullet"/>
      <w:lvlText w:val="•"/>
      <w:lvlJc w:val="left"/>
      <w:pPr>
        <w:ind w:left="2636" w:hanging="245"/>
      </w:pPr>
      <w:rPr>
        <w:rFonts w:hint="default"/>
        <w:lang w:val="tr-TR" w:eastAsia="en-US" w:bidi="ar-SA"/>
      </w:rPr>
    </w:lvl>
    <w:lvl w:ilvl="6">
      <w:start w:val="0"/>
      <w:numFmt w:val="bullet"/>
      <w:lvlText w:val="•"/>
      <w:lvlJc w:val="left"/>
      <w:pPr>
        <w:ind w:left="3103" w:hanging="245"/>
      </w:pPr>
      <w:rPr>
        <w:rFonts w:hint="default"/>
        <w:lang w:val="tr-TR" w:eastAsia="en-US" w:bidi="ar-SA"/>
      </w:rPr>
    </w:lvl>
    <w:lvl w:ilvl="7">
      <w:start w:val="0"/>
      <w:numFmt w:val="bullet"/>
      <w:lvlText w:val="•"/>
      <w:lvlJc w:val="left"/>
      <w:pPr>
        <w:ind w:left="3571" w:hanging="245"/>
      </w:pPr>
      <w:rPr>
        <w:rFonts w:hint="default"/>
        <w:lang w:val="tr-TR" w:eastAsia="en-US" w:bidi="ar-SA"/>
      </w:rPr>
    </w:lvl>
    <w:lvl w:ilvl="8">
      <w:start w:val="0"/>
      <w:numFmt w:val="bullet"/>
      <w:lvlText w:val="•"/>
      <w:lvlJc w:val="left"/>
      <w:pPr>
        <w:ind w:left="4038" w:hanging="245"/>
      </w:pPr>
      <w:rPr>
        <w:rFonts w:hint="default"/>
        <w:lang w:val="tr-TR" w:eastAsia="en-US" w:bidi="ar-SA"/>
      </w:rPr>
    </w:lvl>
  </w:abstractNum>
  <w:abstractNum w:abstractNumId="0">
    <w:multiLevelType w:val="hybridMultilevel"/>
    <w:lvl w:ilvl="0">
      <w:start w:val="1"/>
      <w:numFmt w:val="upperRoman"/>
      <w:lvlText w:val="%1."/>
      <w:lvlJc w:val="left"/>
      <w:pPr>
        <w:ind w:left="2336" w:hanging="280"/>
        <w:jc w:val="right"/>
      </w:pPr>
      <w:rPr>
        <w:rFonts w:hint="default" w:ascii="Times New Roman" w:hAnsi="Times New Roman" w:eastAsia="Times New Roman" w:cs="Times New Roman"/>
        <w:b/>
        <w:bCs/>
        <w:i w:val="0"/>
        <w:iCs w:val="0"/>
        <w:spacing w:val="0"/>
        <w:w w:val="100"/>
        <w:sz w:val="20"/>
        <w:szCs w:val="20"/>
        <w:lang w:val="tr-TR" w:eastAsia="en-US" w:bidi="ar-SA"/>
      </w:rPr>
    </w:lvl>
    <w:lvl w:ilvl="1">
      <w:start w:val="0"/>
      <w:numFmt w:val="bullet"/>
      <w:lvlText w:val="•"/>
      <w:lvlJc w:val="left"/>
      <w:pPr>
        <w:ind w:left="2603" w:hanging="280"/>
      </w:pPr>
      <w:rPr>
        <w:rFonts w:hint="default"/>
        <w:lang w:val="tr-TR" w:eastAsia="en-US" w:bidi="ar-SA"/>
      </w:rPr>
    </w:lvl>
    <w:lvl w:ilvl="2">
      <w:start w:val="0"/>
      <w:numFmt w:val="bullet"/>
      <w:lvlText w:val="•"/>
      <w:lvlJc w:val="left"/>
      <w:pPr>
        <w:ind w:left="2866" w:hanging="280"/>
      </w:pPr>
      <w:rPr>
        <w:rFonts w:hint="default"/>
        <w:lang w:val="tr-TR" w:eastAsia="en-US" w:bidi="ar-SA"/>
      </w:rPr>
    </w:lvl>
    <w:lvl w:ilvl="3">
      <w:start w:val="0"/>
      <w:numFmt w:val="bullet"/>
      <w:lvlText w:val="•"/>
      <w:lvlJc w:val="left"/>
      <w:pPr>
        <w:ind w:left="3129" w:hanging="280"/>
      </w:pPr>
      <w:rPr>
        <w:rFonts w:hint="default"/>
        <w:lang w:val="tr-TR" w:eastAsia="en-US" w:bidi="ar-SA"/>
      </w:rPr>
    </w:lvl>
    <w:lvl w:ilvl="4">
      <w:start w:val="0"/>
      <w:numFmt w:val="bullet"/>
      <w:lvlText w:val="•"/>
      <w:lvlJc w:val="left"/>
      <w:pPr>
        <w:ind w:left="3393" w:hanging="280"/>
      </w:pPr>
      <w:rPr>
        <w:rFonts w:hint="default"/>
        <w:lang w:val="tr-TR" w:eastAsia="en-US" w:bidi="ar-SA"/>
      </w:rPr>
    </w:lvl>
    <w:lvl w:ilvl="5">
      <w:start w:val="0"/>
      <w:numFmt w:val="bullet"/>
      <w:lvlText w:val="•"/>
      <w:lvlJc w:val="left"/>
      <w:pPr>
        <w:ind w:left="3656" w:hanging="280"/>
      </w:pPr>
      <w:rPr>
        <w:rFonts w:hint="default"/>
        <w:lang w:val="tr-TR" w:eastAsia="en-US" w:bidi="ar-SA"/>
      </w:rPr>
    </w:lvl>
    <w:lvl w:ilvl="6">
      <w:start w:val="0"/>
      <w:numFmt w:val="bullet"/>
      <w:lvlText w:val="•"/>
      <w:lvlJc w:val="left"/>
      <w:pPr>
        <w:ind w:left="3919" w:hanging="280"/>
      </w:pPr>
      <w:rPr>
        <w:rFonts w:hint="default"/>
        <w:lang w:val="tr-TR" w:eastAsia="en-US" w:bidi="ar-SA"/>
      </w:rPr>
    </w:lvl>
    <w:lvl w:ilvl="7">
      <w:start w:val="0"/>
      <w:numFmt w:val="bullet"/>
      <w:lvlText w:val="•"/>
      <w:lvlJc w:val="left"/>
      <w:pPr>
        <w:ind w:left="4183" w:hanging="280"/>
      </w:pPr>
      <w:rPr>
        <w:rFonts w:hint="default"/>
        <w:lang w:val="tr-TR" w:eastAsia="en-US" w:bidi="ar-SA"/>
      </w:rPr>
    </w:lvl>
    <w:lvl w:ilvl="8">
      <w:start w:val="0"/>
      <w:numFmt w:val="bullet"/>
      <w:lvlText w:val="•"/>
      <w:lvlJc w:val="left"/>
      <w:pPr>
        <w:ind w:left="4446" w:hanging="280"/>
      </w:pPr>
      <w:rPr>
        <w:rFonts w:hint="default"/>
        <w:lang w:val="tr-TR"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tr-TR" w:eastAsia="en-US" w:bidi="ar-SA"/>
    </w:rPr>
  </w:style>
  <w:style w:styleId="Heading1" w:type="paragraph">
    <w:name w:val="Heading 1"/>
    <w:basedOn w:val="Normal"/>
    <w:uiPriority w:val="1"/>
    <w:qFormat/>
    <w:pPr>
      <w:ind w:left="830" w:hanging="415"/>
      <w:jc w:val="both"/>
      <w:outlineLvl w:val="1"/>
    </w:pPr>
    <w:rPr>
      <w:rFonts w:ascii="Times New Roman" w:hAnsi="Times New Roman" w:eastAsia="Times New Roman" w:cs="Times New Roman"/>
      <w:b/>
      <w:bCs/>
      <w:sz w:val="22"/>
      <w:szCs w:val="22"/>
      <w:lang w:val="tr-TR" w:eastAsia="en-US" w:bidi="ar-SA"/>
    </w:rPr>
  </w:style>
  <w:style w:styleId="Heading2" w:type="paragraph">
    <w:name w:val="Heading 2"/>
    <w:basedOn w:val="Normal"/>
    <w:uiPriority w:val="1"/>
    <w:qFormat/>
    <w:pPr>
      <w:ind w:left="753" w:hanging="348"/>
      <w:outlineLvl w:val="2"/>
    </w:pPr>
    <w:rPr>
      <w:rFonts w:ascii="Times New Roman" w:hAnsi="Times New Roman" w:eastAsia="Times New Roman" w:cs="Times New Roman"/>
      <w:b/>
      <w:bCs/>
      <w:sz w:val="20"/>
      <w:szCs w:val="20"/>
      <w:lang w:val="tr-TR" w:eastAsia="en-US" w:bidi="ar-SA"/>
    </w:rPr>
  </w:style>
  <w:style w:styleId="Heading3" w:type="paragraph">
    <w:name w:val="Heading 3"/>
    <w:basedOn w:val="Normal"/>
    <w:uiPriority w:val="1"/>
    <w:qFormat/>
    <w:pPr>
      <w:ind w:left="55" w:hanging="244"/>
      <w:jc w:val="both"/>
      <w:outlineLvl w:val="3"/>
    </w:pPr>
    <w:rPr>
      <w:rFonts w:ascii="Times New Roman" w:hAnsi="Times New Roman" w:eastAsia="Times New Roman" w:cs="Times New Roman"/>
      <w:b/>
      <w:bCs/>
      <w:sz w:val="20"/>
      <w:szCs w:val="20"/>
      <w:lang w:val="tr-TR" w:eastAsia="en-US" w:bidi="ar-SA"/>
    </w:rPr>
  </w:style>
  <w:style w:styleId="Heading4" w:type="paragraph">
    <w:name w:val="Heading 4"/>
    <w:basedOn w:val="Normal"/>
    <w:uiPriority w:val="1"/>
    <w:qFormat/>
    <w:pPr>
      <w:ind w:left="55"/>
      <w:outlineLvl w:val="4"/>
    </w:pPr>
    <w:rPr>
      <w:rFonts w:ascii="Times New Roman" w:hAnsi="Times New Roman" w:eastAsia="Times New Roman" w:cs="Times New Roman"/>
      <w:b/>
      <w:bCs/>
      <w:i/>
      <w:iCs/>
      <w:sz w:val="20"/>
      <w:szCs w:val="20"/>
      <w:lang w:val="tr-TR" w:eastAsia="en-US" w:bidi="ar-SA"/>
    </w:rPr>
  </w:style>
  <w:style w:styleId="Title" w:type="paragraph">
    <w:name w:val="Title"/>
    <w:basedOn w:val="Normal"/>
    <w:uiPriority w:val="1"/>
    <w:qFormat/>
    <w:pPr>
      <w:spacing w:before="57"/>
      <w:ind w:left="105" w:right="106" w:hanging="6"/>
      <w:jc w:val="center"/>
    </w:pPr>
    <w:rPr>
      <w:rFonts w:ascii="Times New Roman" w:hAnsi="Times New Roman" w:eastAsia="Times New Roman" w:cs="Times New Roman"/>
      <w:b/>
      <w:bCs/>
      <w:sz w:val="48"/>
      <w:szCs w:val="48"/>
      <w:lang w:val="tr-TR" w:eastAsia="en-US" w:bidi="ar-SA"/>
    </w:rPr>
  </w:style>
  <w:style w:styleId="ListParagraph" w:type="paragraph">
    <w:name w:val="List Paragraph"/>
    <w:basedOn w:val="Normal"/>
    <w:uiPriority w:val="1"/>
    <w:qFormat/>
    <w:pPr>
      <w:ind w:left="415" w:hanging="360"/>
      <w:jc w:val="both"/>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spacing w:line="199" w:lineRule="exact"/>
      <w:jc w:val="center"/>
    </w:pPr>
    <w:rPr>
      <w:rFonts w:ascii="Times New Roman" w:hAnsi="Times New Roman" w:eastAsia="Times New Roman" w:cs="Times New Roman"/>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kiryusuf@gmail.com" TargetMode="External"/><Relationship Id="rId6" Type="http://schemas.openxmlformats.org/officeDocument/2006/relationships/hyperlink" Target="mailto:erdalozbay@firat.edu.tr"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hyperlink" Target="https://www.synapse.org/Synapse%3Asyn3193805" TargetMode="External"/><Relationship Id="rId19" Type="http://schemas.openxmlformats.org/officeDocument/2006/relationships/hyperlink" Target="https://arxiv.org/abs/2401.11734" TargetMode="External"/><Relationship Id="rId20" Type="http://schemas.openxmlformats.org/officeDocument/2006/relationships/hyperlink" Target="https://pubmed.ncbi.nlm.nih.gov/40567731/?utm_source=chatgpt.com" TargetMode="External"/><Relationship Id="rId21" Type="http://schemas.openxmlformats.org/officeDocument/2006/relationships/hyperlink" Target="https://colab.ws/articles/10.1101%2F2025.10.14.682445?utm_source=chatgpt.com" TargetMode="External"/><Relationship Id="rId22" Type="http://schemas.openxmlformats.org/officeDocument/2006/relationships/hyperlink" Target="https://link.springer.com/article/10.1186/s12880-025-01826-7?utm_source=chatgpt.com" TargetMode="External"/><Relationship Id="rId23" Type="http://schemas.openxmlformats.org/officeDocument/2006/relationships/hyperlink" Target="https://www.frontiersin.org/journals/medicine/articles/10.3389/fmed.2025.1589587/full?utm_source=chatgpt.com" TargetMode="External"/><Relationship Id="rId24" Type="http://schemas.openxmlformats.org/officeDocument/2006/relationships/hyperlink" Target="https://www.kaggle.com/datasets/debeshjha1/kvasirseg?utm_source=chatgpt.com" TargetMode="External"/><Relationship Id="rId25" Type="http://schemas.openxmlformats.org/officeDocument/2006/relationships/hyperlink" Target="https://doi.org/10.5281/zenodo.5579392" TargetMode="External"/><Relationship Id="rId26" Type="http://schemas.openxmlformats.org/officeDocument/2006/relationships/hyperlink" Target="https://doi.org/10.1007/978-3-030-37734-2_37"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2025-12-30T14:30:21Z</dcterms:created>
  <dcterms:modified xsi:type="dcterms:W3CDTF">2025-12-30T14:30:21Z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Microsoft Word</vt:lpwstr>
  </property>
  <property fmtid="{D5CDD505-2E9C-101B-9397-08002B2CF9AE}" pid="4" name="LastSaved">
    <vt:filetime>2025-12-30T00:00:00Z</vt:filetime>
  </property>
</Properties>
</file>