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08111F"/>
          <w:sz w:val="60"/>
        </w:rPr>
        <w:t>SAFE FUTURE</w:t>
      </w:r>
      <w:r>
        <w:rPr>
          <w:color w:val="C9A227"/>
        </w:rPr>
        <w:t xml:space="preserve">  |  </w:t>
      </w:r>
      <w:r>
        <w:rPr>
          <w:rFonts w:ascii="Aptos Display" w:hAnsi="Aptos Display"/>
          <w:b/>
          <w:color w:val="C9A227"/>
          <w:sz w:val="60"/>
        </w:rPr>
        <w:t>MASTER BUSINESS PLAN</w:t>
      </w:r>
    </w:p>
    <w:p>
      <w:pPr>
        <w:spacing w:before="320"/>
        <w:jc w:val="center"/>
      </w:pPr>
      <w:r>
        <w:rPr>
          <w:i/>
          <w:color w:val="08111F"/>
          <w:sz w:val="36"/>
        </w:rPr>
        <w:t>Financial Protection &amp; Wealth Advisory</w:t>
      </w:r>
    </w:p>
    <w:p>
      <w:pPr>
        <w:jc w:val="center"/>
      </w:pPr>
      <w:r>
        <w:rPr>
          <w:color w:val="687386"/>
          <w:sz w:val="22"/>
        </w:rPr>
        <w:t>Protect What Matters.  |  Build Your Financial Future with Confidence.</w:t>
      </w:r>
    </w:p>
    <w:tbl>
      <w:tblPr>
        <w:tblW w:type="auto" w:w="0"/>
        <w:jc w:val="center"/>
        <w:tblLook w:firstColumn="1" w:firstRow="1" w:lastColumn="0" w:lastRow="0" w:noHBand="0" w:noVBand="1" w:val="04A0"/>
      </w:tblPr>
      <w:tblGrid>
        <w:gridCol w:w="10080"/>
      </w:tblGrid>
      <w:tr>
        <w:tc>
          <w:tcPr>
            <w:tcW w:type="dxa" w:w="10080"/>
            <w:shd w:fill="FAF8F3"/>
            <w:tcMar>
              <w:top w:w="150" w:type="dxa"/>
              <w:start w:w="180" w:type="dxa"/>
              <w:bottom w:w="150" w:type="dxa"/>
              <w:end w:w="180" w:type="dxa"/>
            </w:tcMar>
            <w:tcBorders>
              <w:top w:val="single" w:sz="4" w:color="E8E5DE"/>
              <w:left w:val="single" w:sz="18" w:color="C9A227"/>
              <w:bottom w:val="single" w:sz="4" w:color="E8E5DE"/>
              <w:right w:val="single" w:sz="4" w:color="E8E5DE"/>
            </w:tcBorders>
          </w:tcPr>
          <w:p>
            <w:pPr>
              <w:spacing w:after="80"/>
            </w:pPr>
            <w:r>
              <w:rPr>
                <w:b/>
                <w:color w:val="08111F"/>
                <w:sz w:val="22"/>
              </w:rPr>
              <w:t>BRAND NORTH STAR</w:t>
            </w:r>
          </w:p>
          <w:p>
            <w:pPr>
              <w:spacing w:after="0"/>
            </w:pPr>
            <w:r>
              <w:rPr>
                <w:color w:val="182335"/>
                <w:sz w:val="19"/>
              </w:rPr>
              <w:t>Membangun Safe Future sebagai independent advisory brand yang memulai setiap hubungan dengan diagnosis, bukan penawaran produk; mengubah Financial Health Check™ menjadi mesin akuisisi, insight, dan hubungan jangka panjang.</w:t>
            </w:r>
          </w:p>
        </w:tc>
      </w:tr>
    </w:tbl>
    <w:p/>
    <w:p>
      <w:pPr>
        <w:spacing w:before="560"/>
        <w:jc w:val="center"/>
      </w:pPr>
      <w:r>
        <w:rPr>
          <w:b/>
          <w:color w:val="C9A227"/>
          <w:sz w:val="30"/>
        </w:rPr>
        <w:t>Build • Manage • Protect • Grow • Legacy</w:t>
      </w:r>
    </w:p>
    <w:p>
      <w:pPr>
        <w:jc w:val="center"/>
      </w:pPr>
      <w:r>
        <w:rPr>
          <w:color w:val="687386"/>
          <w:sz w:val="18"/>
        </w:rPr>
        <w:t>Version 1.0  •  2026  •  Founder Working Plan</w:t>
      </w:r>
    </w:p>
    <w:p>
      <w:r>
        <w:br w:type="page"/>
      </w:r>
    </w:p>
    <w:p>
      <w:pPr>
        <w:pStyle w:val="Heading1"/>
        <w:keepNext/>
      </w:pPr>
      <w:r>
        <w:t>1. Executive Summary</w:t>
      </w:r>
    </w:p>
    <w:p>
      <w:pPr>
        <w:pStyle w:val="BodyText"/>
      </w:pPr>
      <w:r>
        <w:t>Safe Future adalah perusahaan konsultan perlindungan finansial dan perencanaan keuangan yang ditujukan untuk individu, keluarga, pemilik usaha, affluent clients, executive, dan investor. Fondasi bisnisnya adalah keyakinan bahwa keputusan finansial seharusnya dimulai dari pemahaman kondisi dan kebutuhan klien, bukan dari penawaran produk.</w:t>
      </w:r>
    </w:p>
    <w:p>
      <w:pPr>
        <w:pStyle w:val="BodyText"/>
      </w:pPr>
      <w:r>
        <w:t>Strategi utama yang disepakati adalah membangun Safe Future sebagai independent advisory brand. Produk dari mitra resmi menjadi salah satu kemungkinan solusi setelah diagnosis kebutuhan, bukan identitas utama bisnis. Dengan demikian, aset jangka panjang yang dibangun adalah metodologi, trust, data dengan persetujuan, pengalaman konsultasi, dan recurring relationship - bukan ketergantungan pada satu perusahaan atau satu lini produk.</w:t>
      </w:r>
    </w:p>
    <w:tbl>
      <w:tblPr>
        <w:tblW w:type="auto" w:w="0"/>
        <w:jc w:val="center"/>
        <w:tblLook w:firstColumn="1" w:firstRow="1" w:lastColumn="0" w:lastRow="0" w:noHBand="0" w:noVBand="1" w:val="04A0"/>
      </w:tblPr>
      <w:tblGrid>
        <w:gridCol w:w="10080"/>
      </w:tblGrid>
      <w:tr>
        <w:tc>
          <w:tcPr>
            <w:tcW w:type="dxa" w:w="10080"/>
            <w:shd w:fill="FAF8F3"/>
            <w:tcMar>
              <w:top w:w="150" w:type="dxa"/>
              <w:start w:w="180" w:type="dxa"/>
              <w:bottom w:w="150" w:type="dxa"/>
              <w:end w:w="180" w:type="dxa"/>
            </w:tcMar>
            <w:tcBorders>
              <w:top w:val="single" w:sz="4" w:color="E8E5DE"/>
              <w:left w:val="single" w:sz="18" w:color="C9A227"/>
              <w:bottom w:val="single" w:sz="4" w:color="E8E5DE"/>
              <w:right w:val="single" w:sz="4" w:color="E8E5DE"/>
            </w:tcBorders>
          </w:tcPr>
          <w:p>
            <w:pPr>
              <w:spacing w:after="80"/>
            </w:pPr>
            <w:r>
              <w:rPr>
                <w:b/>
                <w:color w:val="08111F"/>
                <w:sz w:val="22"/>
              </w:rPr>
              <w:t>CORE BUSINESS THESIS</w:t>
            </w:r>
          </w:p>
          <w:p>
            <w:pPr>
              <w:spacing w:after="0"/>
            </w:pPr>
            <w:r>
              <w:rPr>
                <w:color w:val="182335"/>
                <w:sz w:val="19"/>
              </w:rPr>
              <w:t>Social/content → Financial Health Check™ → Financial Health Report™ → Protection Strategy Session™ → Financial Protection Blueprint™ → Implementation → Annual Financial Review. Website menjadi mesin diagnosis, lead capture, education, follow-up, dan relationship management.</w:t>
            </w:r>
          </w:p>
        </w:tc>
      </w:tr>
    </w:tbl>
    <w:p/>
    <w:p>
      <w:pPr>
        <w:pStyle w:val="Heading2"/>
        <w:keepNext/>
      </w:pPr>
      <w:r>
        <w:t>1.1 Strategic Objectives</w:t>
      </w:r>
    </w:p>
    <w:p>
      <w:pPr>
        <w:pStyle w:val="ListBullet"/>
        <w:spacing w:after="40"/>
      </w:pPr>
      <w:r>
        <w:t>Menjadikan Safe Future salah satu brand Financial Protection &amp; Wealth Advisory yang paling dipercaya di Indonesia.</w:t>
      </w:r>
    </w:p>
    <w:p>
      <w:pPr>
        <w:pStyle w:val="ListBullet"/>
        <w:spacing w:after="40"/>
      </w:pPr>
      <w:r>
        <w:t>Membangun Financial Health Check™ sebagai flagship entry product yang gratis, cepat, personal, dan dapat diakses secara digital.</w:t>
      </w:r>
    </w:p>
    <w:p>
      <w:pPr>
        <w:pStyle w:val="ListBullet"/>
        <w:spacing w:after="40"/>
      </w:pPr>
      <w:r>
        <w:t>Mengubah website dari sekadar company website menjadi advisory funnel dan client-intelligence platform.</w:t>
      </w:r>
    </w:p>
    <w:p>
      <w:pPr>
        <w:pStyle w:val="ListBullet"/>
        <w:spacing w:after="40"/>
      </w:pPr>
      <w:r>
        <w:t>Membangun layanan bertingkat: Level 1 Financial Health Check™, Level 2 Wealth &amp; Protection Review, Level 3 Private Advisory.</w:t>
      </w:r>
    </w:p>
    <w:p>
      <w:pPr>
        <w:pStyle w:val="ListBullet"/>
        <w:spacing w:after="40"/>
      </w:pPr>
      <w:r>
        <w:t>Mengembangkan recurring relationship melalui implementation support dan Annual Financial Review.</w:t>
      </w:r>
    </w:p>
    <w:p>
      <w:pPr>
        <w:pStyle w:val="ListBullet"/>
        <w:spacing w:after="40"/>
      </w:pPr>
      <w:r>
        <w:t>Menjaga diferensiasi melalui diagnosis-first, personalized strategy, holistic approach, transparency, dan long-term partnership.</w:t>
      </w:r>
    </w:p>
    <w:p>
      <w:pPr>
        <w:pStyle w:val="Heading1"/>
        <w:keepNext/>
      </w:pPr>
      <w:r>
        <w:t>2. Basis Dokumen, Keputusan, dan Status</w:t>
      </w:r>
    </w:p>
    <w:p>
      <w:pPr>
        <w:pStyle w:val="BodyText"/>
      </w:pPr>
      <w:r>
        <w:t>Master plan ini merupakan konsolidasi dari materi Safe Future yang sudah tersedia di percakapan/library dan dari versi website Safe Future yang telah dibangun. Saya sengaja membedakan antara fakta/keputusan yang sudah tertulis di sumber dan rekomendasi strategis yang diperlukan agar master plan dapat dipakai sebagai blueprint website.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Kategori</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Isi</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Status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SOURCE-BACKED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Company Profile &amp; Brand Identity; visi, misi, brand positioning, philosophy, core values, Safe Future Method™, 10-pillar FHC, services, target segments, process, website structure.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Approved source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WEBSITE AS-IS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Website v50: premium design system, FHC flow, 3-level service model, WPR, AI knowledge base, Supabase-backed admin/lead data, export Excel, WhatsApp follow-up.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Existing implementation reference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AGREED STRATEGY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Independent advisory brand; diagnosis before recommendation; product as solution, not destination; FHC as lead engine.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Strategic direction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STRATEGIC RECOMMENDATION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CRM lifecycle, KPI tree, governance, data/privacy architecture, SEO/content operating system, partner governance, launch gates, and phased roadmap.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To execute/validate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TBD / NOT FIXED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Legal entity particulars, exact commercial/commission structure, final partner agreements, final analytics IDs, exact paid media budget, staffing plan, legal review copy.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Must be confirmed before scale</w:t>
            </w:r>
          </w:p>
        </w:tc>
      </w:tr>
    </w:tbl>
    <w:p>
      <w:pPr>
        <w:spacing w:after="20"/>
      </w:pPr>
    </w:p>
    <w:p>
      <w:pPr>
        <w:pStyle w:val="Heading1"/>
        <w:keepNext/>
      </w:pPr>
      <w:r>
        <w:t>3. Brand Strategy &amp; Identity</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8"/>
              </w:rPr>
              <w:t>Item</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8"/>
              </w:rPr>
              <w:t>Definition</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Brand</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Safe Future</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Descriptor</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Financial Protection &amp; Wealth Advisory</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Tagline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Safe Today. Secure Future.</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Philosophy</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Build • Manage • Protect • Grow • Legacy</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Core Brand Promise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Kami tidak menjual produk. Kami membantu Anda mengambil keputusan yang tepat.</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Principle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Diagnosis Before Recommendation / Diagnosis Sebelum Rekomendasi</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Vision</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Menjadi perusahaan Financial Protection &amp; Wealth Advisory paling terpercaya di Indonesia yang membantu jutaan keluarga membangun masa depan finansial yang lebih aman, sehat, dan berkelanjutan.</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Instagram</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@safuture.id</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Website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safefuture.id</w:t>
            </w:r>
          </w:p>
        </w:tc>
      </w:tr>
    </w:tbl>
    <w:p>
      <w:pPr>
        <w:spacing w:after="20"/>
      </w:pPr>
    </w:p>
    <w:p>
      <w:pPr>
        <w:pStyle w:val="Heading2"/>
        <w:keepNext/>
      </w:pPr>
      <w:r>
        <w:t>3.1 Brand Philosophy</w:t>
      </w:r>
    </w:p>
    <w:p>
      <w:pPr>
        <w:pStyle w:val="BodyText"/>
      </w:pPr>
      <w:r>
        <w:t>Financial Planning dimulai dari Protection Planning. Membangun kekayaan penting, tetapi melindungi apa yang telah dibangun merupakan fondasi menuju masa depan yang berkelanjutan.</w:t>
      </w:r>
    </w:p>
    <w:p>
      <w:pPr>
        <w:pStyle w:val="Heading2"/>
        <w:keepNext/>
      </w:pPr>
      <w:r>
        <w:t>3.2 Core Values</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8"/>
              </w:rPr>
              <w:t>Value</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8"/>
              </w:rPr>
              <w:t>Operational Meaning</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Integrity</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Rekomendasi berdasarkan kebutuhan klien.</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Professionalism</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Analisis dan proses yang sistematis.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Transparency</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Manfaat, risiko, keterbatasan, dan trade-off dijelaskan.</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Client First</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Kepentingan klien menjadi prioritas.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Continuous Improvement</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Kompetensi, proses, dan teknologi terus diperbaiki.</w:t>
            </w:r>
          </w:p>
        </w:tc>
      </w:tr>
    </w:tbl>
    <w:p>
      <w:pPr>
        <w:spacing w:after="20"/>
      </w:pPr>
    </w:p>
    <w:p>
      <w:pPr>
        <w:pStyle w:val="Heading2"/>
        <w:keepNext/>
      </w:pPr>
      <w:r>
        <w:t>3.3 Logo &amp; Visual Governance</w:t>
      </w:r>
    </w:p>
    <w:p>
      <w:pPr>
        <w:pStyle w:val="ListBullet"/>
        <w:spacing w:after="40"/>
      </w:pPr>
      <w:r>
        <w:t>Logo original harus digunakan apa adanya pada aset resmi; jangan redraw, approximate, recolor, atau mengubah bentuk/logo mark.</w:t>
      </w:r>
    </w:p>
    <w:p>
      <w:pPr>
        <w:pStyle w:val="ListBullet"/>
        <w:spacing w:after="40"/>
      </w:pPr>
      <w:r>
        <w:t>Visual utama: navy, refined gold, white/cream; website implementasi saat ini menggunakan Playfair Display + Inter, sedangkan brand identity source sebelumnya menggunakan Poppins. Perlu satu keputusan brand-governance final untuk penggunaan font per media.</w:t>
      </w:r>
    </w:p>
    <w:p>
      <w:pPr>
        <w:pStyle w:val="ListBullet"/>
        <w:spacing w:after="40"/>
      </w:pPr>
      <w:r>
        <w:t>Konten sosial: premium, editorial, human, Indonesia-centric; foto real diprioritaskan untuk dokumentasi aktual, terutama konten bencana/berita.</w:t>
      </w:r>
    </w:p>
    <w:p>
      <w:pPr>
        <w:pStyle w:val="ListBullet"/>
        <w:spacing w:after="40"/>
      </w:pPr>
      <w:r>
        <w:t>Untuk konten simpati/bencana: tidak menggunakan CTA penjualan; identitas brand kecil dan elegan, fokus empati dan akurasi.</w:t>
      </w:r>
    </w:p>
    <w:p>
      <w:pPr>
        <w:pStyle w:val="Heading1"/>
        <w:keepNext/>
      </w:pPr>
      <w:r>
        <w:t>4. Market &amp; Customer Architecture</w:t>
      </w:r>
    </w:p>
    <w:p>
      <w:pPr>
        <w:pStyle w:val="Heading2"/>
        <w:keepNext/>
      </w:pPr>
      <w:r>
        <w:t>4.1 Target Segments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7"/>
              </w:rPr>
              <w:t>Segment</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7"/>
              </w:rPr>
              <w:t>Needs / Jobs-to-be-Done</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7"/>
              </w:rPr>
              <w:t>Primary Entry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Individuals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Memahami kesehatan finansial; income, debt, emergency fund, protection, retirement, goals.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Financial Health Check™</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Professionals / Employees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Income continuity, lifestyle, health protection, retirement, financial discipline.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FHC + Protection Planning</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Freelancers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Income volatility, emergency fund, income protection, health, retirement.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FHC</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Young Couples / Families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Family protection, rumah, pendidikan anak, cash flow, life planning.</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FHC + Protection Strategy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Mature / Affluent Families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Net worth, concentration risk, estate, retirement, succession.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Wealth &amp; Protection Review</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Business Owners / Entrepreneurs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Business continuity, owner protection, personal wealth, succession.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7"/>
              </w:rPr>
              <w:t>WPR + Private Advisory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Executives / Investors / HNW</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Integrated wealth/protection, estate, legacy, privacy, long-term review.</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7"/>
              </w:rPr>
              <w:t>Private Advisory</w:t>
            </w:r>
          </w:p>
        </w:tc>
      </w:tr>
    </w:tbl>
    <w:p>
      <w:pPr>
        <w:spacing w:after="20"/>
      </w:pPr>
    </w:p>
    <w:p>
      <w:pPr>
        <w:pStyle w:val="Heading2"/>
        <w:keepNext/>
      </w:pPr>
      <w:r>
        <w:t>4.2 Customer Problems</w:t>
      </w:r>
    </w:p>
    <w:p>
      <w:pPr>
        <w:pStyle w:val="ListBullet"/>
        <w:spacing w:after="40"/>
      </w:pPr>
      <w:r>
        <w:t>Klien merasa aman karena income tersedia tetapi tidak mengetahui protection gap atau resilience finansialnya.</w:t>
      </w:r>
    </w:p>
    <w:p>
      <w:pPr>
        <w:pStyle w:val="ListBullet"/>
        <w:spacing w:after="40"/>
      </w:pPr>
      <w:r>
        <w:t>Produk dibeli sebelum kebutuhan dipetakan sehingga solusi bisa tidak optimal.</w:t>
      </w:r>
    </w:p>
    <w:p>
      <w:pPr>
        <w:pStyle w:val="ListBullet"/>
        <w:spacing w:after="40"/>
      </w:pPr>
      <w:r>
        <w:t>Keputusan finansial tersebar: cash flow, debt, protection, assets, retirement, goals tidak dilihat sebagai satu sistem.</w:t>
      </w:r>
    </w:p>
    <w:p>
      <w:pPr>
        <w:pStyle w:val="ListBullet"/>
        <w:spacing w:after="40"/>
      </w:pPr>
      <w:r>
        <w:t>Klien membutuhkan bahasa yang mudah dipahami, bukan jargon finansial.</w:t>
      </w:r>
    </w:p>
    <w:p>
      <w:pPr>
        <w:pStyle w:val="ListBullet"/>
        <w:spacing w:after="40"/>
      </w:pPr>
      <w:r>
        <w:t>Klien membutuhkan advisor yang tetap relevan setelah pembelian, bukan hanya pada saat transaksi.</w:t>
      </w:r>
    </w:p>
    <w:p>
      <w:pPr>
        <w:pStyle w:val="Heading2"/>
        <w:keepNext/>
      </w:pPr>
      <w:r>
        <w:t>4.3 Value Proposition</w:t>
      </w:r>
    </w:p>
    <w:tbl>
      <w:tblPr>
        <w:tblW w:type="auto" w:w="0"/>
        <w:jc w:val="center"/>
        <w:tblLook w:firstColumn="1" w:firstRow="1" w:lastColumn="0" w:lastRow="0" w:noHBand="0" w:noVBand="1" w:val="04A0"/>
      </w:tblPr>
      <w:tblGrid>
        <w:gridCol w:w="10080"/>
      </w:tblGrid>
      <w:tr>
        <w:tc>
          <w:tcPr>
            <w:tcW w:type="dxa" w:w="10080"/>
            <w:shd w:fill="FAF8F3"/>
            <w:tcMar>
              <w:top w:w="150" w:type="dxa"/>
              <w:start w:w="180" w:type="dxa"/>
              <w:bottom w:w="150" w:type="dxa"/>
              <w:end w:w="180" w:type="dxa"/>
            </w:tcMar>
            <w:tcBorders>
              <w:top w:val="single" w:sz="4" w:color="E8E5DE"/>
              <w:left w:val="single" w:sz="18" w:color="C9A227"/>
              <w:bottom w:val="single" w:sz="4" w:color="E8E5DE"/>
              <w:right w:val="single" w:sz="4" w:color="E8E5DE"/>
            </w:tcBorders>
          </w:tcPr>
          <w:p>
            <w:pPr>
              <w:spacing w:after="80"/>
            </w:pPr>
            <w:r>
              <w:rPr>
                <w:b/>
                <w:color w:val="08111F"/>
                <w:sz w:val="22"/>
              </w:rPr>
              <w:t>POSITIONING STATEMENT</w:t>
            </w:r>
          </w:p>
          <w:p>
            <w:pPr>
              <w:spacing w:after="0"/>
            </w:pPr>
            <w:r>
              <w:rPr>
                <w:color w:val="182335"/>
                <w:sz w:val="19"/>
              </w:rPr>
              <w:t>Safe Future membantu individu, keluarga, dan pemilik bisnis memahami kondisi finansialnya, mengidentifikasi risiko dan gap, menentukan prioritas, lalu menyusun strategi perlindungan dan perencanaan yang sesuai - dimulai dari diagnosis, bukan produk.</w:t>
            </w:r>
          </w:p>
        </w:tc>
      </w:tr>
    </w:tbl>
    <w:p/>
    <w:p>
      <w:pPr>
        <w:pStyle w:val="Heading1"/>
        <w:keepNext/>
      </w:pPr>
      <w:r>
        <w:t>5. Product, Service &amp; IP Architecture</w:t>
      </w:r>
    </w:p>
    <w:p>
      <w:pPr>
        <w:pStyle w:val="Heading2"/>
        <w:keepNext/>
      </w:pPr>
      <w:r>
        <w:t>5.1 Three-Level Service Ladder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08111F"/>
            <w:tcMar>
              <w:top w:w="100" w:type="dxa"/>
              <w:start w:w="120" w:type="dxa"/>
              <w:bottom w:w="100" w:type="dxa"/>
              <w:end w:w="120" w:type="dxa"/>
            </w:tcMar>
          </w:tcPr>
          <w:p>
            <w:pPr>
              <w:spacing w:after="0" w:before="0"/>
              <w:jc w:val="left"/>
            </w:pPr>
            <w:r>
              <w:rPr>
                <w:rFonts w:ascii="Aptos" w:hAnsi="Aptos"/>
                <w:b/>
                <w:color w:val="FFFFFF"/>
                <w:sz w:val="16"/>
              </w:rPr>
              <w:t>Level</w:t>
            </w:r>
          </w:p>
        </w:tc>
        <w:tc>
          <w:tcPr>
            <w:tcW w:type="dxa" w:w="2016"/>
            <w:shd w:fill="08111F"/>
            <w:tcMar>
              <w:top w:w="100" w:type="dxa"/>
              <w:start w:w="120" w:type="dxa"/>
              <w:bottom w:w="100" w:type="dxa"/>
              <w:end w:w="120" w:type="dxa"/>
            </w:tcMar>
          </w:tcPr>
          <w:p>
            <w:pPr>
              <w:spacing w:after="0" w:before="0"/>
              <w:jc w:val="left"/>
            </w:pPr>
            <w:r>
              <w:rPr>
                <w:rFonts w:ascii="Aptos" w:hAnsi="Aptos"/>
                <w:b/>
                <w:color w:val="FFFFFF"/>
                <w:sz w:val="16"/>
              </w:rPr>
              <w:t>Service</w:t>
            </w:r>
          </w:p>
        </w:tc>
        <w:tc>
          <w:tcPr>
            <w:tcW w:type="dxa" w:w="2016"/>
            <w:shd w:fill="08111F"/>
            <w:tcMar>
              <w:top w:w="100" w:type="dxa"/>
              <w:start w:w="120" w:type="dxa"/>
              <w:bottom w:w="100" w:type="dxa"/>
              <w:end w:w="120" w:type="dxa"/>
            </w:tcMar>
          </w:tcPr>
          <w:p>
            <w:pPr>
              <w:spacing w:after="0" w:before="0"/>
              <w:jc w:val="left"/>
            </w:pPr>
            <w:r>
              <w:rPr>
                <w:rFonts w:ascii="Aptos" w:hAnsi="Aptos"/>
                <w:b/>
                <w:color w:val="FFFFFF"/>
                <w:sz w:val="16"/>
              </w:rPr>
              <w:t>Audience</w:t>
            </w:r>
          </w:p>
        </w:tc>
        <w:tc>
          <w:tcPr>
            <w:tcW w:type="dxa" w:w="2016"/>
            <w:shd w:fill="08111F"/>
            <w:tcMar>
              <w:top w:w="100" w:type="dxa"/>
              <w:start w:w="120" w:type="dxa"/>
              <w:bottom w:w="100" w:type="dxa"/>
              <w:end w:w="120" w:type="dxa"/>
            </w:tcMar>
          </w:tcPr>
          <w:p>
            <w:pPr>
              <w:spacing w:after="0" w:before="0"/>
              <w:jc w:val="left"/>
            </w:pPr>
            <w:r>
              <w:rPr>
                <w:rFonts w:ascii="Aptos" w:hAnsi="Aptos"/>
                <w:b/>
                <w:color w:val="FFFFFF"/>
                <w:sz w:val="16"/>
              </w:rPr>
              <w:t>Role in Funnel</w:t>
            </w:r>
          </w:p>
        </w:tc>
        <w:tc>
          <w:tcPr>
            <w:tcW w:type="dxa" w:w="2016"/>
            <w:shd w:fill="08111F"/>
            <w:tcMar>
              <w:top w:w="100" w:type="dxa"/>
              <w:start w:w="120" w:type="dxa"/>
              <w:bottom w:w="100" w:type="dxa"/>
              <w:end w:w="120" w:type="dxa"/>
            </w:tcMar>
          </w:tcPr>
          <w:p>
            <w:pPr>
              <w:spacing w:after="0" w:before="0"/>
              <w:jc w:val="left"/>
            </w:pPr>
            <w:r>
              <w:rPr>
                <w:rFonts w:ascii="Aptos" w:hAnsi="Aptos"/>
                <w:b/>
                <w:color w:val="FFFFFF"/>
                <w:sz w:val="16"/>
              </w:rPr>
              <w:t>Commercial Logic</w:t>
            </w:r>
          </w:p>
        </w:tc>
      </w:tr>
      <w:tr>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1</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Health Check™</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Mass market / individuals / families</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Top-of-funnel + diagnosis</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Gratis; lead-generation and trust-building engine</w:t>
            </w:r>
          </w:p>
        </w:tc>
      </w:tr>
      <w:tr>
        <w:tc>
          <w:tcPr>
            <w:tcW w:type="dxa" w:w="2016"/>
            <w:tcMar>
              <w:top w:w="100" w:type="dxa"/>
              <w:start w:w="120" w:type="dxa"/>
              <w:bottom w:w="100" w:type="dxa"/>
              <w:end w:w="120" w:type="dxa"/>
            </w:tcMar>
            <w:vAlign w:val="top"/>
          </w:tcPr>
          <w:p>
            <w:pPr>
              <w:spacing w:after="0" w:before="0"/>
              <w:jc w:val="left"/>
            </w:pPr>
            <w:r>
              <w:rPr>
                <w:rFonts w:ascii="Aptos" w:hAnsi="Aptos"/>
                <w:b w:val="0"/>
                <w:color w:val="182335"/>
                <w:sz w:val="16"/>
              </w:rPr>
              <w:t>2</w:t>
            </w:r>
          </w:p>
        </w:tc>
        <w:tc>
          <w:tcPr>
            <w:tcW w:type="dxa" w:w="2016"/>
            <w:tcMar>
              <w:top w:w="100" w:type="dxa"/>
              <w:start w:w="120" w:type="dxa"/>
              <w:bottom w:w="100" w:type="dxa"/>
              <w:end w:w="120" w:type="dxa"/>
            </w:tcMar>
            <w:vAlign w:val="top"/>
          </w:tcPr>
          <w:p>
            <w:pPr>
              <w:spacing w:after="0" w:before="0"/>
              <w:jc w:val="left"/>
            </w:pPr>
            <w:r>
              <w:rPr>
                <w:rFonts w:ascii="Aptos" w:hAnsi="Aptos"/>
                <w:b w:val="0"/>
                <w:color w:val="182335"/>
                <w:sz w:val="16"/>
              </w:rPr>
              <w:t>Wealth &amp; Protection Review</w:t>
            </w:r>
          </w:p>
        </w:tc>
        <w:tc>
          <w:tcPr>
            <w:tcW w:type="dxa" w:w="2016"/>
            <w:tcMar>
              <w:top w:w="100" w:type="dxa"/>
              <w:start w:w="120" w:type="dxa"/>
              <w:bottom w:w="100" w:type="dxa"/>
              <w:end w:w="120" w:type="dxa"/>
            </w:tcMar>
            <w:vAlign w:val="top"/>
          </w:tcPr>
          <w:p>
            <w:pPr>
              <w:spacing w:after="0" w:before="0"/>
              <w:jc w:val="left"/>
            </w:pPr>
            <w:r>
              <w:rPr>
                <w:rFonts w:ascii="Aptos" w:hAnsi="Aptos"/>
                <w:b w:val="0"/>
                <w:color w:val="182335"/>
                <w:sz w:val="16"/>
              </w:rPr>
              <w:t>Affluent / established families / business owners / executives</w:t>
            </w:r>
          </w:p>
        </w:tc>
        <w:tc>
          <w:tcPr>
            <w:tcW w:type="dxa" w:w="2016"/>
            <w:tcMar>
              <w:top w:w="100" w:type="dxa"/>
              <w:start w:w="120" w:type="dxa"/>
              <w:bottom w:w="100" w:type="dxa"/>
              <w:end w:w="120" w:type="dxa"/>
            </w:tcMar>
            <w:vAlign w:val="top"/>
          </w:tcPr>
          <w:p>
            <w:pPr>
              <w:spacing w:after="0" w:before="0"/>
              <w:jc w:val="left"/>
            </w:pPr>
            <w:r>
              <w:rPr>
                <w:rFonts w:ascii="Aptos" w:hAnsi="Aptos"/>
                <w:b w:val="0"/>
                <w:color w:val="182335"/>
                <w:sz w:val="16"/>
              </w:rPr>
              <w:t>Qualified lead / deeper diagnosis</w:t>
            </w:r>
          </w:p>
        </w:tc>
        <w:tc>
          <w:tcPr>
            <w:tcW w:type="dxa" w:w="2016"/>
            <w:tcMar>
              <w:top w:w="100" w:type="dxa"/>
              <w:start w:w="120" w:type="dxa"/>
              <w:bottom w:w="100" w:type="dxa"/>
              <w:end w:w="120" w:type="dxa"/>
            </w:tcMar>
            <w:vAlign w:val="top"/>
          </w:tcPr>
          <w:p>
            <w:pPr>
              <w:spacing w:after="0" w:before="0"/>
              <w:jc w:val="left"/>
            </w:pPr>
            <w:r>
              <w:rPr>
                <w:rFonts w:ascii="Aptos" w:hAnsi="Aptos"/>
                <w:b w:val="0"/>
                <w:color w:val="182335"/>
                <w:sz w:val="16"/>
              </w:rPr>
              <w:t>Premium advisory/review; price to be finalized</w:t>
            </w:r>
          </w:p>
        </w:tc>
      </w:tr>
      <w:tr>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3</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Private Advisory</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HNW / senior executives / business owners</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High-value relationship</w:t>
            </w:r>
          </w:p>
        </w:tc>
        <w:tc>
          <w:tcPr>
            <w:tcW w:type="dxa" w:w="2016"/>
            <w:shd w:fill="FAF8F3"/>
            <w:tcMar>
              <w:top w:w="100" w:type="dxa"/>
              <w:start w:w="120" w:type="dxa"/>
              <w:bottom w:w="100" w:type="dxa"/>
              <w:end w:w="120" w:type="dxa"/>
            </w:tcMar>
            <w:vAlign w:val="top"/>
          </w:tcPr>
          <w:p>
            <w:pPr>
              <w:spacing w:after="0" w:before="0"/>
              <w:jc w:val="left"/>
            </w:pPr>
            <w:r>
              <w:rPr>
                <w:rFonts w:ascii="Aptos" w:hAnsi="Aptos"/>
                <w:b w:val="0"/>
                <w:color w:val="182335"/>
                <w:sz w:val="16"/>
              </w:rPr>
              <w:t>By appointment; bespoke strategy and long-term engagement</w:t>
            </w:r>
          </w:p>
        </w:tc>
      </w:tr>
    </w:tbl>
    <w:p>
      <w:pPr>
        <w:spacing w:after="20"/>
      </w:pPr>
    </w:p>
    <w:p>
      <w:pPr>
        <w:pStyle w:val="Heading2"/>
        <w:keepNext/>
      </w:pPr>
      <w:r>
        <w:t>5.2 Safe Future Proprietary / Branded Assets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Asset</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Purpose</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Expected Output</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Safe Future Method™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Advisory operating methodology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Discover → Diagnose → Design → Recommend → Review</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Financial Health Check™</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Entry diagnosis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Score + diagnosis + priority + protection/retirement insights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Health Report™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Human-readable report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Overall score, diagnosis, priority recommendation, protection gap, blueprint</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Protection Strategy Session™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Human interpretation layer</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Translate diagnosis into decisions and options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Protection Blueprint™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Action plan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Prioritized protection strategy and implementation plan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Annual Financial Review</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Recurring relationship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Review changes, gaps, goals, and adjustments</w:t>
            </w:r>
          </w:p>
        </w:tc>
      </w:tr>
    </w:tbl>
    <w:p>
      <w:pPr>
        <w:spacing w:after="20"/>
      </w:pPr>
    </w:p>
    <w:p>
      <w:pPr>
        <w:pStyle w:val="Heading2"/>
        <w:keepNext/>
      </w:pPr>
      <w:r>
        <w:t>5.3 FHC 10-Pillar Framework</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8"/>
              </w:rPr>
              <w:t>#</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8"/>
              </w:rPr>
              <w:t>Pillar</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1</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Income Health</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2</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Cash Flow Health</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3</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Emergency Fund</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4</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Asset Health</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5</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Debt Health</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6</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Protection Health</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7</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Protection Gap Analysis</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8</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Retirement Readiness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9</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8"/>
              </w:rPr>
              <w:t>Estate Planning</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10</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8"/>
              </w:rPr>
              <w:t>Financial Goals</w:t>
            </w:r>
          </w:p>
        </w:tc>
      </w:tr>
    </w:tbl>
    <w:p>
      <w:pPr>
        <w:spacing w:after="20"/>
      </w:pPr>
    </w:p>
    <w:p>
      <w:pPr>
        <w:pStyle w:val="Heading2"/>
        <w:keepNext/>
      </w:pPr>
      <w:r>
        <w:t>5.4 FHC Outputs</w:t>
      </w:r>
    </w:p>
    <w:p>
      <w:pPr>
        <w:pStyle w:val="ListBullet"/>
        <w:spacing w:after="40"/>
      </w:pPr>
      <w:r>
        <w:t>Overall Financial Health Score</w:t>
      </w:r>
    </w:p>
    <w:p>
      <w:pPr>
        <w:pStyle w:val="ListBullet"/>
        <w:spacing w:after="40"/>
      </w:pPr>
      <w:r>
        <w:t>Diagnosis</w:t>
      </w:r>
    </w:p>
    <w:p>
      <w:pPr>
        <w:pStyle w:val="ListBullet"/>
        <w:spacing w:after="40"/>
      </w:pPr>
      <w:r>
        <w:t>Priority Recommendation</w:t>
      </w:r>
    </w:p>
    <w:p>
      <w:pPr>
        <w:pStyle w:val="ListBullet"/>
        <w:spacing w:after="40"/>
      </w:pPr>
      <w:r>
        <w:t>Estimated Protection Need / Protection Gap</w:t>
      </w:r>
    </w:p>
    <w:p>
      <w:pPr>
        <w:pStyle w:val="ListBullet"/>
        <w:spacing w:after="40"/>
      </w:pPr>
      <w:r>
        <w:t>Retirement readiness and funding gap</w:t>
      </w:r>
    </w:p>
    <w:p>
      <w:pPr>
        <w:pStyle w:val="ListBullet"/>
        <w:spacing w:after="40"/>
      </w:pPr>
      <w:r>
        <w:t>Personalized recommendations / next-step direction</w:t>
      </w:r>
    </w:p>
    <w:p>
      <w:pPr>
        <w:pStyle w:val="Heading2"/>
        <w:keepNext/>
      </w:pPr>
      <w:r>
        <w:t>5.5 Website FHC Experience</w:t>
      </w:r>
    </w:p>
    <w:p>
      <w:pPr>
        <w:spacing w:after="40"/>
        <w:ind w:left="259" w:hanging="259"/>
      </w:pPr>
      <w:r>
        <w:t>1. Landing section explaining why a Financial Health Check is useful.</w:t>
      </w:r>
    </w:p>
    <w:p>
      <w:pPr>
        <w:spacing w:after="40"/>
        <w:ind w:left="259" w:hanging="259"/>
      </w:pPr>
      <w:r>
        <w:t>2. User enters the FHC flow; current implementation targets approximately 5–7 minutes.</w:t>
      </w:r>
    </w:p>
    <w:p>
      <w:pPr>
        <w:spacing w:after="40"/>
        <w:ind w:left="259" w:hanging="259"/>
      </w:pPr>
      <w:r>
        <w:t>3. System calculates and presents the diagnostic result.</w:t>
      </w:r>
    </w:p>
    <w:p>
      <w:pPr>
        <w:spacing w:after="40"/>
        <w:ind w:left="259" w:hanging="259"/>
      </w:pPr>
      <w:r>
        <w:t>4. User can proceed to a consultation/follow-up flow; current website includes WhatsApp-oriented actions.</w:t>
      </w:r>
    </w:p>
    <w:p>
      <w:pPr>
        <w:spacing w:after="40"/>
        <w:ind w:left="259" w:hanging="259"/>
      </w:pPr>
      <w:r>
        <w:t>5. Lead and result data feed the admin/CRM layer with appropriate consent and security controls.</w:t>
      </w:r>
    </w:p>
    <w:p>
      <w:pPr>
        <w:pStyle w:val="Heading1"/>
        <w:keepNext/>
      </w:pPr>
      <w:r>
        <w:t>6. Solutions &amp; Partner Product Architecture</w:t>
      </w:r>
    </w:p>
    <w:p>
      <w:pPr>
        <w:pStyle w:val="BodyText"/>
      </w:pPr>
      <w:r>
        <w:t>Source materials identify product solutions as examples of what Safe Future can help clients choose through official partners. The strategic rule is that the solution is selected after diagnosis. Product availability, pricing, benefits, underwriting, and partner status must always be verified before public deployment or quotation.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Need</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Solution Category / Example from Source</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Rule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Hospital / health costs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Health protection; MiUltimate HealthCare (MiUHC)</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Use as solution after needs assessment; verify current plan/benefits</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Breadwinner / income protection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Life protection; ProActive Plus (PAP)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Match to income replacement need and affordability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Critical illness / life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Dynamic Life Assurance (MDLA)</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Match to desired critical-illness/life protection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Investment + protection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Dynamic Smart Assurance (MDSA) / PAYDI</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Suitability and risk profiling required</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Syariah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FLEXI, MiSSION Syariah, MPPS, MiUHC Syariah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Use when needs/values and product fit require it</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Retirement / legacy</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MiFuture Income Protector (MiFIP), MiPrecious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Use only where retirement/legacy objectives fit</w:t>
            </w:r>
          </w:p>
        </w:tc>
      </w:tr>
    </w:tbl>
    <w:p>
      <w:pPr>
        <w:spacing w:after="20"/>
      </w:pPr>
    </w:p>
    <w:tbl>
      <w:tblPr>
        <w:tblW w:type="auto" w:w="0"/>
        <w:jc w:val="center"/>
        <w:tblLook w:firstColumn="1" w:firstRow="1" w:lastColumn="0" w:lastRow="0" w:noHBand="0" w:noVBand="1" w:val="04A0"/>
      </w:tblPr>
      <w:tblGrid>
        <w:gridCol w:w="10080"/>
      </w:tblGrid>
      <w:tr>
        <w:tc>
          <w:tcPr>
            <w:tcW w:type="dxa" w:w="10080"/>
            <w:shd w:fill="FAF8F3"/>
            <w:tcMar>
              <w:top w:w="150" w:type="dxa"/>
              <w:start w:w="180" w:type="dxa"/>
              <w:bottom w:w="150" w:type="dxa"/>
              <w:end w:w="180" w:type="dxa"/>
            </w:tcMar>
            <w:tcBorders>
              <w:top w:val="single" w:sz="4" w:color="E8E5DE"/>
              <w:left w:val="single" w:sz="18" w:color="C9A227"/>
              <w:bottom w:val="single" w:sz="4" w:color="E8E5DE"/>
              <w:right w:val="single" w:sz="4" w:color="E8E5DE"/>
            </w:tcBorders>
          </w:tcPr>
          <w:p>
            <w:pPr>
              <w:spacing w:after="80"/>
            </w:pPr>
            <w:r>
              <w:rPr>
                <w:b/>
                <w:color w:val="08111F"/>
                <w:sz w:val="22"/>
              </w:rPr>
              <w:t>IMPORTANT</w:t>
            </w:r>
          </w:p>
          <w:p>
            <w:pPr>
              <w:spacing w:after="0"/>
            </w:pPr>
            <w:r>
              <w:rPr>
                <w:color w:val="182335"/>
                <w:sz w:val="19"/>
              </w:rPr>
              <w:t>Safe Future should not become a “product catalog”. The public proposition remains diagnosis, strategy, protection and wealth advisory. Partner products are implementation tools selected when suitable.</w:t>
            </w:r>
          </w:p>
        </w:tc>
      </w:tr>
    </w:tbl>
    <w:p/>
    <w:p>
      <w:pPr>
        <w:pStyle w:val="Heading1"/>
        <w:keepNext/>
      </w:pPr>
      <w:r>
        <w:t>7. Business Model &amp; Monetization</w:t>
      </w:r>
    </w:p>
    <w:p>
      <w:pPr>
        <w:pStyle w:val="BodyText"/>
      </w:pPr>
      <w:r>
        <w:t>The source documents do not fix an exact revenue-share/commission schedule. Therefore, this master plan treats the revenue architecture as a strategic model to be validated against partner agreements, licensing/agency arrangements, and legal/compliance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Revenue Stream</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Description</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Role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Partner Product Economics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Compensation from successfully implemented partner solutions, subject to agreements and applicable rules.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Potential primary transaction revenue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Premium WPR</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Paid/packaged Wealth &amp; Protection Review.</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Near-term advisory revenue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Private Advisory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Bespoke advisory/retainer/engagement model, subject to final commercial design.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High-value recurring revenue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Annual Review / Ongoing Service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Recurring review/maintenance, subject to final packaging.</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Retention + recurring revenue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Education / Workshops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Corporate or community financial-health education, if launched.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Brand + B2B lead generation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Digital Tools / Premium Reports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Future paid tools or enhanced reports if market validation supports it.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Scalable digital revenue</w:t>
            </w:r>
          </w:p>
        </w:tc>
      </w:tr>
    </w:tbl>
    <w:p>
      <w:pPr>
        <w:spacing w:after="20"/>
      </w:pPr>
    </w:p>
    <w:p>
      <w:pPr>
        <w:pStyle w:val="Heading2"/>
        <w:keepNext/>
      </w:pPr>
      <w:r>
        <w:t>7.1 Economic Flywheel</w:t>
      </w:r>
    </w:p>
    <w:p>
      <w:pPr>
        <w:pStyle w:val="BodyText"/>
      </w:pPr>
      <w:r>
        <w:t>Trust-building content → low-friction free FHC → proprietary diagnosis → higher-intent consultation → strategy/blueprint → implementation → annual review → referrals → more content/data/benchmarking. The flywheel compounds when experience quality remains high and consent/privacy boundaries are respected.</w:t>
      </w:r>
    </w:p>
    <w:p>
      <w:pPr>
        <w:pStyle w:val="Heading1"/>
        <w:keepNext/>
      </w:pPr>
      <w:r>
        <w:t>8. Go-to-Market &amp; Lead Generation Engine</w:t>
      </w:r>
    </w:p>
    <w:p>
      <w:pPr>
        <w:pStyle w:val="Heading2"/>
        <w:keepNext/>
      </w:pPr>
      <w:r>
        <w:t>8.1 Core Funnel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8111F"/>
            <w:tcMar>
              <w:top w:w="100" w:type="dxa"/>
              <w:start w:w="120" w:type="dxa"/>
              <w:bottom w:w="100" w:type="dxa"/>
              <w:end w:w="120" w:type="dxa"/>
            </w:tcMar>
          </w:tcPr>
          <w:p>
            <w:pPr>
              <w:spacing w:after="0" w:before="0"/>
              <w:jc w:val="left"/>
            </w:pPr>
            <w:r>
              <w:rPr>
                <w:rFonts w:ascii="Aptos" w:hAnsi="Aptos"/>
                <w:b/>
                <w:color w:val="FFFFFF"/>
                <w:sz w:val="16"/>
              </w:rPr>
              <w:t>Stage</w:t>
            </w:r>
          </w:p>
        </w:tc>
        <w:tc>
          <w:tcPr>
            <w:tcW w:type="dxa" w:w="2520"/>
            <w:shd w:fill="08111F"/>
            <w:tcMar>
              <w:top w:w="100" w:type="dxa"/>
              <w:start w:w="120" w:type="dxa"/>
              <w:bottom w:w="100" w:type="dxa"/>
              <w:end w:w="120" w:type="dxa"/>
            </w:tcMar>
          </w:tcPr>
          <w:p>
            <w:pPr>
              <w:spacing w:after="0" w:before="0"/>
              <w:jc w:val="left"/>
            </w:pPr>
            <w:r>
              <w:rPr>
                <w:rFonts w:ascii="Aptos" w:hAnsi="Aptos"/>
                <w:b/>
                <w:color w:val="FFFFFF"/>
                <w:sz w:val="16"/>
              </w:rPr>
              <w:t>User Mindset</w:t>
            </w:r>
          </w:p>
        </w:tc>
        <w:tc>
          <w:tcPr>
            <w:tcW w:type="dxa" w:w="2520"/>
            <w:shd w:fill="08111F"/>
            <w:tcMar>
              <w:top w:w="100" w:type="dxa"/>
              <w:start w:w="120" w:type="dxa"/>
              <w:bottom w:w="100" w:type="dxa"/>
              <w:end w:w="120" w:type="dxa"/>
            </w:tcMar>
          </w:tcPr>
          <w:p>
            <w:pPr>
              <w:spacing w:after="0" w:before="0"/>
              <w:jc w:val="left"/>
            </w:pPr>
            <w:r>
              <w:rPr>
                <w:rFonts w:ascii="Aptos" w:hAnsi="Aptos"/>
                <w:b/>
                <w:color w:val="FFFFFF"/>
                <w:sz w:val="16"/>
              </w:rPr>
              <w:t>Safe Future Asset</w:t>
            </w:r>
          </w:p>
        </w:tc>
        <w:tc>
          <w:tcPr>
            <w:tcW w:type="dxa" w:w="2520"/>
            <w:shd w:fill="08111F"/>
            <w:tcMar>
              <w:top w:w="100" w:type="dxa"/>
              <w:start w:w="120" w:type="dxa"/>
              <w:bottom w:w="100" w:type="dxa"/>
              <w:end w:w="120" w:type="dxa"/>
            </w:tcMar>
          </w:tcPr>
          <w:p>
            <w:pPr>
              <w:spacing w:after="0" w:before="0"/>
              <w:jc w:val="left"/>
            </w:pPr>
            <w:r>
              <w:rPr>
                <w:rFonts w:ascii="Aptos" w:hAnsi="Aptos"/>
                <w:b/>
                <w:color w:val="FFFFFF"/>
                <w:sz w:val="16"/>
              </w:rPr>
              <w:t>Primary KPI</w:t>
            </w:r>
          </w:p>
        </w:tc>
      </w:tr>
      <w:tr>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Awareness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“Ini relevan dengan saya?”</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Instagram / TikTok / LinkedIn / SEO / Stories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Reach, watch time, saves, shares</w:t>
            </w:r>
          </w:p>
        </w:tc>
      </w:tr>
      <w:tr>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Interest</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“Saya ingin tahu kondisi saya.”</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FHC landing page</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CTR, FHC start rate</w:t>
            </w:r>
          </w:p>
        </w:tc>
      </w:tr>
      <w:tr>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Diagnostic</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“Saya ingin melihat hasil.”</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Health Check™</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Completion rate</w:t>
            </w:r>
          </w:p>
        </w:tc>
      </w:tr>
      <w:tr>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Qualification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“Apa artinya bagi saya?”</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Result + WPR / consultation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Qualified lead rate</w:t>
            </w:r>
          </w:p>
        </w:tc>
      </w:tr>
      <w:tr>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Advisory</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“Apa yang sebaiknya saya lakukan?”</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Strategy Session / Blueprint</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Booked session rate</w:t>
            </w:r>
          </w:p>
        </w:tc>
      </w:tr>
      <w:tr>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Implementation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“Saya siap menjalankan.”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Implementation through appropriate partner/solution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Conversion rate</w:t>
            </w:r>
          </w:p>
        </w:tc>
      </w:tr>
      <w:tr>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Retention</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“Saya ingin tetap terarah.”</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Annual Financial Review</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6"/>
              </w:rPr>
              <w:t>12-month retention, review completion</w:t>
            </w:r>
          </w:p>
        </w:tc>
      </w:tr>
      <w:tr>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Advocacy</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“Saya akan merekomendasikan.”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Referral / testimonial</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6"/>
              </w:rPr>
              <w:t>Referral rate</w:t>
            </w:r>
          </w:p>
        </w:tc>
      </w:tr>
    </w:tbl>
    <w:p>
      <w:pPr>
        <w:spacing w:after="20"/>
      </w:pPr>
    </w:p>
    <w:p>
      <w:pPr>
        <w:pStyle w:val="Heading2"/>
        <w:keepNext/>
      </w:pPr>
      <w:r>
        <w:t>8.2 Content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Pillar</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Content Goal</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Example Angle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Health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Awareness and diagnosis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“Merasa aman belum tentu sehat.”</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Protection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Risk education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Income replacement, medical cost, critical illness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Build &amp; Manage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Foundations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Cash flow, emergency fund, debt, asset discipline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Grow</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Long-term wealth</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Asset building, goal planning, risk profile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Legacy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Multi-generational thinking</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Education, estate, succession, inheritance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Myth Busting</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Trust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Insurance ≠ only product; planning ≠ rich people only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Real Life / Social Context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Human connection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Relevant news/empathy; no hard sell during tragedy</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Proof &amp; Experience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Conversion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Anonymized learning, process, testimonials with permission</w:t>
            </w:r>
          </w:p>
        </w:tc>
      </w:tr>
    </w:tbl>
    <w:p>
      <w:pPr>
        <w:spacing w:after="20"/>
      </w:pPr>
    </w:p>
    <w:p>
      <w:pPr>
        <w:pStyle w:val="Heading2"/>
        <w:keepNext/>
      </w:pPr>
      <w:r>
        <w:t>8.3 Social Design Doctrine</w:t>
      </w:r>
    </w:p>
    <w:p>
      <w:pPr>
        <w:pStyle w:val="ListBullet"/>
        <w:spacing w:after="40"/>
      </w:pPr>
      <w:r>
        <w:t>Feed carousel: 4:5; each slide one idea; copy concise; visual hierarchy does most of the work.</w:t>
      </w:r>
    </w:p>
    <w:p>
      <w:pPr>
        <w:pStyle w:val="ListBullet"/>
        <w:spacing w:after="40"/>
      </w:pPr>
      <w:r>
        <w:t>Story: 9:16; use strong documentary/editorial visuals; prioritize human attention and context.</w:t>
      </w:r>
    </w:p>
    <w:p>
      <w:pPr>
        <w:pStyle w:val="ListBullet"/>
        <w:spacing w:after="40"/>
      </w:pPr>
      <w:r>
        <w:t>CTA for lead posts: keyword-based comments such as “Comment “SAFE” untuk linknya.” can be used to create engagement and initiate DM, as agreed in content discussions.</w:t>
      </w:r>
    </w:p>
    <w:p>
      <w:pPr>
        <w:pStyle w:val="ListBullet"/>
        <w:spacing w:after="40"/>
      </w:pPr>
      <w:r>
        <w:t>Brand account: @safuture.id.</w:t>
      </w:r>
    </w:p>
    <w:p>
      <w:pPr>
        <w:pStyle w:val="ListBullet"/>
        <w:spacing w:after="40"/>
      </w:pPr>
      <w:r>
        <w:t>Do not force every post to sell insurance; build brand memory around financial health, protection, strategy and trust.</w:t>
      </w:r>
    </w:p>
    <w:p>
      <w:pPr>
        <w:pStyle w:val="Heading1"/>
        <w:keepNext/>
      </w:pPr>
      <w:r>
        <w:t>9. Website Master Product Blueprint</w:t>
      </w:r>
    </w:p>
    <w:p>
      <w:pPr>
        <w:pStyle w:val="Heading2"/>
        <w:keepNext/>
      </w:pPr>
      <w:r>
        <w:t>9.1 Recommended Sitemap /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Primary</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Pages / Modules</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Purpose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Home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Hero, proof, FHC CTA, service ladder, method, social proof</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Convert awareness into action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About Safe Future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Brand story, philosophy, values, founder</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Trust and credibility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Services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FHC, WPR, Private Advisory, specialist planning</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Service discovery</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Financial Health Check™</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Explanation + interactive assessment + results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Core acquisition engine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Financial Health Report™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What the report means / sample / interpretation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Bridge diagnosis → advisory</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Protection Blueprint™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What happens after diagnosis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Strategy/product bridge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Solutions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Health, Life, Critical Illness, Syariah, Retirement, etc.</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Solution education without over-selling</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Insights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Articles, education, FAQ</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SEO + trust + nurture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Tools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FHC + future calculators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Utility-led acquisition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Contact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WhatsApp, inquiry, consultation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Conversion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Admin / Internal</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Lead database, filters, details, export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Operations and CRM-lite</w:t>
            </w:r>
          </w:p>
        </w:tc>
      </w:tr>
    </w:tbl>
    <w:p>
      <w:pPr>
        <w:spacing w:after="20"/>
      </w:pPr>
    </w:p>
    <w:p>
      <w:pPr>
        <w:pStyle w:val="Heading2"/>
        <w:keepNext/>
      </w:pPr>
      <w:r>
        <w:t>9.2 Homepage Hero</w:t>
      </w:r>
    </w:p>
    <w:tbl>
      <w:tblPr>
        <w:tblW w:type="auto" w:w="0"/>
        <w:jc w:val="center"/>
        <w:tblLook w:firstColumn="1" w:firstRow="1" w:lastColumn="0" w:lastRow="0" w:noHBand="0" w:noVBand="1" w:val="04A0"/>
      </w:tblPr>
      <w:tblGrid>
        <w:gridCol w:w="10080"/>
      </w:tblGrid>
      <w:tr>
        <w:tc>
          <w:tcPr>
            <w:tcW w:type="dxa" w:w="10080"/>
            <w:shd w:fill="FAF8F3"/>
            <w:tcMar>
              <w:top w:w="150" w:type="dxa"/>
              <w:start w:w="180" w:type="dxa"/>
              <w:bottom w:w="150" w:type="dxa"/>
              <w:end w:w="180" w:type="dxa"/>
            </w:tcMar>
            <w:tcBorders>
              <w:top w:val="single" w:sz="4" w:color="E8E5DE"/>
              <w:left w:val="single" w:sz="18" w:color="C9A227"/>
              <w:bottom w:val="single" w:sz="4" w:color="E8E5DE"/>
              <w:right w:val="single" w:sz="4" w:color="E8E5DE"/>
            </w:tcBorders>
          </w:tcPr>
          <w:p>
            <w:pPr>
              <w:spacing w:after="80"/>
            </w:pPr>
            <w:r>
              <w:rPr>
                <w:b/>
                <w:color w:val="08111F"/>
                <w:sz w:val="22"/>
              </w:rPr>
              <w:t>SOURCE-ALIGNED HERO COPY</w:t>
            </w:r>
          </w:p>
          <w:p>
            <w:pPr>
              <w:spacing w:after="0"/>
            </w:pPr>
            <w:r>
              <w:rPr>
                <w:color w:val="182335"/>
                <w:sz w:val="19"/>
              </w:rPr>
              <w:t>“Lindungi Apa yang Penting. Bangun Masa Depan Finansial dengan Percaya Diri.” Supporting line: “Dari membangun kekayaan hingga melindungi apa yang telah Anda bangun, Safe Future membantu Anda memahami risiko, kebutuhan perlindungan, dan strategi finansial di setiap tahap kehidupan.” Primary CTA: “Mulai Financial Health Check”.</w:t>
            </w:r>
          </w:p>
        </w:tc>
      </w:tr>
    </w:tbl>
    <w:p/>
    <w:p>
      <w:pPr>
        <w:pStyle w:val="Heading2"/>
        <w:keepNext/>
      </w:pPr>
      <w:r>
        <w:t>9.3 Service Ladder UX</w:t>
      </w:r>
    </w:p>
    <w:p>
      <w:pPr>
        <w:pStyle w:val="BodyText"/>
      </w:pPr>
      <w:r>
        <w:t>Website implementation already contains a 3-level service architecture: Level 1 Financial Health Check (gratis, untuk Anda &amp; keluarga), Level 2 Wealth &amp; Protection Review (premium, affluent/business owners/executives), Level 3 Private Advisory (by appointment, HNW/business owners/senior executives).</w:t>
      </w:r>
    </w:p>
    <w:p>
      <w:pPr>
        <w:pStyle w:val="Heading2"/>
        <w:keepNext/>
      </w:pPr>
      <w:r>
        <w:t>9.4 Conversion Principles</w:t>
      </w:r>
    </w:p>
    <w:p>
      <w:pPr>
        <w:pStyle w:val="ListBullet"/>
        <w:spacing w:after="40"/>
      </w:pPr>
      <w:r>
        <w:t>One dominant action per section; avoid competing CTAs.</w:t>
      </w:r>
    </w:p>
    <w:p>
      <w:pPr>
        <w:pStyle w:val="ListBullet"/>
        <w:spacing w:after="40"/>
      </w:pPr>
      <w:r>
        <w:t>Use “diagnosis first” language before any product detail.</w:t>
      </w:r>
    </w:p>
    <w:p>
      <w:pPr>
        <w:pStyle w:val="ListBullet"/>
        <w:spacing w:after="40"/>
      </w:pPr>
      <w:r>
        <w:t>Keep FHC explanation short enough to start immediately.</w:t>
      </w:r>
    </w:p>
    <w:p>
      <w:pPr>
        <w:pStyle w:val="ListBullet"/>
        <w:spacing w:after="40"/>
      </w:pPr>
      <w:r>
        <w:t>Explain confidentiality, educational nature, and what users receive before collecting data.</w:t>
      </w:r>
    </w:p>
    <w:p>
      <w:pPr>
        <w:pStyle w:val="ListBullet"/>
        <w:spacing w:after="40"/>
      </w:pPr>
      <w:r>
        <w:t>Use WhatsApp as a human bridge after diagnostic value is delivered, not as the first and only experience.</w:t>
      </w:r>
    </w:p>
    <w:p>
      <w:pPr>
        <w:pStyle w:val="ListBullet"/>
        <w:spacing w:after="40"/>
      </w:pPr>
      <w:r>
        <w:t>Use result-aware follow-up so a user sees the relevance of the next step.</w:t>
      </w:r>
    </w:p>
    <w:p>
      <w:pPr>
        <w:pStyle w:val="Heading1"/>
        <w:keepNext/>
      </w:pPr>
      <w:r>
        <w:t>10. Technology, Data &amp; AI Blueprint</w:t>
      </w:r>
    </w:p>
    <w:p>
      <w:pPr>
        <w:pStyle w:val="Heading2"/>
        <w:keepNext/>
      </w:pPr>
      <w:r>
        <w:t>10.1 Existing Website Technology Reference</w:t>
      </w:r>
    </w:p>
    <w:p>
      <w:pPr>
        <w:pStyle w:val="ListBullet"/>
        <w:spacing w:after="40"/>
      </w:pPr>
      <w:r>
        <w:t>Current website reference uses Tailwind CSS, Chart.js, Supabase JS, Google Fonts, and Font Awesome.</w:t>
      </w:r>
    </w:p>
    <w:p>
      <w:pPr>
        <w:pStyle w:val="ListBullet"/>
        <w:spacing w:after="40"/>
      </w:pPr>
      <w:r>
        <w:t>Website contains a Financial Health Check interactive flow.</w:t>
      </w:r>
    </w:p>
    <w:p>
      <w:pPr>
        <w:pStyle w:val="ListBullet"/>
        <w:spacing w:after="40"/>
      </w:pPr>
      <w:r>
        <w:t>Website contains Wealth &amp; Protection Review module and WhatsApp handoff.</w:t>
      </w:r>
    </w:p>
    <w:p>
      <w:pPr>
        <w:pStyle w:val="ListBullet"/>
        <w:spacing w:after="40"/>
      </w:pPr>
      <w:r>
        <w:t>Website contains Admin Dashboard with lead/result detail, refresh and Excel export functionality.</w:t>
      </w:r>
    </w:p>
    <w:p>
      <w:pPr>
        <w:pStyle w:val="ListBullet"/>
        <w:spacing w:after="40"/>
      </w:pPr>
      <w:r>
        <w:t>Website contains a “Tanya AI” informational knowledge base; its response layer includes the disclaimer that outputs are educational/informational, not personalized financial advice.</w:t>
      </w:r>
    </w:p>
    <w:p>
      <w:pPr>
        <w:pStyle w:val="Heading2"/>
        <w:keepNext/>
      </w:pPr>
      <w:r>
        <w:t>10.2 Target System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6"/>
              </w:rPr>
              <w:t>Layer</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6"/>
              </w:rPr>
              <w:t>Target Responsibility</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Experience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Responsive web, accessible forms, clear diagnostic UX, result pages, content/SEO</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Application</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FHC engine, WPR, result generation, consultation booking, consent</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Data</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Supabase/Postgres or equivalent; leads, assessments, events, consent, audit</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Analytics</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GA4/Tag Manager or equivalent + server events where appropriate</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CRM / Lifecycle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Lead stages, source attribution, follow-up, appointments, outcomes</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Messaging</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WhatsApp as user-initiated or consented follow-up channel</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AI</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FAQ/education, summarization, bounded insights; no autonomous personalized financial advice</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Security</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Role-based admin, RLS, secret management, encryption in transit/at rest, backups, audit logging</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Reporting</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Funnel, acquisition, diagnostic, conversion, revenue, retention dashboards</w:t>
            </w:r>
          </w:p>
        </w:tc>
      </w:tr>
    </w:tbl>
    <w:p>
      <w:pPr>
        <w:spacing w:after="20"/>
      </w:pPr>
    </w:p>
    <w:p>
      <w:pPr>
        <w:pStyle w:val="Heading2"/>
        <w:keepNext/>
      </w:pPr>
      <w:r>
        <w:t>10.3 FHC Data Model (Conceptual)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Entity</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Core Fields (illustrative)</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Why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Lead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lead_id, created_at, source, campaign, segment, consent, status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Acquisition and lifecycle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Assessment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assessment_id, lead_id, answers, score, version, completed_at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Reproducible diagnosis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Result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score, pillar outputs, priority, gaps, report_version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User-facing result</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Interaction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event_id, lead_id, event_type, timestamp, source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Funnel measurement</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Consultation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booking_id, lead_id, advisor, time, status, outcome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Sales/advisory process</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Consent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consent_id, lead_id, policy_version, purposes, timestamp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Governance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Partner Recommendation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recommendation_id, lead_id, solution_type, rationale, status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Implementation governance</w:t>
            </w:r>
          </w:p>
        </w:tc>
      </w:tr>
    </w:tbl>
    <w:p>
      <w:pPr>
        <w:spacing w:after="20"/>
      </w:pPr>
    </w:p>
    <w:p>
      <w:pPr>
        <w:pStyle w:val="Heading2"/>
        <w:keepNext/>
      </w:pPr>
      <w:r>
        <w:t>10.4 AI Guardrails</w:t>
      </w:r>
    </w:p>
    <w:p>
      <w:pPr>
        <w:pStyle w:val="ListBullet"/>
        <w:spacing w:after="40"/>
      </w:pPr>
      <w:r>
        <w:t>AI should educate and help users understand concepts; it should not present itself as a licensed personal financial advisor unless the legal/operational basis supports that role.</w:t>
      </w:r>
    </w:p>
    <w:p>
      <w:pPr>
        <w:pStyle w:val="ListBullet"/>
        <w:spacing w:after="40"/>
      </w:pPr>
      <w:r>
        <w:t>No guaranteed returns, guaranteed claims outcomes, or deterministic product suitability without human review.</w:t>
      </w:r>
    </w:p>
    <w:p>
      <w:pPr>
        <w:pStyle w:val="ListBullet"/>
        <w:spacing w:after="40"/>
      </w:pPr>
      <w:r>
        <w:t>No high-stakes recommendation from incomplete data.</w:t>
      </w:r>
    </w:p>
    <w:p>
      <w:pPr>
        <w:pStyle w:val="ListBullet"/>
        <w:spacing w:after="40"/>
      </w:pPr>
      <w:r>
        <w:t>Clearly separate informational content from personalized advisory.</w:t>
      </w:r>
    </w:p>
    <w:p>
      <w:pPr>
        <w:pStyle w:val="ListBullet"/>
        <w:spacing w:after="40"/>
      </w:pPr>
      <w:r>
        <w:t>Log model/version for material generated outputs where appropriate.</w:t>
      </w:r>
    </w:p>
    <w:p>
      <w:pPr>
        <w:pStyle w:val="ListBullet"/>
        <w:spacing w:after="40"/>
      </w:pPr>
      <w:r>
        <w:t>Provide escalation to a human advisor for material decisions.</w:t>
      </w:r>
    </w:p>
    <w:p>
      <w:pPr>
        <w:pStyle w:val="Heading1"/>
        <w:keepNext/>
      </w:pPr>
      <w:r>
        <w:t>11. Compliance, Trust &amp; Data Protection</w:t>
      </w:r>
    </w:p>
    <w:p>
      <w:pPr>
        <w:pStyle w:val="BodyText"/>
      </w:pPr>
      <w:r>
        <w:t>This section is an implementation checklist, not legal advice. Final wording and operating controls should be reviewed against the current partner agreements, applicable OJK rules, digital commerce/electronic system obligations, and Indonesian personal-data requirements.</w:t>
      </w:r>
    </w:p>
    <w:p>
      <w:pPr>
        <w:pStyle w:val="Heading2"/>
        <w:keepNext/>
      </w:pPr>
      <w:r>
        <w:t>11.1 Financial-Sector Trust Requirements</w:t>
      </w:r>
    </w:p>
    <w:p>
      <w:pPr>
        <w:pStyle w:val="ListBullet"/>
        <w:spacing w:after="40"/>
      </w:pPr>
      <w:r>
        <w:t>Publicly distinguish Safe Future as an advisory/consulting brand and clearly identify the licensed partner where a regulated product is presented.</w:t>
      </w:r>
    </w:p>
    <w:p>
      <w:pPr>
        <w:pStyle w:val="ListBullet"/>
        <w:spacing w:after="40"/>
      </w:pPr>
      <w:r>
        <w:t>Product pages should not imply benefits beyond official policy documents / product disclosure materials.</w:t>
      </w:r>
    </w:p>
    <w:p>
      <w:pPr>
        <w:pStyle w:val="ListBullet"/>
        <w:spacing w:after="40"/>
      </w:pPr>
      <w:r>
        <w:t>Advertising, product descriptions, and sales flows should be reviewed for clarity, fairness, and consistency with applicable financial-sector consumer-protection requirements.</w:t>
      </w:r>
    </w:p>
    <w:p>
      <w:pPr>
        <w:pStyle w:val="ListBullet"/>
        <w:spacing w:after="40"/>
      </w:pPr>
      <w:r>
        <w:t>Keep versioned records of public product copy, benefit claims, disclaimers, and source documents.</w:t>
      </w:r>
    </w:p>
    <w:p>
      <w:pPr>
        <w:pStyle w:val="BodyText"/>
      </w:pPr>
      <w:r>
        <w:t>OJK’s consumer-protection framework includes requirements covering information provision, marketing, customer rights/obligations, complaint handling, and conduct supervision. OJK also issued POJK 38/2025 on OJK lawsuits for consumer protection, effective 22 December 2025.</w:t>
      </w:r>
    </w:p>
    <w:p>
      <w:pPr>
        <w:pStyle w:val="Heading2"/>
        <w:keepNext/>
      </w:pPr>
      <w:r>
        <w:t>11.2 Personal Data Protection</w:t>
      </w:r>
    </w:p>
    <w:p>
      <w:pPr>
        <w:pStyle w:val="BodyText"/>
      </w:pPr>
      <w:r>
        <w:t>The Financial Health Check collects sensitive financial information. The system should therefore be designed with a privacy-by-design posture: purpose limitation, transparent notice/consent, least-privilege access, appropriate retention, deletion/rectification workflows, secure authentication, audit logs, backups, breach procedures, and vendor/data-processing governance.</w:t>
      </w:r>
    </w:p>
    <w:p>
      <w:pPr>
        <w:pStyle w:val="BodyText"/>
      </w:pPr>
      <w:r>
        <w:t>Indonesia’s Law No. 27 of 2022 on Personal Data Protection is in force and establishes the general legal framework for processing personal data and the rights of data subjects.</w:t>
      </w:r>
    </w:p>
    <w:p>
      <w:pPr>
        <w:pStyle w:val="Heading2"/>
        <w:keepNext/>
      </w:pPr>
      <w:r>
        <w:t>11.3 Website Trust Pages</w:t>
      </w:r>
    </w:p>
    <w:p>
      <w:pPr>
        <w:pStyle w:val="ListBullet"/>
        <w:spacing w:after="40"/>
      </w:pPr>
      <w:r>
        <w:t>Privacy Policy</w:t>
      </w:r>
    </w:p>
    <w:p>
      <w:pPr>
        <w:pStyle w:val="ListBullet"/>
        <w:spacing w:after="40"/>
      </w:pPr>
      <w:r>
        <w:t>Terms of Use</w:t>
      </w:r>
    </w:p>
    <w:p>
      <w:pPr>
        <w:pStyle w:val="ListBullet"/>
        <w:spacing w:after="40"/>
      </w:pPr>
      <w:r>
        <w:t>Financial Advisory / Educational Disclaimer</w:t>
      </w:r>
    </w:p>
    <w:p>
      <w:pPr>
        <w:pStyle w:val="ListBullet"/>
        <w:spacing w:after="40"/>
      </w:pPr>
      <w:r>
        <w:t>Product/Partner Disclaimer</w:t>
      </w:r>
    </w:p>
    <w:p>
      <w:pPr>
        <w:pStyle w:val="ListBullet"/>
        <w:spacing w:after="40"/>
      </w:pPr>
      <w:r>
        <w:t>Complaint / Contact Procedure</w:t>
      </w:r>
    </w:p>
    <w:p>
      <w:pPr>
        <w:pStyle w:val="ListBullet"/>
        <w:spacing w:after="40"/>
      </w:pPr>
      <w:r>
        <w:t>Cookie / Analytics Notice where applicable</w:t>
      </w:r>
    </w:p>
    <w:p>
      <w:pPr>
        <w:pStyle w:val="ListBullet"/>
        <w:spacing w:after="40"/>
      </w:pPr>
      <w:r>
        <w:t>Data retention and deletion request path</w:t>
      </w:r>
    </w:p>
    <w:p>
      <w:pPr>
        <w:pStyle w:val="Heading1"/>
        <w:keepNext/>
      </w:pPr>
      <w:r>
        <w:t>12. Operating Model</w:t>
      </w:r>
    </w:p>
    <w:p>
      <w:pPr>
        <w:pStyle w:val="Heading2"/>
        <w:keepNext/>
      </w:pPr>
      <w:r>
        <w:t>12.1 Client Lifecycle SOP</w:t>
      </w:r>
    </w:p>
    <w:p>
      <w:pPr>
        <w:spacing w:after="40"/>
        <w:ind w:left="259" w:hanging="259"/>
      </w:pPr>
      <w:r>
        <w:t>1. Traffic enters from social/search/referral.</w:t>
      </w:r>
    </w:p>
    <w:p>
      <w:pPr>
        <w:spacing w:after="40"/>
        <w:ind w:left="259" w:hanging="259"/>
      </w:pPr>
      <w:r>
        <w:t>2. User completes FHC or starts a WPR.</w:t>
      </w:r>
    </w:p>
    <w:p>
      <w:pPr>
        <w:spacing w:after="40"/>
        <w:ind w:left="259" w:hanging="259"/>
      </w:pPr>
      <w:r>
        <w:t>3. System calculates/returns result.</w:t>
      </w:r>
    </w:p>
    <w:p>
      <w:pPr>
        <w:spacing w:after="40"/>
        <w:ind w:left="259" w:hanging="259"/>
      </w:pPr>
      <w:r>
        <w:t>4. Lead is classified by score, segment, intent and source.</w:t>
      </w:r>
    </w:p>
    <w:p>
      <w:pPr>
        <w:spacing w:after="40"/>
        <w:ind w:left="259" w:hanging="259"/>
      </w:pPr>
      <w:r>
        <w:t>5. Advisor reviews context before outreach.</w:t>
      </w:r>
    </w:p>
    <w:p>
      <w:pPr>
        <w:spacing w:after="40"/>
        <w:ind w:left="259" w:hanging="259"/>
      </w:pPr>
      <w:r>
        <w:t>6. Strategy session interprets diagnosis and clarifies goals.</w:t>
      </w:r>
    </w:p>
    <w:p>
      <w:pPr>
        <w:spacing w:after="40"/>
        <w:ind w:left="259" w:hanging="259"/>
      </w:pPr>
      <w:r>
        <w:t>7. Financial Protection Blueprint is prepared where appropriate.</w:t>
      </w:r>
    </w:p>
    <w:p>
      <w:pPr>
        <w:spacing w:after="40"/>
        <w:ind w:left="259" w:hanging="259"/>
      </w:pPr>
      <w:r>
        <w:t>8. Implementation is coordinated through the relevant licensed/official partner or other approved solution path.</w:t>
      </w:r>
    </w:p>
    <w:p>
      <w:pPr>
        <w:spacing w:after="40"/>
        <w:ind w:left="259" w:hanging="259"/>
      </w:pPr>
      <w:r>
        <w:t>9. Annual Financial Review is scheduled and managed.</w:t>
      </w:r>
    </w:p>
    <w:p>
      <w:pPr>
        <w:pStyle w:val="Heading2"/>
        <w:keepNext/>
      </w:pPr>
      <w:r>
        <w:t>12.2 Lead Management Stages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Stage</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Definition</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Next Best Action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New</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FHC/WPR started or completed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Ensure consent/source recorded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Qualified</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Meets minimum engagement/segment criteria</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Human review + contact</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Contacted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Advisor reached out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Qualify need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Booked</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Consultation scheduled</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Prepare session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Advisory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Session delivered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Recommend next step</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Blueprint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Strategy documented</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Implementation decision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Implementation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Solution/action executed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Onboarding + service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Review</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Annual/periodic review due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Retention + referral</w:t>
            </w:r>
          </w:p>
        </w:tc>
      </w:tr>
    </w:tbl>
    <w:p>
      <w:pPr>
        <w:spacing w:after="20"/>
      </w:pPr>
    </w:p>
    <w:p>
      <w:pPr>
        <w:pStyle w:val="Heading2"/>
        <w:keepNext/>
      </w:pPr>
      <w:r>
        <w:t>12.3 Founder/Advisor Role</w:t>
      </w:r>
    </w:p>
    <w:p>
      <w:pPr>
        <w:pStyle w:val="BodyText"/>
      </w:pPr>
      <w:r>
        <w:t>The founder positioning from the source material is “Yusuf Situmorang — Founder &amp; Financial Protection Consultant”. The public narrative should center client outcomes, methodology, diagnosis and trust rather than making the brand primarily about the founder or a single carrier.</w:t>
      </w:r>
    </w:p>
    <w:p>
      <w:pPr>
        <w:pStyle w:val="Heading1"/>
        <w:keepNext/>
      </w:pPr>
      <w:r>
        <w:t>13. KPI &amp; Analytics System</w:t>
      </w:r>
    </w:p>
    <w:p>
      <w:pPr>
        <w:pStyle w:val="Heading2"/>
        <w:keepNext/>
      </w:pPr>
      <w:r>
        <w:t>13.1 North Star Metric</w:t>
      </w:r>
    </w:p>
    <w:tbl>
      <w:tblPr>
        <w:tblW w:type="auto" w:w="0"/>
        <w:jc w:val="center"/>
        <w:tblLook w:firstColumn="1" w:firstRow="1" w:lastColumn="0" w:lastRow="0" w:noHBand="0" w:noVBand="1" w:val="04A0"/>
      </w:tblPr>
      <w:tblGrid>
        <w:gridCol w:w="10080"/>
      </w:tblGrid>
      <w:tr>
        <w:tc>
          <w:tcPr>
            <w:tcW w:type="dxa" w:w="10080"/>
            <w:shd w:fill="FAF8F3"/>
            <w:tcMar>
              <w:top w:w="150" w:type="dxa"/>
              <w:start w:w="180" w:type="dxa"/>
              <w:bottom w:w="150" w:type="dxa"/>
              <w:end w:w="180" w:type="dxa"/>
            </w:tcMar>
            <w:tcBorders>
              <w:top w:val="single" w:sz="4" w:color="E8E5DE"/>
              <w:left w:val="single" w:sz="18" w:color="C9A227"/>
              <w:bottom w:val="single" w:sz="4" w:color="E8E5DE"/>
              <w:right w:val="single" w:sz="4" w:color="E8E5DE"/>
            </w:tcBorders>
          </w:tcPr>
          <w:p>
            <w:pPr>
              <w:spacing w:after="80"/>
            </w:pPr>
            <w:r>
              <w:rPr>
                <w:b/>
                <w:color w:val="08111F"/>
                <w:sz w:val="22"/>
              </w:rPr>
              <w:t>RECOMMENDED NORTH STAR</w:t>
            </w:r>
          </w:p>
          <w:p>
            <w:pPr>
              <w:spacing w:after="0"/>
            </w:pPr>
            <w:r>
              <w:rPr>
                <w:color w:val="182335"/>
                <w:sz w:val="19"/>
              </w:rPr>
              <w:t>Completed Financial Health Checks that generate a qualified advisory opportunity, tracked alongside the quality of downstream conversion. Do not optimize only for FHC volume; optimize for qualified outcomes and client value.</w:t>
            </w:r>
          </w:p>
        </w:tc>
      </w:tr>
    </w:tbl>
    <w:p/>
    <w:p>
      <w:pPr>
        <w:pStyle w:val="Heading2"/>
        <w:keepNext/>
      </w:pPr>
      <w:r>
        <w:t>13.2 KPI Tree</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6"/>
              </w:rPr>
              <w:t>Layer</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6"/>
              </w:rPr>
              <w:t>Metrics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Reach</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Reach, impressions, video views, follower growth</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Engagement</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Saves, shares, comments, profile visits, DM starts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Traffic</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CTR, sessions, landing-page conversion</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FHC</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Start rate, completion rate, average time, abandonment by question</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Quality</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Qualified lead rate, segment mix, result distribution</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Sales/Advisory</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Booked rate, show-up rate, blueprint rate, implementation rate</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Economics</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Revenue per qualified lead, CAC, payback, contribution margin where measurable</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Retention</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Annual review rate, repeat engagement, referral rate</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Trust</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Complaint rate, correction rate, disclosure adherence</w:t>
            </w:r>
          </w:p>
        </w:tc>
      </w:tr>
    </w:tbl>
    <w:p>
      <w:pPr>
        <w:spacing w:after="20"/>
      </w:pPr>
    </w:p>
    <w:p>
      <w:pPr>
        <w:pStyle w:val="Heading2"/>
        <w:keepNext/>
      </w:pPr>
      <w:r>
        <w:t>13.3 Attribution</w:t>
      </w:r>
    </w:p>
    <w:p>
      <w:pPr>
        <w:pStyle w:val="BodyText"/>
      </w:pPr>
      <w:r>
        <w:t>Every FHC should retain acquisition source and campaign metadata where lawful and consented: platform, content/campaign, landing page, UTM parameters, first touch, last touch, and major conversion events. This enables Safe Future to learn which content produces not just clicks but qualified advisory relationships.</w:t>
      </w:r>
    </w:p>
    <w:p>
      <w:pPr>
        <w:pStyle w:val="Heading1"/>
        <w:keepNext/>
      </w:pPr>
      <w:r>
        <w:t>14. SEO &amp; Owned-Media Strategy</w:t>
      </w:r>
    </w:p>
    <w:p>
      <w:pPr>
        <w:pStyle w:val="BodyText"/>
      </w:pPr>
      <w:r>
        <w:t>The website should become the owned knowledge base that social content feeds. The goal is not simply to rank for “asuransi”, but to own high-intent problem spaces such as financial health, protection gap, income protection, retirement readiness, emergency fund, family financial planning, and legacy planning.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Content Cluster</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Core Intent</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Conversion Target</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Health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“Apakah keuangan saya sehat?”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FHC</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Protection Gap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“Berapa perlindungan yang saya butuhkan?”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FHC / Strategy Session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Income Protection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“Kalau penghasilan berhenti, apa yang terjadi?”</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FHC / Protection Planning</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Health Costs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“Bagaimana menghadapi biaya rumah sakit?”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FHC / Health Protection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Retirement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“Apakah saya siap pensiun?”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FHC / WPR</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Family Planning</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“Bagaimana menyiapkan keluarga/anak?”</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FHC / Education/Protection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Wealth &amp; Legacy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“Bagaimana menjaga dan mewariskan aset?”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WPR / Private Advisory</w:t>
            </w:r>
          </w:p>
        </w:tc>
      </w:tr>
    </w:tbl>
    <w:p>
      <w:pPr>
        <w:spacing w:after="20"/>
      </w:pPr>
    </w:p>
    <w:p>
      <w:pPr>
        <w:pStyle w:val="Heading2"/>
        <w:keepNext/>
      </w:pPr>
      <w:r>
        <w:t>Content Production System</w:t>
      </w:r>
    </w:p>
    <w:p>
      <w:pPr>
        <w:spacing w:after="40"/>
        <w:ind w:left="259" w:hanging="259"/>
      </w:pPr>
      <w:r>
        <w:t>1. One weekly “pillar” topic.</w:t>
      </w:r>
    </w:p>
    <w:p>
      <w:pPr>
        <w:spacing w:after="40"/>
        <w:ind w:left="259" w:hanging="259"/>
      </w:pPr>
      <w:r>
        <w:t>2. Convert one insight into carousel, short video, Story, website article and FAQ.</w:t>
      </w:r>
    </w:p>
    <w:p>
      <w:pPr>
        <w:spacing w:after="40"/>
        <w:ind w:left="259" w:hanging="259"/>
      </w:pPr>
      <w:r>
        <w:t>3. Attach a single intended action to conversion-oriented pieces.</w:t>
      </w:r>
    </w:p>
    <w:p>
      <w:pPr>
        <w:spacing w:after="40"/>
        <w:ind w:left="259" w:hanging="259"/>
      </w:pPr>
      <w:r>
        <w:t>4. Review comments/DM questions as a source for the next content cycle.</w:t>
      </w:r>
    </w:p>
    <w:p>
      <w:pPr>
        <w:spacing w:after="40"/>
        <w:ind w:left="259" w:hanging="259"/>
      </w:pPr>
      <w:r>
        <w:t>5. Quarterly refresh evergreen pages and product facts.</w:t>
      </w:r>
    </w:p>
    <w:p>
      <w:pPr>
        <w:pStyle w:val="Heading1"/>
        <w:keepNext/>
      </w:pPr>
      <w:r>
        <w:t>15. Competitive Moat &amp; Strategic Advantages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Advantage</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How to Build It</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Moat Effect</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Diagnosis-first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Consistent FHC → report → session process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Experience standardization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Proprietary IP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Method™, FHC, Report™, Blueprint™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Brandable methodology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Holistic view</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10-pillar diagnosis vs single-product pitch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Broader relevance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Human + digital</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Self-service diagnostics + human interpretation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Scalable trust</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Data with consent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Anonymized patterns/benchmarks over time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Learning loop</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Content engine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Education tied to real client questions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Organic distribution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Long-term review</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Annual Financial Review</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Recurring relationship</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Independent brand</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Not carrier-first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Portability and strategic flexibility</w:t>
            </w:r>
          </w:p>
        </w:tc>
      </w:tr>
    </w:tbl>
    <w:p>
      <w:pPr>
        <w:spacing w:after="20"/>
      </w:pPr>
    </w:p>
    <w:p>
      <w:pPr>
        <w:pStyle w:val="Heading1"/>
        <w:keepNext/>
      </w:pPr>
      <w:r>
        <w:t>16. Risk Register &amp;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Risk</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Impact</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5"/>
              </w:rPr>
              <w:t>Mitigation</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Brand perceived as “insurance seller”</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High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Lead with FHC/methodology; product after diagnosis</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Product claim inaccurate/outdated</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High</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Versioned source library + review gate before publishing</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Personal-data breach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Critical</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Privacy-by-design, RLS, least privilege, security audit, backups</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AI gives inappropriate advice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High</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Bounded AI, disclaimers, escalation, no autonomous high-stakes advice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Too many leads, weak qualification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Medium</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Score-based routing + lifecycle stages + WPR qualification</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Founder dependency</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High</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Document SOPs, methodology, templates, CRM notes, team capability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Low FHC completion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Medium</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Short flow, progress, trust copy, mobile optimization, question-level analytics</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Low downstream conversion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High</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Improve interpretation/session and value delivery before product pitch</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Single-partner dependency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Medium/High</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5"/>
              </w:rPr>
              <w:t>Build independent brand and maintain multiple approved solution pathways where legally/operationally appropriate</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Content commoditization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Medium</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5"/>
              </w:rPr>
              <w:t>Use proprietary frameworks, data, cases, and local Indonesian context</w:t>
            </w:r>
          </w:p>
        </w:tc>
      </w:tr>
    </w:tbl>
    <w:p>
      <w:pPr>
        <w:spacing w:after="20"/>
      </w:pPr>
    </w:p>
    <w:p>
      <w:pPr>
        <w:pStyle w:val="Heading1"/>
        <w:keepNext/>
      </w:pPr>
      <w:r>
        <w:t>17. 12–24 Month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8111F"/>
            <w:tcMar>
              <w:top w:w="100" w:type="dxa"/>
              <w:start w:w="120" w:type="dxa"/>
              <w:bottom w:w="100" w:type="dxa"/>
              <w:end w:w="120" w:type="dxa"/>
            </w:tcMar>
          </w:tcPr>
          <w:p>
            <w:pPr>
              <w:spacing w:after="0" w:before="0"/>
              <w:jc w:val="left"/>
            </w:pPr>
            <w:r>
              <w:rPr>
                <w:rFonts w:ascii="Aptos" w:hAnsi="Aptos"/>
                <w:b/>
                <w:color w:val="FFFFFF"/>
                <w:sz w:val="15"/>
              </w:rPr>
              <w:t>Phase</w:t>
            </w:r>
          </w:p>
        </w:tc>
        <w:tc>
          <w:tcPr>
            <w:tcW w:type="dxa" w:w="2520"/>
            <w:shd w:fill="08111F"/>
            <w:tcMar>
              <w:top w:w="100" w:type="dxa"/>
              <w:start w:w="120" w:type="dxa"/>
              <w:bottom w:w="100" w:type="dxa"/>
              <w:end w:w="120" w:type="dxa"/>
            </w:tcMar>
          </w:tcPr>
          <w:p>
            <w:pPr>
              <w:spacing w:after="0" w:before="0"/>
              <w:jc w:val="left"/>
            </w:pPr>
            <w:r>
              <w:rPr>
                <w:rFonts w:ascii="Aptos" w:hAnsi="Aptos"/>
                <w:b/>
                <w:color w:val="FFFFFF"/>
                <w:sz w:val="15"/>
              </w:rPr>
              <w:t>Priority</w:t>
            </w:r>
          </w:p>
        </w:tc>
        <w:tc>
          <w:tcPr>
            <w:tcW w:type="dxa" w:w="2520"/>
            <w:shd w:fill="08111F"/>
            <w:tcMar>
              <w:top w:w="100" w:type="dxa"/>
              <w:start w:w="120" w:type="dxa"/>
              <w:bottom w:w="100" w:type="dxa"/>
              <w:end w:w="120" w:type="dxa"/>
            </w:tcMar>
          </w:tcPr>
          <w:p>
            <w:pPr>
              <w:spacing w:after="0" w:before="0"/>
              <w:jc w:val="left"/>
            </w:pPr>
            <w:r>
              <w:rPr>
                <w:rFonts w:ascii="Aptos" w:hAnsi="Aptos"/>
                <w:b/>
                <w:color w:val="FFFFFF"/>
                <w:sz w:val="15"/>
              </w:rPr>
              <w:t>Deliverables</w:t>
            </w:r>
          </w:p>
        </w:tc>
        <w:tc>
          <w:tcPr>
            <w:tcW w:type="dxa" w:w="2520"/>
            <w:shd w:fill="08111F"/>
            <w:tcMar>
              <w:top w:w="100" w:type="dxa"/>
              <w:start w:w="120" w:type="dxa"/>
              <w:bottom w:w="100" w:type="dxa"/>
              <w:end w:w="120" w:type="dxa"/>
            </w:tcMar>
          </w:tcPr>
          <w:p>
            <w:pPr>
              <w:spacing w:after="0" w:before="0"/>
              <w:jc w:val="left"/>
            </w:pPr>
            <w:r>
              <w:rPr>
                <w:rFonts w:ascii="Aptos" w:hAnsi="Aptos"/>
                <w:b/>
                <w:color w:val="FFFFFF"/>
                <w:sz w:val="15"/>
              </w:rPr>
              <w:t>Gate</w:t>
            </w:r>
          </w:p>
        </w:tc>
      </w:tr>
      <w:tr>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Phase 1: Foundation</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0–2 months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Finalize brand governance, sitemap, FHC UX, legal/trust pages, analytics, CRM stages, security controls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Tracking + compliance baseline</w:t>
            </w:r>
          </w:p>
        </w:tc>
      </w:tr>
      <w:tr>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Phase 2: Conversion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2–4 months</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FHC optimization, result-to-consultation funnel, WPR qualification, WhatsApp flows, lead dashboards</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Qualified lead economics positive signal</w:t>
            </w:r>
          </w:p>
        </w:tc>
      </w:tr>
      <w:tr>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Phase 3: Content Engine</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3–6 months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SEO clusters, repeatable social system, content repurposing, FAQs, case/proof assets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Organic + paid funnel measurable</w:t>
            </w:r>
          </w:p>
        </w:tc>
      </w:tr>
      <w:tr>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Phase 4: Advisory Scale</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6–12 months</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Advisor SOPs, annual review, referral system, premium advisory packaging</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Service quality consistent beyond founder</w:t>
            </w:r>
          </w:p>
        </w:tc>
      </w:tr>
      <w:tr>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Phase 5: Intelligence</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9–18 months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Benchmarking, richer diagnostics, CRM scoring, bounded AI assist, client portal improvements</w:t>
            </w:r>
          </w:p>
        </w:tc>
        <w:tc>
          <w:tcPr>
            <w:tcW w:type="dxa" w:w="2520"/>
            <w:shd w:fill="FAF8F3"/>
            <w:tcMar>
              <w:top w:w="100" w:type="dxa"/>
              <w:start w:w="120" w:type="dxa"/>
              <w:bottom w:w="100" w:type="dxa"/>
              <w:end w:w="120" w:type="dxa"/>
            </w:tcMar>
            <w:vAlign w:val="top"/>
          </w:tcPr>
          <w:p>
            <w:pPr>
              <w:spacing w:after="0" w:before="0"/>
              <w:jc w:val="left"/>
            </w:pPr>
            <w:r>
              <w:rPr>
                <w:rFonts w:ascii="Aptos" w:hAnsi="Aptos"/>
                <w:b w:val="0"/>
                <w:color w:val="182335"/>
                <w:sz w:val="15"/>
              </w:rPr>
              <w:t>Data quality + governance proven</w:t>
            </w:r>
          </w:p>
        </w:tc>
      </w:tr>
      <w:tr>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Phase 6: Platformization</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12–24 months</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Advanced client portal, digital report automation, broader partner/solution ecosystem, recurring advisory products</w:t>
            </w:r>
          </w:p>
        </w:tc>
        <w:tc>
          <w:tcPr>
            <w:tcW w:type="dxa" w:w="2520"/>
            <w:tcMar>
              <w:top w:w="100" w:type="dxa"/>
              <w:start w:w="120" w:type="dxa"/>
              <w:bottom w:w="100" w:type="dxa"/>
              <w:end w:w="120" w:type="dxa"/>
            </w:tcMar>
            <w:vAlign w:val="top"/>
          </w:tcPr>
          <w:p>
            <w:pPr>
              <w:spacing w:after="0" w:before="0"/>
              <w:jc w:val="left"/>
            </w:pPr>
            <w:r>
              <w:rPr>
                <w:rFonts w:ascii="Aptos" w:hAnsi="Aptos"/>
                <w:b w:val="0"/>
                <w:color w:val="182335"/>
                <w:sz w:val="15"/>
              </w:rPr>
              <w:t>Scale without sacrificing trust</w:t>
            </w:r>
          </w:p>
        </w:tc>
      </w:tr>
    </w:tbl>
    <w:p>
      <w:pPr>
        <w:spacing w:after="20"/>
      </w:pPr>
    </w:p>
    <w:p>
      <w:pPr>
        <w:pStyle w:val="Heading2"/>
        <w:keepNext/>
      </w:pPr>
      <w:r>
        <w:t>17.1 Immediate Priority Order for the Existing Website</w:t>
      </w:r>
    </w:p>
    <w:p>
      <w:pPr>
        <w:spacing w:after="40"/>
        <w:ind w:left="259" w:hanging="259"/>
      </w:pPr>
      <w:r>
        <w:t>1. Lock final public brand copy and positioning.</w:t>
      </w:r>
    </w:p>
    <w:p>
      <w:pPr>
        <w:spacing w:after="40"/>
        <w:ind w:left="259" w:hanging="259"/>
      </w:pPr>
      <w:r>
        <w:t>2. Verify FHC questionnaire, scoring logic, outputs, and result copy against the intended advisory methodology.</w:t>
      </w:r>
    </w:p>
    <w:p>
      <w:pPr>
        <w:spacing w:after="40"/>
        <w:ind w:left="259" w:hanging="259"/>
      </w:pPr>
      <w:r>
        <w:t>3. Verify every CTA from social → website → FHC → result → WhatsApp/consultation.</w:t>
      </w:r>
    </w:p>
    <w:p>
      <w:pPr>
        <w:spacing w:after="40"/>
        <w:ind w:left="259" w:hanging="259"/>
      </w:pPr>
      <w:r>
        <w:t>4. Implement/verify consent, privacy, admin access controls, retention and auditability.</w:t>
      </w:r>
    </w:p>
    <w:p>
      <w:pPr>
        <w:spacing w:after="40"/>
        <w:ind w:left="259" w:hanging="259"/>
      </w:pPr>
      <w:r>
        <w:t>5. Implement analytics for the full funnel, not just page views.</w:t>
      </w:r>
    </w:p>
    <w:p>
      <w:pPr>
        <w:spacing w:after="40"/>
        <w:ind w:left="259" w:hanging="259"/>
      </w:pPr>
      <w:r>
        <w:t>6. Improve result-to-advisor conversion and lead qualification.</w:t>
      </w:r>
    </w:p>
    <w:p>
      <w:pPr>
        <w:spacing w:after="40"/>
        <w:ind w:left="259" w:hanging="259"/>
      </w:pPr>
      <w:r>
        <w:t>7. Build the website content library and SEO clusters.</w:t>
      </w:r>
    </w:p>
    <w:p>
      <w:pPr>
        <w:spacing w:after="40"/>
        <w:ind w:left="259" w:hanging="259"/>
      </w:pPr>
      <w:r>
        <w:t>8. Only then scale paid traffic substantially.</w:t>
      </w:r>
    </w:p>
    <w:p>
      <w:pPr>
        <w:pStyle w:val="Heading1"/>
        <w:keepNext/>
      </w:pPr>
      <w:r>
        <w:t>18. Website / Business Launch Gates</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5"/>
              </w:rPr>
              <w:t>Gate</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5"/>
              </w:rPr>
              <w:t>Must Be True</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Brand</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Logo, tagline, descriptor, philosophy and public positioning are consistent across web/social/materials.</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Content</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All product and service claims trace to an approved source; no stale pricing/benefit claims.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FHC</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Form works end-to-end; scoring is reproducible; user receives result; no broken state.</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Lead</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Every conversion creates the expected lead record with source/consent; no duplicates or data loss.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Admin</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Authorized admin can review leads/results, filter, export, and see source attribution.</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Messaging</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WhatsApp/consultation handoff works with correct context and user consent.</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Mobile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FHC and critical pages work cleanly on Android/iOS screen sizes.</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Security</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Secrets not exposed; database rules/RLS and authentication verified; admin access hardened.</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Privacy</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Privacy notice, consent, retention and deletion workflows are ready.</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Analytics</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Funnel events fire and can be reconciled with backend events.</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AI</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AI is bounded, clearly labeled, and escalates material personal-finance decisions.</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Operations</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There is a human owner for every lead stage and a response SLA.</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Partner</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5"/>
              </w:rPr>
              <w:t>Partner/product status and compliance documents are current before public promotion.</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Resilience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5"/>
              </w:rPr>
              <w:t>Backups, logging, monitoring, and rollback procedures exist.</w:t>
            </w:r>
          </w:p>
        </w:tc>
      </w:tr>
    </w:tbl>
    <w:p>
      <w:pPr>
        <w:spacing w:after="20"/>
      </w:pPr>
    </w:p>
    <w:p>
      <w:pPr>
        <w:pStyle w:val="Heading1"/>
        <w:keepNext/>
      </w:pPr>
      <w:r>
        <w:t>19. Website Copy Library / Message House</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6"/>
              </w:rPr>
              <w:t>Layer</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6"/>
              </w:rPr>
              <w:t>Recommended Copy</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Master descriptor</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Protection &amp; Wealth Advisory</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Tagline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Safe Today. Secure Future.</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Philosophy</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Build • Manage • Protect • Grow • Legacy</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Core principle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Diagnosis Before Recommendation</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Brand promise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Kami tidak menjual produk. Kami membantu Anda mengambil keputusan yang tepat.</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Hero</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Lindungi Apa yang Penting. Bangun Masa Depan Finansial dengan Percaya Diri.</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FHC CTA</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Mulai Financial Health Check</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FHC value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Ketahui kondisi kesehatan finansial Anda melalui analisis yang komprehensif. Estimasi waktu: 5–7 menit.</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WPR</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6"/>
              </w:rPr>
              <w:t>Review strategis atas keseluruhan kekayaan, perlindungan, dan perencanaan Anda.</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Private Advisory</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6"/>
              </w:rPr>
              <w:t>Sesi privat one-on-one bersama Senior Advisor - strategi yang benar-benar terpersonalisasi.</w:t>
            </w:r>
          </w:p>
        </w:tc>
      </w:tr>
    </w:tbl>
    <w:p>
      <w:pPr>
        <w:spacing w:after="20"/>
      </w:pPr>
    </w:p>
    <w:p>
      <w:pPr>
        <w:pStyle w:val="Heading2"/>
        <w:keepNext/>
      </w:pPr>
      <w:r>
        <w:t>19.1 Microcopy Rules</w:t>
      </w:r>
    </w:p>
    <w:p>
      <w:pPr>
        <w:pStyle w:val="ListBullet"/>
        <w:spacing w:after="40"/>
      </w:pPr>
      <w:r>
        <w:t>Use Bahasa Indonesia first; use English labels only where they strengthen the premium/professional system.</w:t>
      </w:r>
    </w:p>
    <w:p>
      <w:pPr>
        <w:pStyle w:val="ListBullet"/>
        <w:spacing w:after="40"/>
      </w:pPr>
      <w:r>
        <w:t>Avoid jargon without explanation.</w:t>
      </w:r>
    </w:p>
    <w:p>
      <w:pPr>
        <w:pStyle w:val="ListBullet"/>
        <w:spacing w:after="40"/>
      </w:pPr>
      <w:r>
        <w:t>Avoid fear-based claims that imply certainty of bad outcomes.</w:t>
      </w:r>
    </w:p>
    <w:p>
      <w:pPr>
        <w:pStyle w:val="ListBullet"/>
        <w:spacing w:after="40"/>
      </w:pPr>
      <w:r>
        <w:t>Prefer “lihat/kenali/pahami/ukur” over “beli/pilih produk” early in the funnel.</w:t>
      </w:r>
    </w:p>
    <w:p>
      <w:pPr>
        <w:pStyle w:val="ListBullet"/>
        <w:spacing w:after="40"/>
      </w:pPr>
      <w:r>
        <w:t>Use consistent terms across page, result, social, and advisor scripts.</w:t>
      </w:r>
    </w:p>
    <w:p>
      <w:pPr>
        <w:pStyle w:val="Heading1"/>
        <w:keepNext/>
      </w:pPr>
      <w:r>
        <w:t>20. People, Roles &amp; Governance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Role</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Core Responsibilities</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Initial Mode</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Founder / Lead Advisor</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Brand, methodology, complex advisory, partner governance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Founder-led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Client Success / Follow-up</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Lead follow-up, booking, reminders, review scheduling</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Lean / part-time initially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Content / Creative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Editorial content, design, distribution, insights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Outsource or internal hybrid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Growth / Performance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Tracking, acquisition, experiments, CRO</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Specialist as needed</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Technical / Product</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Website, FHC, data, security, integrations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Technical partner / agency / developer</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Compliance / Legal</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Copy/product/disclosure/privacy review</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External specialist as needed</w:t>
            </w:r>
          </w:p>
        </w:tc>
      </w:tr>
    </w:tbl>
    <w:p>
      <w:pPr>
        <w:spacing w:after="20"/>
      </w:pPr>
    </w:p>
    <w:p>
      <w:pPr>
        <w:pStyle w:val="Heading2"/>
        <w:keepNext/>
      </w:pPr>
      <w:r>
        <w:t>Governance Rhythm</w:t>
      </w:r>
    </w:p>
    <w:p>
      <w:pPr>
        <w:pStyle w:val="ListBullet"/>
        <w:spacing w:after="40"/>
      </w:pPr>
      <w:r>
        <w:t>Weekly funnel review: traffic → FHC → qualified leads → booked sessions.</w:t>
      </w:r>
    </w:p>
    <w:p>
      <w:pPr>
        <w:pStyle w:val="ListBullet"/>
        <w:spacing w:after="40"/>
      </w:pPr>
      <w:r>
        <w:t>Monthly content + acquisition review.</w:t>
      </w:r>
    </w:p>
    <w:p>
      <w:pPr>
        <w:pStyle w:val="ListBullet"/>
        <w:spacing w:after="40"/>
      </w:pPr>
      <w:r>
        <w:t>Quarterly product/copy/compliance refresh.</w:t>
      </w:r>
    </w:p>
    <w:p>
      <w:pPr>
        <w:pStyle w:val="ListBullet"/>
        <w:spacing w:after="40"/>
      </w:pPr>
      <w:r>
        <w:t>Semiannual strategy review and KPI reset.</w:t>
      </w:r>
    </w:p>
    <w:p>
      <w:pPr>
        <w:pStyle w:val="ListBullet"/>
        <w:spacing w:after="40"/>
      </w:pPr>
      <w:r>
        <w:t>Annual methodology and data-governance review.</w:t>
      </w:r>
    </w:p>
    <w:p>
      <w:pPr>
        <w:pStyle w:val="Heading1"/>
        <w:keepNext/>
      </w:pPr>
      <w:r>
        <w:t>21. Financial Planning &amp; Unit Economics Framework</w:t>
      </w:r>
    </w:p>
    <w:p>
      <w:pPr>
        <w:pStyle w:val="BodyText"/>
      </w:pPr>
      <w:r>
        <w:t>No exact revenue, price, cost, staffing or marketing budget is fixed in the source materials. The correct approach is therefore to establish a unit-economics model before scaling paid acquisition.</w:t>
      </w:r>
    </w:p>
    <w:tbl>
      <w:tblPr>
        <w:tblStyle w:val="TableGrid"/>
        <w:tblW w:type="auto" w:w="0"/>
        <w:jc w:val="center"/>
        <w:tblLook w:firstColumn="1" w:firstRow="1" w:lastColumn="0" w:lastRow="0" w:noHBand="0" w:noVBand="1" w:val="04A0"/>
      </w:tblPr>
      <w:tblGrid>
        <w:gridCol w:w="5040"/>
        <w:gridCol w:w="5040"/>
      </w:tblGrid>
      <w:tr>
        <w:tc>
          <w:tcPr>
            <w:tcW w:type="dxa" w:w="5040"/>
            <w:shd w:fill="08111F"/>
            <w:tcMar>
              <w:top w:w="100" w:type="dxa"/>
              <w:start w:w="120" w:type="dxa"/>
              <w:bottom w:w="100" w:type="dxa"/>
              <w:end w:w="120" w:type="dxa"/>
            </w:tcMar>
          </w:tcPr>
          <w:p>
            <w:pPr>
              <w:spacing w:after="0" w:before="0"/>
              <w:jc w:val="left"/>
            </w:pPr>
            <w:r>
              <w:rPr>
                <w:rFonts w:ascii="Aptos" w:hAnsi="Aptos"/>
                <w:b/>
                <w:color w:val="FFFFFF"/>
                <w:sz w:val="17"/>
              </w:rPr>
              <w:t>Metric</w:t>
            </w:r>
          </w:p>
        </w:tc>
        <w:tc>
          <w:tcPr>
            <w:tcW w:type="dxa" w:w="5040"/>
            <w:shd w:fill="08111F"/>
            <w:tcMar>
              <w:top w:w="100" w:type="dxa"/>
              <w:start w:w="120" w:type="dxa"/>
              <w:bottom w:w="100" w:type="dxa"/>
              <w:end w:w="120" w:type="dxa"/>
            </w:tcMar>
          </w:tcPr>
          <w:p>
            <w:pPr>
              <w:spacing w:after="0" w:before="0"/>
              <w:jc w:val="left"/>
            </w:pPr>
            <w:r>
              <w:rPr>
                <w:rFonts w:ascii="Aptos" w:hAnsi="Aptos"/>
                <w:b/>
                <w:color w:val="FFFFFF"/>
                <w:sz w:val="17"/>
              </w:rPr>
              <w:t>Formula / Definition</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FHC Completion Rate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Completed FHC ÷ FHC Started</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Qualified Lead Rate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Qualified Leads ÷ Completed FHC</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Booking Rate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Booked Sessions ÷ Qualified Leads</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Show-up Rate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Sessions Completed ÷ Sessions Booked</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Implementation Rate</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Implemented Cases ÷ Advisory Opportunities</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Revenue per Lead</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Total recognized revenue ÷ leads attributable to source</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CAC</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Acquisition spend ÷ qualified or implemented customers, depending on management policy</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LTV</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Expected gross contribution across the client relationship</w:t>
            </w:r>
          </w:p>
        </w:tc>
      </w:tr>
      <w:tr>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Payback Period</w:t>
            </w:r>
          </w:p>
        </w:tc>
        <w:tc>
          <w:tcPr>
            <w:tcW w:type="dxa" w:w="5040"/>
            <w:shd w:fill="FAF8F3"/>
            <w:tcMar>
              <w:top w:w="100" w:type="dxa"/>
              <w:start w:w="120" w:type="dxa"/>
              <w:bottom w:w="100" w:type="dxa"/>
              <w:end w:w="120" w:type="dxa"/>
            </w:tcMar>
            <w:vAlign w:val="top"/>
          </w:tcPr>
          <w:p>
            <w:pPr>
              <w:spacing w:after="0" w:before="0"/>
              <w:jc w:val="left"/>
            </w:pPr>
            <w:r>
              <w:rPr>
                <w:rFonts w:ascii="Aptos" w:hAnsi="Aptos"/>
                <w:b w:val="0"/>
                <w:color w:val="182335"/>
                <w:sz w:val="17"/>
              </w:rPr>
              <w:t>CAC ÷ recurring contribution margin per period</w:t>
            </w:r>
          </w:p>
        </w:tc>
      </w:tr>
      <w:tr>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Referral Rate</w:t>
            </w:r>
          </w:p>
        </w:tc>
        <w:tc>
          <w:tcPr>
            <w:tcW w:type="dxa" w:w="5040"/>
            <w:tcMar>
              <w:top w:w="100" w:type="dxa"/>
              <w:start w:w="120" w:type="dxa"/>
              <w:bottom w:w="100" w:type="dxa"/>
              <w:end w:w="120" w:type="dxa"/>
            </w:tcMar>
            <w:vAlign w:val="top"/>
          </w:tcPr>
          <w:p>
            <w:pPr>
              <w:spacing w:after="0" w:before="0"/>
              <w:jc w:val="left"/>
            </w:pPr>
            <w:r>
              <w:rPr>
                <w:rFonts w:ascii="Aptos" w:hAnsi="Aptos"/>
                <w:b w:val="0"/>
                <w:color w:val="182335"/>
                <w:sz w:val="17"/>
              </w:rPr>
              <w:t>Qualified referral leads ÷ existing clients</w:t>
            </w:r>
          </w:p>
        </w:tc>
      </w:tr>
    </w:tbl>
    <w:p>
      <w:pPr>
        <w:spacing w:after="20"/>
      </w:pPr>
    </w:p>
    <w:tbl>
      <w:tblPr>
        <w:tblW w:type="auto" w:w="0"/>
        <w:jc w:val="center"/>
        <w:tblLook w:firstColumn="1" w:firstRow="1" w:lastColumn="0" w:lastRow="0" w:noHBand="0" w:noVBand="1" w:val="04A0"/>
      </w:tblPr>
      <w:tblGrid>
        <w:gridCol w:w="10080"/>
      </w:tblGrid>
      <w:tr>
        <w:tc>
          <w:tcPr>
            <w:tcW w:type="dxa" w:w="10080"/>
            <w:shd w:fill="FAF8F3"/>
            <w:tcMar>
              <w:top w:w="150" w:type="dxa"/>
              <w:start w:w="180" w:type="dxa"/>
              <w:bottom w:w="150" w:type="dxa"/>
              <w:end w:w="180" w:type="dxa"/>
            </w:tcMar>
            <w:tcBorders>
              <w:top w:val="single" w:sz="4" w:color="E8E5DE"/>
              <w:left w:val="single" w:sz="18" w:color="C9A227"/>
              <w:bottom w:val="single" w:sz="4" w:color="E8E5DE"/>
              <w:right w:val="single" w:sz="4" w:color="E8E5DE"/>
            </w:tcBorders>
          </w:tcPr>
          <w:p>
            <w:pPr>
              <w:spacing w:after="80"/>
            </w:pPr>
            <w:r>
              <w:rPr>
                <w:b/>
                <w:color w:val="08111F"/>
                <w:sz w:val="22"/>
              </w:rPr>
              <w:t>MANAGEMENT RULE</w:t>
            </w:r>
          </w:p>
          <w:p>
            <w:pPr>
              <w:spacing w:after="0"/>
            </w:pPr>
            <w:r>
              <w:rPr>
                <w:color w:val="182335"/>
                <w:sz w:val="19"/>
              </w:rPr>
              <w:t>Scale a channel only after it demonstrates acceptable downstream quality. Cheap clicks with poor diagnostic completion or poor qualified-lead yield are not growth.</w:t>
            </w:r>
          </w:p>
        </w:tc>
      </w:tr>
    </w:tbl>
    <w:p/>
    <w:p>
      <w:pPr>
        <w:pStyle w:val="Heading1"/>
        <w:keepNext/>
      </w:pPr>
      <w:r>
        <w:t>22. Website-to-Business Mapping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Website Component</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Business Function</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Business Asset</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Hero + FHC CTA</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Demand capture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FHC™</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Service ladder</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Segmentation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FHC / WPR / Private Advisory</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Method timeline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Differentiation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Safe Future Method™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10-pillar FHC</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Diagnosis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FHC™</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Result page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Insight delivery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Health Report™</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WPR modal</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Qualification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Wealth &amp; Protection Review</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Blueprint explanation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Strategy bridge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Financial Protection Blueprint™</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Solution pages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Implementation education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Partner solutions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Insights</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Trust + SEO</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Content library</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Tools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Utility acquisition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FHC + calculators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Admin dashboard</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Operational control</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Lead/assessment data</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Tanya AI</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Education at scale</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Bounded AI assistant</w:t>
            </w:r>
          </w:p>
        </w:tc>
      </w:tr>
    </w:tbl>
    <w:p>
      <w:pPr>
        <w:spacing w:after="20"/>
      </w:pPr>
    </w:p>
    <w:p>
      <w:pPr>
        <w:pStyle w:val="Heading1"/>
        <w:keepNext/>
      </w:pPr>
      <w:r>
        <w:t>23. Appendix A - Existing Website Reference Snapshot</w:t>
      </w:r>
    </w:p>
    <w:p>
      <w:pPr>
        <w:pStyle w:val="BodyText"/>
      </w:pPr>
      <w:r>
        <w:t>The existing Safe Future website artifact in the Library is “safuturev50_ai_and_products.html”. Its implementation contains a premium design system, a three-level service model, FHC, WPR, Private Advisory, solution modules, admin dashboard, and an AI knowledge base. The website also states that consultations start with a diagnostic approach and that Safe Future is not positioned as a direct product-selling brand.</w:t>
      </w:r>
    </w:p>
    <w:p>
      <w:pPr>
        <w:pStyle w:val="BodyText"/>
      </w:pPr>
      <w:r>
        <w:t>The site currently references WhatsApp as a follow-up path and uses Supabase for data storage/administrative functions. Those implementation details should be preserved only after security and production configuration are independently verified.</w:t>
      </w:r>
    </w:p>
    <w:p>
      <w:pPr>
        <w:pStyle w:val="Heading1"/>
        <w:keepNext/>
      </w:pPr>
      <w:r>
        <w:t>24. Appendix B - Source-Derived Brand &amp; Website Facts</w:t>
      </w:r>
    </w:p>
    <w:p>
      <w:pPr>
        <w:pStyle w:val="ListBullet"/>
        <w:spacing w:after="40"/>
      </w:pPr>
      <w:r>
        <w:t>Company Profile source: Safe Future is positioned as Financial Protection &amp; Wealth Advisory; vision is to become one of Indonesia’s most trusted firms in this field.</w:t>
      </w:r>
    </w:p>
    <w:p>
      <w:pPr>
        <w:pStyle w:val="ListBullet"/>
        <w:spacing w:after="40"/>
      </w:pPr>
      <w:r>
        <w:t>Safe Future Method™: Discover → Diagnose → Design → Recommend → Review.</w:t>
      </w:r>
    </w:p>
    <w:p>
      <w:pPr>
        <w:pStyle w:val="ListBullet"/>
        <w:spacing w:after="40"/>
      </w:pPr>
      <w:r>
        <w:t>FHC framework: 10 financial-health pillars.</w:t>
      </w:r>
    </w:p>
    <w:p>
      <w:pPr>
        <w:pStyle w:val="ListBullet"/>
        <w:spacing w:after="40"/>
      </w:pPr>
      <w:r>
        <w:t>Financial Health Report™ outputs include overall score, diagnosis, priority recommendation, protection gap analysis and financial blueprint.</w:t>
      </w:r>
    </w:p>
    <w:p>
      <w:pPr>
        <w:pStyle w:val="ListBullet"/>
        <w:spacing w:after="40"/>
      </w:pPr>
      <w:r>
        <w:t>Services include financial protection, health protection, critical illness, income protection, retirement, education, estate/legacy, and business protection planning.</w:t>
      </w:r>
    </w:p>
    <w:p>
      <w:pPr>
        <w:pStyle w:val="ListBullet"/>
        <w:spacing w:after="40"/>
      </w:pPr>
      <w:r>
        <w:t>Existing website structure includes Home, About, Services, FHC, Financial Health Report, Protection Blueprint, Insights, Tools, Product Solutions, Contact, and Book Consultation.</w:t>
      </w:r>
    </w:p>
    <w:p>
      <w:pPr>
        <w:pStyle w:val="ListBullet"/>
        <w:spacing w:after="40"/>
      </w:pPr>
      <w:r>
        <w:t>Existing website also includes Level 2 Wealth &amp; Protection Review and Level 3 Private Advisory.</w:t>
      </w:r>
    </w:p>
    <w:p>
      <w:pPr>
        <w:pStyle w:val="Heading1"/>
        <w:keepNext/>
      </w:pPr>
      <w:r>
        <w:t>25. Appendix C - Strategic Decisions to Lock Before Scale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Decision</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Why It Matters</w:t>
            </w:r>
          </w:p>
        </w:tc>
        <w:tc>
          <w:tcPr>
            <w:tcW w:type="dxa" w:w="3360"/>
            <w:shd w:fill="08111F"/>
            <w:tcMar>
              <w:top w:w="100" w:type="dxa"/>
              <w:start w:w="120" w:type="dxa"/>
              <w:bottom w:w="100" w:type="dxa"/>
              <w:end w:w="120" w:type="dxa"/>
            </w:tcMar>
          </w:tcPr>
          <w:p>
            <w:pPr>
              <w:spacing w:after="0" w:before="0"/>
              <w:jc w:val="left"/>
            </w:pPr>
            <w:r>
              <w:rPr>
                <w:rFonts w:ascii="Aptos" w:hAnsi="Aptos"/>
                <w:b/>
                <w:color w:val="FFFFFF"/>
                <w:sz w:val="16"/>
              </w:rPr>
              <w:t>Owner / Status</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Final typography governance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Brand identity has Poppins while website uses Playfair + Inter.</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Founder + designer / TBD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Exact legal entity wording</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Needed for footer, terms, privacy, disclosures.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Founder + legal / TBD</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Partner/agency status wording</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Avoids regulatory ambiguity.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Founder + compliance / TBD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Commercial model</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Clarify WPR/Private Advisory pricing and partner economics.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Founder / TBD</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Lead response SLA</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Directly affects conversion.</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Founder/ops / TBD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Analytics IDs + attribution convention</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Enables true ROI measurement.</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Growth/tech / TBD</w:t>
            </w:r>
          </w:p>
        </w:tc>
      </w:tr>
      <w:tr>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Data retention/deletion policy</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Needed for governance.</w:t>
            </w:r>
          </w:p>
        </w:tc>
        <w:tc>
          <w:tcPr>
            <w:tcW w:type="dxa" w:w="3360"/>
            <w:shd w:fill="FAF8F3"/>
            <w:tcMar>
              <w:top w:w="100" w:type="dxa"/>
              <w:start w:w="120" w:type="dxa"/>
              <w:bottom w:w="100" w:type="dxa"/>
              <w:end w:w="120" w:type="dxa"/>
            </w:tcMar>
            <w:vAlign w:val="top"/>
          </w:tcPr>
          <w:p>
            <w:pPr>
              <w:spacing w:after="0" w:before="0"/>
              <w:jc w:val="left"/>
            </w:pPr>
            <w:r>
              <w:rPr>
                <w:rFonts w:ascii="Aptos" w:hAnsi="Aptos"/>
                <w:b w:val="0"/>
                <w:color w:val="182335"/>
                <w:sz w:val="16"/>
              </w:rPr>
              <w:t>Founder + tech/legal / TBD</w:t>
            </w:r>
          </w:p>
        </w:tc>
      </w:tr>
      <w:tr>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Final product fact sheets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Prevents stale claims.</w:t>
            </w:r>
          </w:p>
        </w:tc>
        <w:tc>
          <w:tcPr>
            <w:tcW w:type="dxa" w:w="3360"/>
            <w:tcMar>
              <w:top w:w="100" w:type="dxa"/>
              <w:start w:w="120" w:type="dxa"/>
              <w:bottom w:w="100" w:type="dxa"/>
              <w:end w:w="120" w:type="dxa"/>
            </w:tcMar>
            <w:vAlign w:val="top"/>
          </w:tcPr>
          <w:p>
            <w:pPr>
              <w:spacing w:after="0" w:before="0"/>
              <w:jc w:val="left"/>
            </w:pPr>
            <w:r>
              <w:rPr>
                <w:rFonts w:ascii="Aptos" w:hAnsi="Aptos"/>
                <w:b w:val="0"/>
                <w:color w:val="182335"/>
                <w:sz w:val="16"/>
              </w:rPr>
              <w:t>Partner/compliance / TBD</w:t>
            </w:r>
          </w:p>
        </w:tc>
      </w:tr>
    </w:tbl>
    <w:p>
      <w:pPr>
        <w:spacing w:after="20"/>
      </w:pPr>
    </w:p>
    <w:p>
      <w:pPr>
        <w:pStyle w:val="Heading1"/>
        <w:keepNext/>
      </w:pPr>
      <w:r>
        <w:t>26. Final Strategic Blueprint</w:t>
      </w:r>
    </w:p>
    <w:tbl>
      <w:tblPr>
        <w:tblW w:type="auto" w:w="0"/>
        <w:jc w:val="center"/>
        <w:tblLook w:firstColumn="1" w:firstRow="1" w:lastColumn="0" w:lastRow="0" w:noHBand="0" w:noVBand="1" w:val="04A0"/>
      </w:tblPr>
      <w:tblGrid>
        <w:gridCol w:w="10080"/>
      </w:tblGrid>
      <w:tr>
        <w:tc>
          <w:tcPr>
            <w:tcW w:type="dxa" w:w="10080"/>
            <w:shd w:fill="08111F"/>
            <w:tcMar>
              <w:top w:w="150" w:type="dxa"/>
              <w:start w:w="180" w:type="dxa"/>
              <w:bottom w:w="150" w:type="dxa"/>
              <w:end w:w="180" w:type="dxa"/>
            </w:tcMar>
            <w:tcBorders>
              <w:top w:val="single" w:sz="4" w:color="E8E5DE"/>
              <w:left w:val="single" w:sz="18" w:color="E9C766"/>
              <w:bottom w:val="single" w:sz="4" w:color="E8E5DE"/>
              <w:right w:val="single" w:sz="4" w:color="E8E5DE"/>
            </w:tcBorders>
          </w:tcPr>
          <w:p>
            <w:pPr>
              <w:spacing w:after="80"/>
            </w:pPr>
            <w:r>
              <w:rPr>
                <w:b/>
                <w:color w:val="08111F"/>
                <w:sz w:val="22"/>
              </w:rPr>
              <w:t>ONE-SENTENCE BUSINESS MODEL</w:t>
            </w:r>
          </w:p>
          <w:p>
            <w:pPr>
              <w:spacing w:after="0"/>
            </w:pPr>
            <w:r>
              <w:rPr>
                <w:color w:val="182335"/>
                <w:sz w:val="19"/>
              </w:rPr>
              <w:t>Safe Future is a diagnosis-first Financial Protection &amp; Wealth Advisory brand that uses a free digital Financial Health Check™ as its mass-market entry point, proprietary reporting and blueprint as its trust/strategy layer, and tiered advisory + appropriate partner solutions + recurring reviews as its relationship and monetization engine.</w:t>
            </w:r>
          </w:p>
        </w:tc>
      </w:tr>
    </w:tbl>
    <w:p/>
    <w:p>
      <w:pPr>
        <w:pStyle w:val="Heading2"/>
        <w:keepNext/>
      </w:pPr>
      <w:r>
        <w:t>The sequence that should govern every future build</w:t>
      </w:r>
    </w:p>
    <w:p>
      <w:pPr>
        <w:spacing w:after="40"/>
        <w:ind w:left="259" w:hanging="259"/>
      </w:pPr>
      <w:r>
        <w:t>1. Build trust before selling.</w:t>
      </w:r>
    </w:p>
    <w:p>
      <w:pPr>
        <w:spacing w:after="40"/>
        <w:ind w:left="259" w:hanging="259"/>
      </w:pPr>
      <w:r>
        <w:t>2. Build diagnosis before recommendation.</w:t>
      </w:r>
    </w:p>
    <w:p>
      <w:pPr>
        <w:spacing w:after="40"/>
        <w:ind w:left="259" w:hanging="259"/>
      </w:pPr>
      <w:r>
        <w:t>3. Build proprietary methodology before dependence on products.</w:t>
      </w:r>
    </w:p>
    <w:p>
      <w:pPr>
        <w:spacing w:after="40"/>
        <w:ind w:left="259" w:hanging="259"/>
      </w:pPr>
      <w:r>
        <w:t>4. Build a measurable funnel before scaling advertising.</w:t>
      </w:r>
    </w:p>
    <w:p>
      <w:pPr>
        <w:spacing w:after="40"/>
        <w:ind w:left="259" w:hanging="259"/>
      </w:pPr>
      <w:r>
        <w:t>5. Build client value before monetization pressure.</w:t>
      </w:r>
    </w:p>
    <w:p>
      <w:pPr>
        <w:spacing w:after="40"/>
        <w:ind w:left="259" w:hanging="259"/>
      </w:pPr>
      <w:r>
        <w:t>6. Build recurring review before chasing one-off transactions.</w:t>
      </w:r>
    </w:p>
    <w:p>
      <w:pPr>
        <w:spacing w:after="40"/>
        <w:ind w:left="259" w:hanging="259"/>
      </w:pPr>
      <w:r>
        <w:t>7. Build data governance before expanding AI.</w:t>
      </w:r>
    </w:p>
    <w:p>
      <w:pPr>
        <w:spacing w:after="40"/>
        <w:ind w:left="259" w:hanging="259"/>
      </w:pPr>
      <w:r>
        <w:t>8. Build systems and SOPs before scaling people.</w:t>
      </w:r>
    </w:p>
    <w:p>
      <w:pPr>
        <w:pStyle w:val="BodyText"/>
      </w:pPr>
      <w:r>
        <w:t>The most important strategic constraint is simple: Safe Future should remain valuable even when a specific product, carrier, campaign, platform or technology changes. The durable asset is the combination of trust + methodology + diagnostic experience + human advisory + digital infrastructure.</w:t>
      </w:r>
    </w:p>
    <w:p>
      <w:pPr>
        <w:pStyle w:val="Heading1"/>
        <w:keepNext/>
      </w:pPr>
      <w:r>
        <w:t>Source Notes</w:t>
      </w:r>
    </w:p>
    <w:p>
      <w:pPr>
        <w:pStyle w:val="BodyText"/>
      </w:pPr>
      <w:r>
        <w:t>Primary internal sources consulted: “Company Profile &amp; Brand Identity - Safe Future.pdf” and its duplicate library versions; “safuturev50_ai_and_products.html”; “safuturev44_real_ai_no_anonymous.html”; “safuturev45_ai_and_protection_fixed.html”; and Safe Future social/content image artifacts in the conversation/library. Current regulatory context checked against OJK and JDIH sources for consumer protection and Indonesian personal-data law.</w:t>
      </w:r>
    </w:p>
    <w:p>
      <w:pPr>
        <w:pStyle w:val="BodyText"/>
      </w:pPr>
      <w:r>
        <w:t>Source-backed claims are kept aligned with the documents. Strategic recommendations are explicitly framed as recommendations or future-state requirements rather than existing facts.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86"/>
        <w:sz w:val="16"/>
      </w:rPr>
      <w:t>Confidential • Strategic Working Document • Safe Future</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87386"/>
        <w:sz w:val="16"/>
      </w:rPr>
      <w:t>SAFE FUTURE  |  MASTER BUSINESS PLAN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823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8111F"/>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8111F"/>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C9A2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11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8738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1" w:lineRule="auto"/>
    </w:pPr>
    <w:rPr>
      <w:rFonts w:ascii="Aptos" w:hAnsi="Aptos"/>
      <w:color w:val="182335"/>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Future — Master Business Plan 2026</dc:title>
  <dc:subject>Strategic Blueprint • Business Model • Website Product Blueprint • Growth Engine • Operations • Compliance • Roadmap</dc:subject>
  <dc:creator>Safe Future</dc:creator>
  <cp:keywords>Safe Future, Financial Protection, Wealth Advisory, Financial Health Check, Business Plan, Website Blueprint</cp:keywords>
  <dc:description>generated by python-docx</dc:description>
  <cp:lastModifiedBy/>
  <cp:revision>1</cp:revision>
  <dcterms:created xsi:type="dcterms:W3CDTF">2013-12-23T23:15:00Z</dcterms:created>
  <dcterms:modified xsi:type="dcterms:W3CDTF">2013-12-23T23:15:00Z</dcterms:modified>
  <cp:category/>
</cp:coreProperties>
</file>