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Q.G.Xalimov</w:t>
        <w:br/>
        <w:t>Abdulhamid Cho‘lpon tomonidan salkam bir asr avval yozilgan «Taraqqiy» maqolasida o‘z tarixiga qiziqmaydigan, o‘z tilini hurmat qilmaydigan, o‘yinqaroqroq (hozirgi kunlarning ba’zi faollari tomonidan «ma’naviyatsiz», «ma’naviyatdan uzoq» deya ta’riflanish</w:t>
      </w:r>
    </w:p>
    <w:p>
      <w:pPr>
        <w:pStyle w:val="Heading2"/>
      </w:pPr>
      <w:r>
        <w:t xml:space="preserve"> E.K.Xusanov</w:t>
        <w:br/>
        <w:t>Bo‘yoqli suvlar</w:t>
      </w:r>
    </w:p>
    <w:p>
      <w:pPr>
        <w:pStyle w:val="Heading2"/>
      </w:pPr>
      <w:r>
        <w:t xml:space="preserve"> E.K.Xusanov</w:t>
        <w:br/>
        <w:t>San’atkor</w:t>
      </w:r>
    </w:p>
    <w:p>
      <w:pPr>
        <w:pStyle w:val="Heading2"/>
      </w:pPr>
      <w:r>
        <w:t xml:space="preserve"> S.G.Xalimov</w:t>
        <w:br/>
        <w:t>Yig‘indi gaplar</w:t>
      </w:r>
    </w:p>
    <w:p>
      <w:pPr>
        <w:pStyle w:val="Heading2"/>
      </w:pPr>
      <w:r>
        <w:t xml:space="preserve"> S.G.Xalimov</w:t>
        <w:br/>
        <w:t>Test</w:t>
      </w:r>
    </w:p>
    <w:p>
      <w:pPr>
        <w:pStyle w:val="Heading2"/>
      </w:pPr>
      <w:r>
        <w:t xml:space="preserve"> S.J.To'rayev</w:t>
        <w:br/>
        <w:t>asssassas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