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Calibri" w:cs="Calibri" w:eastAsia="Calibri" w:hAnsi="Calibri"/>
          <w:b/>
          <w:bCs/>
          <w:color w:val="1565C0"/>
          <w:sz w:val="40"/>
          <w:szCs w:val="40"/>
        </w:rPr>
        <w:t xml:space="preserve">Healthcare Readmission Risk Platform</w:t>
      </w:r>
    </w:p>
    <w:p>
      <w:pPr>
        <w:spacing w:after="80"/>
        <w:jc w:val="center"/>
      </w:pPr>
      <w:r>
        <w:rPr>
          <w:rFonts w:ascii="Calibri" w:cs="Calibri" w:eastAsia="Calibri" w:hAnsi="Calibri"/>
          <w:color w:val="455A64"/>
          <w:sz w:val="26"/>
          <w:szCs w:val="26"/>
        </w:rPr>
        <w:t xml:space="preserve">Integrative Industry AI Systems Synthesis — Project 7</w:t>
      </w:r>
    </w:p>
    <w:p>
      <w:pPr>
        <w:spacing w:after="480"/>
        <w:jc w:val="center"/>
      </w:pPr>
      <w:r>
        <w:rPr>
          <w:rFonts w:ascii="Calibri" w:cs="Calibri" w:eastAsia="Calibri" w:hAnsi="Calibri"/>
          <w:i/>
          <w:iCs/>
          <w:color w:val="78909C"/>
          <w:sz w:val="24"/>
          <w:szCs w:val="24"/>
        </w:rPr>
        <w:t xml:space="preserve">Reflective Synthesis Paper</w:t>
      </w:r>
    </w:p>
    <w:p>
      <w:pPr>
        <w:pStyle w:val="Heading1"/>
        <w:spacing w:after="100" w:before="400"/>
      </w:pPr>
      <w:r>
        <w:t xml:space="preserve">1. Industry Context and Problem Definition</w:t>
      </w:r>
    </w:p>
    <w:p>
      <w:pPr>
        <w:spacing w:after="160"/>
        <w:jc w:val="both"/>
      </w:pPr>
      <w:r>
        <w:rPr>
          <w:rFonts w:ascii="Calibri" w:cs="Calibri" w:eastAsia="Calibri" w:hAnsi="Calibri"/>
          <w:sz w:val="24"/>
          <w:szCs w:val="24"/>
        </w:rPr>
        <w:t xml:space="preserve">The United States healthcare system faces a persistent and costly challenge: unplanned 30-day hospital readmissions. Approximately 15% of Medicare patients are readmitted within 30 days of discharge, generating an estimated $26 billion in avoidable expenditures annually (Jencks, Williams, &amp; Coleman, 2009). The Centers for Medicare and Medicaid Services (CMS) penalizes hospitals with above-average readmission rates under the Hospital Readmissions Reduction Program (HRRP), creating strong institutional incentives to intervene proactively at the point of discharge.</w:t>
      </w:r>
    </w:p>
    <w:p>
      <w:pPr>
        <w:spacing w:after="160"/>
        <w:jc w:val="both"/>
      </w:pPr>
      <w:r>
        <w:rPr>
          <w:rFonts w:ascii="Calibri" w:cs="Calibri" w:eastAsia="Calibri" w:hAnsi="Calibri"/>
          <w:sz w:val="24"/>
          <w:szCs w:val="24"/>
        </w:rPr>
        <w:t xml:space="preserve">The problem is well-suited to AI-based solutions for three reasons. First, readmission risk is influenced by a large number of interacting variables — patient age, comorbidities, medication burden, prior utilization history, and social determinants of health — that exceed the capacity of simple clinical scoring rules. Second, electronic health record (EHR) systems now routinely capture the features needed to operationalize a predictive model. Third, the action triggered by a prediction (scheduling a follow-up call, arranging home health, alerting a care manager) is structured and automatable, making the domain amenable to agentic AI orchestration.</w:t>
      </w:r>
    </w:p>
    <w:p>
      <w:pPr>
        <w:spacing w:after="160"/>
        <w:jc w:val="both"/>
      </w:pPr>
      <w:r>
        <w:rPr>
          <w:rFonts w:ascii="Calibri" w:cs="Calibri" w:eastAsia="Calibri" w:hAnsi="Calibri"/>
          <w:sz w:val="24"/>
          <w:szCs w:val="24"/>
        </w:rPr>
        <w:t xml:space="preserve">The primary ethical concern in this domain is equitable application. Insurance type and other socioeconomic proxies correlate with race and ethnicity; a model trained on these features without explicit fairness auditing may systematically disadvantage already-underserved populations. This concern is addressed in the Ethical Considerations section.</w:t>
      </w:r>
    </w:p>
    <w:p>
      <w:pPr>
        <w:spacing w:after="100"/>
      </w:pPr>
    </w:p>
    <w:p>
      <w:pPr>
        <w:pStyle w:val="Heading1"/>
        <w:spacing w:after="100" w:before="400"/>
      </w:pPr>
      <w:r>
        <w:t xml:space="preserve">2. Overview of the Integrated Solution</w:t>
      </w:r>
    </w:p>
    <w:p>
      <w:pPr>
        <w:spacing w:after="160"/>
        <w:jc w:val="both"/>
      </w:pPr>
      <w:r>
        <w:rPr>
          <w:rFonts w:ascii="Calibri" w:cs="Calibri" w:eastAsia="Calibri" w:hAnsi="Calibri"/>
          <w:sz w:val="24"/>
          <w:szCs w:val="24"/>
        </w:rPr>
        <w:t xml:space="preserve">The Healthcare Readmission Risk Platform is a five-layer AI pipeline that integrates methods from five prior capstone projects into a single, cohesive clinical decision-support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565C0" w:color="1565C0" w:val="clear"/>
          </w:tcPr>
          <w:p>
            <w:r>
              <w:rPr>
                <w:rFonts w:ascii="Calibri" w:cs="Calibri" w:eastAsia="Calibri" w:hAnsi="Calibri"/>
                <w:b/>
                <w:bCs/>
                <w:color w:val="FFFFFF"/>
                <w:sz w:val="22"/>
                <w:szCs w:val="22"/>
              </w:rPr>
              <w:t xml:space="preserve">Layer</w:t>
            </w:r>
          </w:p>
        </w:tc>
        <w:tc>
          <w:tcPr>
            <w:tcW w:type="dxa" w:w="3000"/>
            <w:shd w:fill="1565C0" w:color="1565C0" w:val="clear"/>
          </w:tcPr>
          <w:p>
            <w:r>
              <w:rPr>
                <w:rFonts w:ascii="Calibri" w:cs="Calibri" w:eastAsia="Calibri" w:hAnsi="Calibri"/>
                <w:b/>
                <w:bCs/>
                <w:color w:val="FFFFFF"/>
                <w:sz w:val="22"/>
                <w:szCs w:val="22"/>
              </w:rPr>
              <w:t xml:space="preserve">Prior Project</w:t>
            </w:r>
          </w:p>
        </w:tc>
        <w:tc>
          <w:tcPr>
            <w:tcW w:type="dxa" w:w="3000"/>
            <w:shd w:fill="1565C0" w:color="1565C0" w:val="clear"/>
          </w:tcPr>
          <w:p>
            <w:r>
              <w:rPr>
                <w:rFonts w:ascii="Calibri" w:cs="Calibri" w:eastAsia="Calibri" w:hAnsi="Calibri"/>
                <w:b/>
                <w:bCs/>
                <w:color w:val="FFFFFF"/>
                <w:sz w:val="22"/>
                <w:szCs w:val="22"/>
              </w:rPr>
              <w:t xml:space="preserve">Function</w:t>
            </w:r>
          </w:p>
        </w:tc>
      </w:tr>
      <w:tr>
        <w:tc>
          <w:tcPr>
            <w:tcW w:type="dxa" w:w="3000"/>
            <w:shd w:fill="E3F2FD" w:color="E3F2FD" w:val="clear"/>
          </w:tcPr>
          <w:p>
            <w:r>
              <w:rPr>
                <w:rFonts w:ascii="Calibri" w:cs="Calibri" w:eastAsia="Calibri" w:hAnsi="Calibri"/>
                <w:sz w:val="22"/>
                <w:szCs w:val="22"/>
              </w:rPr>
              <w:t xml:space="preserve">1 — EDA &amp; Feature Engineering</w:t>
            </w:r>
          </w:p>
        </w:tc>
        <w:tc>
          <w:tcPr>
            <w:tcW w:type="dxa" w:w="3000"/>
            <w:shd w:fill="E3F2FD" w:color="E3F2FD" w:val="clear"/>
          </w:tcPr>
          <w:p>
            <w:r>
              <w:rPr>
                <w:rFonts w:ascii="Calibri" w:cs="Calibri" w:eastAsia="Calibri" w:hAnsi="Calibri"/>
                <w:sz w:val="22"/>
                <w:szCs w:val="22"/>
              </w:rPr>
              <w:t xml:space="preserve">Project 1 — Data &amp; Statistical Reasoning</w:t>
            </w:r>
          </w:p>
        </w:tc>
        <w:tc>
          <w:tcPr>
            <w:tcW w:type="dxa" w:w="3000"/>
            <w:shd w:fill="E3F2FD" w:color="E3F2FD" w:val="clear"/>
          </w:tcPr>
          <w:p>
            <w:r>
              <w:rPr>
                <w:rFonts w:ascii="Calibri" w:cs="Calibri" w:eastAsia="Calibri" w:hAnsi="Calibri"/>
                <w:sz w:val="22"/>
                <w:szCs w:val="22"/>
              </w:rPr>
              <w:t xml:space="preserve">Explore EHR distributions, engineer the risk_index composite feature, scale inputs</w:t>
            </w:r>
          </w:p>
        </w:tc>
      </w:tr>
      <w:tr>
        <w:tc>
          <w:tcPr>
            <w:tcW w:type="dxa" w:w="3000"/>
            <w:shd w:fill="FFFFFF" w:color="FFFFFF" w:val="clear"/>
          </w:tcPr>
          <w:p>
            <w:r>
              <w:rPr>
                <w:rFonts w:ascii="Calibri" w:cs="Calibri" w:eastAsia="Calibri" w:hAnsi="Calibri"/>
                <w:sz w:val="22"/>
                <w:szCs w:val="22"/>
              </w:rPr>
              <w:t xml:space="preserve">2 — ML Classifiers</w:t>
            </w:r>
          </w:p>
        </w:tc>
        <w:tc>
          <w:tcPr>
            <w:tcW w:type="dxa" w:w="3000"/>
            <w:shd w:fill="FFFFFF" w:color="FFFFFF" w:val="clear"/>
          </w:tcPr>
          <w:p>
            <w:r>
              <w:rPr>
                <w:rFonts w:ascii="Calibri" w:cs="Calibri" w:eastAsia="Calibri" w:hAnsi="Calibri"/>
                <w:sz w:val="22"/>
                <w:szCs w:val="22"/>
              </w:rPr>
              <w:t xml:space="preserve">Project 2 — Machine Learning</w:t>
            </w:r>
          </w:p>
        </w:tc>
        <w:tc>
          <w:tcPr>
            <w:tcW w:type="dxa" w:w="3000"/>
            <w:shd w:fill="FFFFFF" w:color="FFFFFF" w:val="clear"/>
          </w:tcPr>
          <w:p>
            <w:r>
              <w:rPr>
                <w:rFonts w:ascii="Calibri" w:cs="Calibri" w:eastAsia="Calibri" w:hAnsi="Calibri"/>
                <w:sz w:val="22"/>
                <w:szCs w:val="22"/>
              </w:rPr>
              <w:t xml:space="preserve">Train Logistic Regression, Random Forest, and Gradient Boosting; select best model by AUC</w:t>
            </w:r>
          </w:p>
        </w:tc>
      </w:tr>
      <w:tr>
        <w:tc>
          <w:tcPr>
            <w:tcW w:type="dxa" w:w="3000"/>
            <w:shd w:fill="E3F2FD" w:color="E3F2FD" w:val="clear"/>
          </w:tcPr>
          <w:p>
            <w:r>
              <w:rPr>
                <w:rFonts w:ascii="Calibri" w:cs="Calibri" w:eastAsia="Calibri" w:hAnsi="Calibri"/>
                <w:sz w:val="22"/>
                <w:szCs w:val="22"/>
              </w:rPr>
              <w:t xml:space="preserve">3 — Deep Learning Refinement</w:t>
            </w:r>
          </w:p>
        </w:tc>
        <w:tc>
          <w:tcPr>
            <w:tcW w:type="dxa" w:w="3000"/>
            <w:shd w:fill="E3F2FD" w:color="E3F2FD" w:val="clear"/>
          </w:tcPr>
          <w:p>
            <w:r>
              <w:rPr>
                <w:rFonts w:ascii="Calibri" w:cs="Calibri" w:eastAsia="Calibri" w:hAnsi="Calibri"/>
                <w:sz w:val="22"/>
                <w:szCs w:val="22"/>
              </w:rPr>
              <w:t xml:space="preserve">Project 3 — Deep Learning</w:t>
            </w:r>
          </w:p>
        </w:tc>
        <w:tc>
          <w:tcPr>
            <w:tcW w:type="dxa" w:w="3000"/>
            <w:shd w:fill="E3F2FD" w:color="E3F2FD" w:val="clear"/>
          </w:tcPr>
          <w:p>
            <w:r>
              <w:rPr>
                <w:rFonts w:ascii="Calibri" w:cs="Calibri" w:eastAsia="Calibri" w:hAnsi="Calibri"/>
                <w:sz w:val="22"/>
                <w:szCs w:val="22"/>
              </w:rPr>
              <w:t xml:space="preserve">Train a multilayer perceptron (MLP) to capture non-linear interaction effects</w:t>
            </w:r>
          </w:p>
        </w:tc>
      </w:tr>
      <w:tr>
        <w:tc>
          <w:tcPr>
            <w:tcW w:type="dxa" w:w="3000"/>
            <w:shd w:fill="FFFFFF" w:color="FFFFFF" w:val="clear"/>
          </w:tcPr>
          <w:p>
            <w:r>
              <w:rPr>
                <w:rFonts w:ascii="Calibri" w:cs="Calibri" w:eastAsia="Calibri" w:hAnsi="Calibri"/>
                <w:sz w:val="22"/>
                <w:szCs w:val="22"/>
              </w:rPr>
              <w:t xml:space="preserve">4 — Generative AI Explanations</w:t>
            </w:r>
          </w:p>
        </w:tc>
        <w:tc>
          <w:tcPr>
            <w:tcW w:type="dxa" w:w="3000"/>
            <w:shd w:fill="FFFFFF" w:color="FFFFFF" w:val="clear"/>
          </w:tcPr>
          <w:p>
            <w:r>
              <w:rPr>
                <w:rFonts w:ascii="Calibri" w:cs="Calibri" w:eastAsia="Calibri" w:hAnsi="Calibri"/>
                <w:sz w:val="22"/>
                <w:szCs w:val="22"/>
              </w:rPr>
              <w:t xml:space="preserve">Project 5 — Generative AI</w:t>
            </w:r>
          </w:p>
        </w:tc>
        <w:tc>
          <w:tcPr>
            <w:tcW w:type="dxa" w:w="3000"/>
            <w:shd w:fill="FFFFFF" w:color="FFFFFF" w:val="clear"/>
          </w:tcPr>
          <w:p>
            <w:r>
              <w:rPr>
                <w:rFonts w:ascii="Calibri" w:cs="Calibri" w:eastAsia="Calibri" w:hAnsi="Calibri"/>
                <w:sz w:val="22"/>
                <w:szCs w:val="22"/>
              </w:rPr>
              <w:t xml:space="preserve">Produce plain-language patient risk summaries for care team consumption</w:t>
            </w:r>
          </w:p>
        </w:tc>
      </w:tr>
      <w:tr>
        <w:tc>
          <w:tcPr>
            <w:tcW w:type="dxa" w:w="3000"/>
            <w:shd w:fill="E3F2FD" w:color="E3F2FD" w:val="clear"/>
          </w:tcPr>
          <w:p>
            <w:r>
              <w:rPr>
                <w:rFonts w:ascii="Calibri" w:cs="Calibri" w:eastAsia="Calibri" w:hAnsi="Calibri"/>
                <w:sz w:val="22"/>
                <w:szCs w:val="22"/>
              </w:rPr>
              <w:t xml:space="preserve">5 — Agentic Triage Workflow</w:t>
            </w:r>
          </w:p>
        </w:tc>
        <w:tc>
          <w:tcPr>
            <w:tcW w:type="dxa" w:w="3000"/>
            <w:shd w:fill="E3F2FD" w:color="E3F2FD" w:val="clear"/>
          </w:tcPr>
          <w:p>
            <w:r>
              <w:rPr>
                <w:rFonts w:ascii="Calibri" w:cs="Calibri" w:eastAsia="Calibri" w:hAnsi="Calibri"/>
                <w:sz w:val="22"/>
                <w:szCs w:val="22"/>
              </w:rPr>
              <w:t xml:space="preserve">Project 6 — Agentic AI</w:t>
            </w:r>
          </w:p>
        </w:tc>
        <w:tc>
          <w:tcPr>
            <w:tcW w:type="dxa" w:w="3000"/>
            <w:shd w:fill="E3F2FD" w:color="E3F2FD" w:val="clear"/>
          </w:tcPr>
          <w:p>
            <w:r>
              <w:rPr>
                <w:rFonts w:ascii="Calibri" w:cs="Calibri" w:eastAsia="Calibri" w:hAnsi="Calibri"/>
                <w:sz w:val="22"/>
                <w:szCs w:val="22"/>
              </w:rPr>
              <w:t xml:space="preserve">Orchestrate the discharge queue: retrieve, score, tier, explain, dispatch</w:t>
            </w:r>
          </w:p>
        </w:tc>
      </w:tr>
    </w:tbl>
    <w:p>
      <w:pPr>
        <w:spacing w:after="100"/>
      </w:pPr>
    </w:p>
    <w:p>
      <w:pPr>
        <w:spacing w:after="160"/>
        <w:jc w:val="both"/>
      </w:pPr>
      <w:r>
        <w:rPr>
          <w:rFonts w:ascii="Calibri" w:cs="Calibri" w:eastAsia="Calibri" w:hAnsi="Calibri"/>
          <w:sz w:val="24"/>
          <w:szCs w:val="24"/>
        </w:rPr>
        <w:t xml:space="preserve">Layers 2 and 3 are combined into a weighted ensemble (60% ML / 40% DL) that consistently outperforms either component alone, achieving an AUC of approximately 0.79 on held-out test data. The ensemble output feeds Layer 4, which generates a structured clinical summary for each patient. Layer 5 closes the loop by dispatching a tier-specific care action — intensive follow-up for high-risk patients, standard discharge for low-risk patients.</w:t>
      </w:r>
    </w:p>
    <w:p>
      <w:pPr>
        <w:spacing w:after="100"/>
      </w:pPr>
    </w:p>
    <w:p>
      <w:pPr>
        <w:pStyle w:val="Heading1"/>
        <w:spacing w:after="100" w:before="400"/>
      </w:pPr>
      <w:r>
        <w:t xml:space="preserve">3. Integration of Prior Projects and Methods</w:t>
      </w:r>
    </w:p>
    <w:p>
      <w:pPr>
        <w:pStyle w:val="Heading2"/>
        <w:spacing w:after="80" w:before="240"/>
      </w:pPr>
      <w:r>
        <w:t xml:space="preserve">Project 1 — Data and Statistical Reasoning</w:t>
      </w:r>
    </w:p>
    <w:p>
      <w:pPr>
        <w:spacing w:after="160"/>
        <w:jc w:val="both"/>
      </w:pPr>
      <w:r>
        <w:rPr>
          <w:rFonts w:ascii="Calibri" w:cs="Calibri" w:eastAsia="Calibri" w:hAnsi="Calibri"/>
          <w:sz w:val="24"/>
          <w:szCs w:val="24"/>
        </w:rPr>
        <w:t xml:space="preserve">The exploratory analysis in Project 1 established which variables carry the strongest signal for adverse outcomes. The finding that prior admission count and CHF diagnosis each contributed independently to adverse events directly motivated their inclusion as the highest-weighted components of the risk_index feature. The histogram-by-outcome visualization pattern was reused verbatim in Layer 1 of this system to confirm that the synthetic dataset replicates known clinical distributions.</w:t>
      </w:r>
    </w:p>
    <w:p>
      <w:pPr>
        <w:pStyle w:val="Heading2"/>
        <w:spacing w:after="80" w:before="240"/>
      </w:pPr>
      <w:r>
        <w:t xml:space="preserve">Project 2 — Machine Learning</w:t>
      </w:r>
    </w:p>
    <w:p>
      <w:pPr>
        <w:spacing w:after="160"/>
        <w:jc w:val="both"/>
      </w:pPr>
      <w:r>
        <w:rPr>
          <w:rFonts w:ascii="Calibri" w:cs="Calibri" w:eastAsia="Calibri" w:hAnsi="Calibri"/>
          <w:sz w:val="24"/>
          <w:szCs w:val="24"/>
        </w:rPr>
        <w:t xml:space="preserve">The model selection workflow from Project 2 — training multiple classifiers, evaluating by AUC, selecting the best performer, and examining feature importance — is reproduced as Layer 2. The class_weight="balanced" hyper-parameter, first used in Project 2 to handle imbalanced clinical outcome data, is carried forward here for the same reason: readmission is a minority event (~28% base rate).</w:t>
      </w:r>
    </w:p>
    <w:p>
      <w:pPr>
        <w:pStyle w:val="Heading2"/>
        <w:spacing w:after="80" w:before="240"/>
      </w:pPr>
      <w:r>
        <w:t xml:space="preserve">Project 3 — Deep Learning</w:t>
      </w:r>
    </w:p>
    <w:p>
      <w:pPr>
        <w:spacing w:after="160"/>
        <w:jc w:val="both"/>
      </w:pPr>
      <w:r>
        <w:rPr>
          <w:rFonts w:ascii="Calibri" w:cs="Calibri" w:eastAsia="Calibri" w:hAnsi="Calibri"/>
          <w:sz w:val="24"/>
          <w:szCs w:val="24"/>
        </w:rPr>
        <w:t xml:space="preserve">Project 3 introduced the multilayer perceptron architecture and early-stopping regularisation strategy that appear in Layer 3. The specific layer dimensions (64→32→16→1) were adapted from the architecture validated in Project 3, with dropout rates tuned upward to account for the smaller dataset size. Project 3 also established the practice of reporting training loss curves to confirm model convergence, reproduced here in the DL diagnostics section.</w:t>
      </w:r>
    </w:p>
    <w:p>
      <w:pPr>
        <w:pStyle w:val="Heading2"/>
        <w:spacing w:after="80" w:before="240"/>
      </w:pPr>
      <w:r>
        <w:t xml:space="preserve">Project 5 — Generative AI</w:t>
      </w:r>
    </w:p>
    <w:p>
      <w:pPr>
        <w:spacing w:after="160"/>
        <w:jc w:val="both"/>
      </w:pPr>
      <w:r>
        <w:rPr>
          <w:rFonts w:ascii="Calibri" w:cs="Calibri" w:eastAsia="Calibri" w:hAnsi="Calibri"/>
          <w:sz w:val="24"/>
          <w:szCs w:val="24"/>
        </w:rPr>
        <w:t xml:space="preserve">The patient summary function in Layer 4 is structured as a prompt-completion interface, directly reflecting the prompt engineering patterns developed in Project 5. The template includes the three elements found most effective in Project 5: (1) a structured header with risk level and probability, (2) a brief explanation of contributing factors in plain language, and (3) a mandatory clinician-review disclaimer. In a production system, the template is replaced by an LLM API call (e.g., to a HIPAA-compliant deployment of a foundational model); the interface remains identical.</w:t>
      </w:r>
    </w:p>
    <w:p>
      <w:pPr>
        <w:pStyle w:val="Heading2"/>
        <w:spacing w:after="80" w:before="240"/>
      </w:pPr>
      <w:r>
        <w:t xml:space="preserve">Project 6 — Agentic AI</w:t>
      </w:r>
    </w:p>
    <w:p>
      <w:pPr>
        <w:spacing w:after="160"/>
        <w:jc w:val="both"/>
      </w:pPr>
      <w:r>
        <w:rPr>
          <w:rFonts w:ascii="Calibri" w:cs="Calibri" w:eastAsia="Calibri" w:hAnsi="Calibri"/>
          <w:sz w:val="24"/>
          <w:szCs w:val="24"/>
        </w:rPr>
        <w:t xml:space="preserve">The agentic orchestration loop in Layer 5 directly extends the tool-calling workflow designed in Project 6. Each "tool" corresponds to one pipeline step (retrieve, score, tier, explain, dispatch), and the agent iterates over a patient queue rather than responding to a single prompt. This mirrors the multi-step, stateful agent pattern from Project 6, where a planning loop coordinated a sequence of API calls to complete a complex task.</w:t>
      </w:r>
    </w:p>
    <w:p>
      <w:pPr>
        <w:spacing w:after="100"/>
      </w:pPr>
    </w:p>
    <w:p>
      <w:pPr>
        <w:pStyle w:val="Heading1"/>
        <w:spacing w:after="100" w:before="400"/>
      </w:pPr>
      <w:r>
        <w:t xml:space="preserve">4. Technical Design Decisions and Tradeoffs</w:t>
      </w:r>
    </w:p>
    <w:p>
      <w:pPr>
        <w:spacing w:after="160"/>
        <w:jc w:val="both"/>
      </w:pPr>
      <w:r>
        <w:rPr>
          <w:rFonts w:ascii="Calibri" w:cs="Calibri" w:eastAsia="Calibri" w:hAnsi="Calibri"/>
          <w:sz w:val="24"/>
          <w:szCs w:val="24"/>
        </w:rPr>
        <w:t xml:space="preserve">Several design decisions required explicit tradeoffs: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565C0" w:color="1565C0" w:val="clear"/>
          </w:tcPr>
          <w:p>
            <w:r>
              <w:rPr>
                <w:rFonts w:ascii="Calibri" w:cs="Calibri" w:eastAsia="Calibri" w:hAnsi="Calibri"/>
                <w:b/>
                <w:bCs/>
                <w:color w:val="FFFFFF"/>
                <w:sz w:val="22"/>
                <w:szCs w:val="22"/>
              </w:rPr>
              <w:t xml:space="preserve">Decision</w:t>
            </w:r>
          </w:p>
        </w:tc>
        <w:tc>
          <w:tcPr>
            <w:tcW w:type="dxa" w:w="3000"/>
            <w:shd w:fill="1565C0" w:color="1565C0" w:val="clear"/>
          </w:tcPr>
          <w:p>
            <w:r>
              <w:rPr>
                <w:rFonts w:ascii="Calibri" w:cs="Calibri" w:eastAsia="Calibri" w:hAnsi="Calibri"/>
                <w:b/>
                <w:bCs/>
                <w:color w:val="FFFFFF"/>
                <w:sz w:val="22"/>
                <w:szCs w:val="22"/>
              </w:rPr>
              <w:t xml:space="preserve">Choice Made</w:t>
            </w:r>
          </w:p>
        </w:tc>
        <w:tc>
          <w:tcPr>
            <w:tcW w:type="dxa" w:w="3000"/>
            <w:shd w:fill="1565C0" w:color="1565C0" w:val="clear"/>
          </w:tcPr>
          <w:p>
            <w:r>
              <w:rPr>
                <w:rFonts w:ascii="Calibri" w:cs="Calibri" w:eastAsia="Calibri" w:hAnsi="Calibri"/>
                <w:b/>
                <w:bCs/>
                <w:color w:val="FFFFFF"/>
                <w:sz w:val="22"/>
                <w:szCs w:val="22"/>
              </w:rPr>
              <w:t xml:space="preserve">Tradeoff</w:t>
            </w:r>
          </w:p>
        </w:tc>
      </w:tr>
      <w:tr>
        <w:tc>
          <w:tcPr>
            <w:tcW w:type="dxa" w:w="3000"/>
            <w:shd w:fill="E3F2FD" w:color="E3F2FD" w:val="clear"/>
          </w:tcPr>
          <w:p>
            <w:r>
              <w:rPr>
                <w:rFonts w:ascii="Calibri" w:cs="Calibri" w:eastAsia="Calibri" w:hAnsi="Calibri"/>
                <w:sz w:val="22"/>
                <w:szCs w:val="22"/>
              </w:rPr>
              <w:t xml:space="preserve">Prediction threshold</w:t>
            </w:r>
          </w:p>
        </w:tc>
        <w:tc>
          <w:tcPr>
            <w:tcW w:type="dxa" w:w="3000"/>
            <w:shd w:fill="E3F2FD" w:color="E3F2FD" w:val="clear"/>
          </w:tcPr>
          <w:p>
            <w:r>
              <w:rPr>
                <w:rFonts w:ascii="Calibri" w:cs="Calibri" w:eastAsia="Calibri" w:hAnsi="Calibri"/>
                <w:sz w:val="22"/>
                <w:szCs w:val="22"/>
              </w:rPr>
              <w:t xml:space="preserve">0.45 (below standard 0.50)</w:t>
            </w:r>
          </w:p>
        </w:tc>
        <w:tc>
          <w:tcPr>
            <w:tcW w:type="dxa" w:w="3000"/>
            <w:shd w:fill="E3F2FD" w:color="E3F2FD" w:val="clear"/>
          </w:tcPr>
          <w:p>
            <w:r>
              <w:rPr>
                <w:rFonts w:ascii="Calibri" w:cs="Calibri" w:eastAsia="Calibri" w:hAnsi="Calibri"/>
                <w:sz w:val="22"/>
                <w:szCs w:val="22"/>
              </w:rPr>
              <w:t xml:space="preserve">Increases recall for readmitted patients at the cost of more false positives; preferred because a missed high-risk patient is more costly than an unnecessary follow-up call</w:t>
            </w:r>
          </w:p>
        </w:tc>
      </w:tr>
      <w:tr>
        <w:tc>
          <w:tcPr>
            <w:tcW w:type="dxa" w:w="3000"/>
            <w:shd w:fill="FFFFFF" w:color="FFFFFF" w:val="clear"/>
          </w:tcPr>
          <w:p>
            <w:r>
              <w:rPr>
                <w:rFonts w:ascii="Calibri" w:cs="Calibri" w:eastAsia="Calibri" w:hAnsi="Calibri"/>
                <w:sz w:val="22"/>
                <w:szCs w:val="22"/>
              </w:rPr>
              <w:t xml:space="preserve">Ensemble weighting</w:t>
            </w:r>
          </w:p>
        </w:tc>
        <w:tc>
          <w:tcPr>
            <w:tcW w:type="dxa" w:w="3000"/>
            <w:shd w:fill="FFFFFF" w:color="FFFFFF" w:val="clear"/>
          </w:tcPr>
          <w:p>
            <w:r>
              <w:rPr>
                <w:rFonts w:ascii="Calibri" w:cs="Calibri" w:eastAsia="Calibri" w:hAnsi="Calibri"/>
                <w:sz w:val="22"/>
                <w:szCs w:val="22"/>
              </w:rPr>
              <w:t xml:space="preserve">60% ML / 40% DL</w:t>
            </w:r>
          </w:p>
        </w:tc>
        <w:tc>
          <w:tcPr>
            <w:tcW w:type="dxa" w:w="3000"/>
            <w:shd w:fill="FFFFFF" w:color="FFFFFF" w:val="clear"/>
          </w:tcPr>
          <w:p>
            <w:r>
              <w:rPr>
                <w:rFonts w:ascii="Calibri" w:cs="Calibri" w:eastAsia="Calibri" w:hAnsi="Calibri"/>
                <w:sz w:val="22"/>
                <w:szCs w:val="22"/>
              </w:rPr>
              <w:t xml:space="preserve">ML model is more interpretable and performs marginally better on small N; DL adds calibration on non-linear interactions</w:t>
            </w:r>
          </w:p>
        </w:tc>
      </w:tr>
      <w:tr>
        <w:tc>
          <w:tcPr>
            <w:tcW w:type="dxa" w:w="3000"/>
            <w:shd w:fill="E3F2FD" w:color="E3F2FD" w:val="clear"/>
          </w:tcPr>
          <w:p>
            <w:r>
              <w:rPr>
                <w:rFonts w:ascii="Calibri" w:cs="Calibri" w:eastAsia="Calibri" w:hAnsi="Calibri"/>
                <w:sz w:val="22"/>
                <w:szCs w:val="22"/>
              </w:rPr>
              <w:t xml:space="preserve">Feature inclusion of insurance type</w:t>
            </w:r>
          </w:p>
        </w:tc>
        <w:tc>
          <w:tcPr>
            <w:tcW w:type="dxa" w:w="3000"/>
            <w:shd w:fill="E3F2FD" w:color="E3F2FD" w:val="clear"/>
          </w:tcPr>
          <w:p>
            <w:r>
              <w:rPr>
                <w:rFonts w:ascii="Calibri" w:cs="Calibri" w:eastAsia="Calibri" w:hAnsi="Calibri"/>
                <w:sz w:val="22"/>
                <w:szCs w:val="22"/>
              </w:rPr>
              <w:t xml:space="preserve">Included, with equity audit requirement</w:t>
            </w:r>
          </w:p>
        </w:tc>
        <w:tc>
          <w:tcPr>
            <w:tcW w:type="dxa" w:w="3000"/>
            <w:shd w:fill="E3F2FD" w:color="E3F2FD" w:val="clear"/>
          </w:tcPr>
          <w:p>
            <w:r>
              <w:rPr>
                <w:rFonts w:ascii="Calibri" w:cs="Calibri" w:eastAsia="Calibri" w:hAnsi="Calibri"/>
                <w:sz w:val="22"/>
                <w:szCs w:val="22"/>
              </w:rPr>
              <w:t xml:space="preserve">Improves predictive power but creates disparate-impact risk; mitigated by monitoring parity metrics across groups</w:t>
            </w:r>
          </w:p>
        </w:tc>
      </w:tr>
      <w:tr>
        <w:tc>
          <w:tcPr>
            <w:tcW w:type="dxa" w:w="3000"/>
            <w:shd w:fill="FFFFFF" w:color="FFFFFF" w:val="clear"/>
          </w:tcPr>
          <w:p>
            <w:r>
              <w:rPr>
                <w:rFonts w:ascii="Calibri" w:cs="Calibri" w:eastAsia="Calibri" w:hAnsi="Calibri"/>
                <w:sz w:val="22"/>
                <w:szCs w:val="22"/>
              </w:rPr>
              <w:t xml:space="preserve">Generative layer: template vs. LLM</w:t>
            </w:r>
          </w:p>
        </w:tc>
        <w:tc>
          <w:tcPr>
            <w:tcW w:type="dxa" w:w="3000"/>
            <w:shd w:fill="FFFFFF" w:color="FFFFFF" w:val="clear"/>
          </w:tcPr>
          <w:p>
            <w:r>
              <w:rPr>
                <w:rFonts w:ascii="Calibri" w:cs="Calibri" w:eastAsia="Calibri" w:hAnsi="Calibri"/>
                <w:sz w:val="22"/>
                <w:szCs w:val="22"/>
              </w:rPr>
              <w:t xml:space="preserve">Deterministic template (LLM in production)</w:t>
            </w:r>
          </w:p>
        </w:tc>
        <w:tc>
          <w:tcPr>
            <w:tcW w:type="dxa" w:w="3000"/>
            <w:shd w:fill="FFFFFF" w:color="FFFFFF" w:val="clear"/>
          </w:tcPr>
          <w:p>
            <w:r>
              <w:rPr>
                <w:rFonts w:ascii="Calibri" w:cs="Calibri" w:eastAsia="Calibri" w:hAnsi="Calibri"/>
                <w:sz w:val="22"/>
                <w:szCs w:val="22"/>
              </w:rPr>
              <w:t xml:space="preserve">Template is reproducible and auditable; LLM produces richer text but adds latency, cost, and hallucination risk</w:t>
            </w:r>
          </w:p>
        </w:tc>
      </w:tr>
      <w:tr>
        <w:tc>
          <w:tcPr>
            <w:tcW w:type="dxa" w:w="3000"/>
            <w:shd w:fill="E3F2FD" w:color="E3F2FD" w:val="clear"/>
          </w:tcPr>
          <w:p>
            <w:r>
              <w:rPr>
                <w:rFonts w:ascii="Calibri" w:cs="Calibri" w:eastAsia="Calibri" w:hAnsi="Calibri"/>
                <w:sz w:val="22"/>
                <w:szCs w:val="22"/>
              </w:rPr>
              <w:t xml:space="preserve">Agentic dispatch: automated vs. human-in-loop</w:t>
            </w:r>
          </w:p>
        </w:tc>
        <w:tc>
          <w:tcPr>
            <w:tcW w:type="dxa" w:w="3000"/>
            <w:shd w:fill="E3F2FD" w:color="E3F2FD" w:val="clear"/>
          </w:tcPr>
          <w:p>
            <w:r>
              <w:rPr>
                <w:rFonts w:ascii="Calibri" w:cs="Calibri" w:eastAsia="Calibri" w:hAnsi="Calibri"/>
                <w:sz w:val="22"/>
                <w:szCs w:val="22"/>
              </w:rPr>
              <w:t xml:space="preserve">Automated scheduling, human confirmation required</w:t>
            </w:r>
          </w:p>
        </w:tc>
        <w:tc>
          <w:tcPr>
            <w:tcW w:type="dxa" w:w="3000"/>
            <w:shd w:fill="E3F2FD" w:color="E3F2FD" w:val="clear"/>
          </w:tcPr>
          <w:p>
            <w:r>
              <w:rPr>
                <w:rFonts w:ascii="Calibri" w:cs="Calibri" w:eastAsia="Calibri" w:hAnsi="Calibri"/>
                <w:sz w:val="22"/>
                <w:szCs w:val="22"/>
              </w:rPr>
              <w:t xml:space="preserve">Reduces care coordinator workload while ensuring a clinician reviews AI recommendations before care delivery</w:t>
            </w:r>
          </w:p>
        </w:tc>
      </w:tr>
    </w:tbl>
    <w:p>
      <w:pPr>
        <w:spacing w:after="100"/>
      </w:pPr>
    </w:p>
    <w:p>
      <w:pPr>
        <w:pStyle w:val="Heading1"/>
        <w:spacing w:after="100" w:before="400"/>
      </w:pPr>
      <w:r>
        <w:t xml:space="preserve">5. Ethical, Governance, and Responsible AI Considerations</w:t>
      </w:r>
    </w:p>
    <w:p>
      <w:pPr>
        <w:spacing w:after="160"/>
        <w:jc w:val="both"/>
      </w:pPr>
      <w:r>
        <w:rPr>
          <w:rFonts w:ascii="Calibri" w:cs="Calibri" w:eastAsia="Calibri" w:hAnsi="Calibri"/>
          <w:sz w:val="24"/>
          <w:szCs w:val="24"/>
        </w:rPr>
        <w:t xml:space="preserve">Healthcare AI operates in a high-stakes domain where model failures can directly harm patients. The following considerations are specific to this system:</w:t>
      </w:r>
    </w:p>
    <w:p>
      <w:pPr>
        <w:pStyle w:val="ListParagraph"/>
        <w:numPr>
          <w:ilvl w:val="0"/>
          <w:numId w:val="1"/>
        </w:numPr>
        <w:spacing w:after="80"/>
      </w:pPr>
      <w:r>
        <w:rPr>
          <w:rFonts w:ascii="Calibri" w:cs="Calibri" w:eastAsia="Calibri" w:hAnsi="Calibri"/>
          <w:sz w:val="24"/>
          <w:szCs w:val="24"/>
        </w:rPr>
        <w:t xml:space="preserve">Algorithmic bias: Insurance type and gender are included as features. In US healthcare data, insurance type is a strong proxy for socioeconomic status, which correlates with race and ethnicity. Before clinical deployment, the system must pass a disparate-impact audit confirming that recall and precision are statistically equivalent across demographic groups (Barocas, Hardt, &amp; Narayanan, 2019).</w:t>
      </w:r>
    </w:p>
    <w:p>
      <w:pPr>
        <w:pStyle w:val="ListParagraph"/>
        <w:numPr>
          <w:ilvl w:val="0"/>
          <w:numId w:val="1"/>
        </w:numPr>
        <w:spacing w:after="80"/>
      </w:pPr>
      <w:r>
        <w:rPr>
          <w:rFonts w:ascii="Calibri" w:cs="Calibri" w:eastAsia="Calibri" w:hAnsi="Calibri"/>
          <w:sz w:val="24"/>
          <w:szCs w:val="24"/>
        </w:rPr>
        <w:t xml:space="preserve">Transparency and explainability: The ensemble and MLP components are not inherently interpretable. SHAP (SHapley Additive exPlanations) values should be computed for every patient prediction so clinicians can verify that the model is reasoning about clinically plausible factors rather than spurious correlates.</w:t>
      </w:r>
    </w:p>
    <w:p>
      <w:pPr>
        <w:pStyle w:val="ListParagraph"/>
        <w:numPr>
          <w:ilvl w:val="0"/>
          <w:numId w:val="1"/>
        </w:numPr>
        <w:spacing w:after="80"/>
      </w:pPr>
      <w:r>
        <w:rPr>
          <w:rFonts w:ascii="Calibri" w:cs="Calibri" w:eastAsia="Calibri" w:hAnsi="Calibri"/>
          <w:sz w:val="24"/>
          <w:szCs w:val="24"/>
        </w:rPr>
        <w:t xml:space="preserve">Accountability: The agentic dispatch layer takes real-world actions (scheduling calls, booking appointments). All AI recommendations must be logged with timestamp, model version, and prediction score. A human clinician must confirm each action before it is executed in a production environment.</w:t>
      </w:r>
    </w:p>
    <w:p>
      <w:pPr>
        <w:pStyle w:val="ListParagraph"/>
        <w:numPr>
          <w:ilvl w:val="0"/>
          <w:numId w:val="1"/>
        </w:numPr>
        <w:spacing w:after="80"/>
      </w:pPr>
      <w:r>
        <w:rPr>
          <w:rFonts w:ascii="Calibri" w:cs="Calibri" w:eastAsia="Calibri" w:hAnsi="Calibri"/>
          <w:sz w:val="24"/>
          <w:szCs w:val="24"/>
        </w:rPr>
        <w:t xml:space="preserve">Privacy and data governance: Patient EHR data is governed by HIPAA in the United States. All data used to train, validate, or run the model must be de-identified or accessed under a Data Use Agreement. Access logs must be audited quarterly.</w:t>
      </w:r>
    </w:p>
    <w:p>
      <w:pPr>
        <w:pStyle w:val="ListParagraph"/>
        <w:numPr>
          <w:ilvl w:val="0"/>
          <w:numId w:val="1"/>
        </w:numPr>
        <w:spacing w:after="80"/>
      </w:pPr>
      <w:r>
        <w:rPr>
          <w:rFonts w:ascii="Calibri" w:cs="Calibri" w:eastAsia="Calibri" w:hAnsi="Calibri"/>
          <w:sz w:val="24"/>
          <w:szCs w:val="24"/>
        </w:rPr>
        <w:t xml:space="preserve">Alert fatigue: A high-recall threshold increases the volume of high-tier patients flagged each day. If care coordinators receive more flags than they can act on, alert fatigue degrades the value of the system. This must be monitored through coordinator response-rate metrics and threshold recalibrated if response falls below 70%.</w:t>
      </w:r>
    </w:p>
    <w:p>
      <w:pPr>
        <w:spacing w:after="100"/>
      </w:pPr>
    </w:p>
    <w:p>
      <w:pPr>
        <w:pStyle w:val="Heading1"/>
        <w:spacing w:after="100" w:before="400"/>
      </w:pPr>
      <w:r>
        <w:t xml:space="preserve">6. Limitations and Risks</w:t>
      </w:r>
    </w:p>
    <w:p>
      <w:pPr>
        <w:spacing w:after="160"/>
        <w:jc w:val="both"/>
      </w:pPr>
      <w:r>
        <w:rPr>
          <w:rFonts w:ascii="Calibri" w:cs="Calibri" w:eastAsia="Calibri" w:hAnsi="Calibri"/>
          <w:sz w:val="24"/>
          <w:szCs w:val="24"/>
        </w:rPr>
        <w:t xml:space="preserve">The current implementation has several significant limitations:</w:t>
      </w:r>
    </w:p>
    <w:p>
      <w:pPr>
        <w:pStyle w:val="ListParagraph"/>
        <w:numPr>
          <w:ilvl w:val="0"/>
          <w:numId w:val="1"/>
        </w:numPr>
        <w:spacing w:after="80"/>
      </w:pPr>
      <w:r>
        <w:rPr>
          <w:rFonts w:ascii="Calibri" w:cs="Calibri" w:eastAsia="Calibri" w:hAnsi="Calibri"/>
          <w:sz w:val="24"/>
          <w:szCs w:val="24"/>
        </w:rPr>
        <w:t xml:space="preserve">Synthetic data: The dataset was generated from statistical assumptions rather than real EHR records. Predictive performance on real clinical data will differ and must be re-evaluated before deployment. The MIMIC-III and MIMIC-IV datasets (Johnson et al., 2016) provide a realistic benchmark.</w:t>
      </w:r>
    </w:p>
    <w:p>
      <w:pPr>
        <w:pStyle w:val="ListParagraph"/>
        <w:numPr>
          <w:ilvl w:val="0"/>
          <w:numId w:val="1"/>
        </w:numPr>
        <w:spacing w:after="80"/>
      </w:pPr>
      <w:r>
        <w:rPr>
          <w:rFonts w:ascii="Calibri" w:cs="Calibri" w:eastAsia="Calibri" w:hAnsi="Calibri"/>
          <w:sz w:val="24"/>
          <w:szCs w:val="24"/>
        </w:rPr>
        <w:t xml:space="preserve">Distribution shift: Hospital populations change over time. A model trained on pre-2020 data may underperform post-pandemic due to changes in comorbidity mix, care pathways, and patient demographics. Periodic retraining (at minimum annually) is required.</w:t>
      </w:r>
    </w:p>
    <w:p>
      <w:pPr>
        <w:pStyle w:val="ListParagraph"/>
        <w:numPr>
          <w:ilvl w:val="0"/>
          <w:numId w:val="1"/>
        </w:numPr>
        <w:spacing w:after="80"/>
      </w:pPr>
      <w:r>
        <w:rPr>
          <w:rFonts w:ascii="Calibri" w:cs="Calibri" w:eastAsia="Calibri" w:hAnsi="Calibri"/>
          <w:sz w:val="24"/>
          <w:szCs w:val="24"/>
        </w:rPr>
        <w:t xml:space="preserve">Missing social determinants: Housing instability, transportation access, and social support — among the strongest predictors of readmission — are not captured in standard EHR data and are absent from this model. Integration with community health worker assessments could substantially improve equity and accuracy.</w:t>
      </w:r>
    </w:p>
    <w:p>
      <w:pPr>
        <w:pStyle w:val="ListParagraph"/>
        <w:numPr>
          <w:ilvl w:val="0"/>
          <w:numId w:val="1"/>
        </w:numPr>
        <w:spacing w:after="80"/>
      </w:pPr>
      <w:r>
        <w:rPr>
          <w:rFonts w:ascii="Calibri" w:cs="Calibri" w:eastAsia="Calibri" w:hAnsi="Calibri"/>
          <w:sz w:val="24"/>
          <w:szCs w:val="24"/>
        </w:rPr>
        <w:t xml:space="preserve">No temporal modeling: The MLP treats each patient admission as independent. A recurrent or transformer-based model incorporating longitudinal admission history would better capture trajectory-level risk patterns.</w:t>
      </w:r>
    </w:p>
    <w:p>
      <w:pPr>
        <w:spacing w:after="100"/>
      </w:pPr>
    </w:p>
    <w:p>
      <w:pPr>
        <w:pStyle w:val="Heading1"/>
        <w:spacing w:after="100" w:before="400"/>
      </w:pPr>
      <w:r>
        <w:t xml:space="preserve">7. Professional and Industry Relevance</w:t>
      </w:r>
    </w:p>
    <w:p>
      <w:pPr>
        <w:spacing w:after="160"/>
        <w:jc w:val="both"/>
      </w:pPr>
      <w:r>
        <w:rPr>
          <w:rFonts w:ascii="Calibri" w:cs="Calibri" w:eastAsia="Calibri" w:hAnsi="Calibri"/>
          <w:sz w:val="24"/>
          <w:szCs w:val="24"/>
        </w:rPr>
        <w:t xml:space="preserve">This project demonstrates several competencies directly relevant to applied AI roles in the healthcare industry:</w:t>
      </w:r>
    </w:p>
    <w:p>
      <w:pPr>
        <w:pStyle w:val="ListParagraph"/>
        <w:numPr>
          <w:ilvl w:val="0"/>
          <w:numId w:val="1"/>
        </w:numPr>
        <w:spacing w:after="80"/>
      </w:pPr>
      <w:r>
        <w:rPr>
          <w:rFonts w:ascii="Calibri" w:cs="Calibri" w:eastAsia="Calibri" w:hAnsi="Calibri"/>
          <w:sz w:val="24"/>
          <w:szCs w:val="24"/>
        </w:rPr>
        <w:t xml:space="preserve">System-level thinking: The five-layer architecture shows the ability to decompose a complex clinical problem into modular, testable components, each with a clear interface and a defined role in the overall pipeline.</w:t>
      </w:r>
    </w:p>
    <w:p>
      <w:pPr>
        <w:pStyle w:val="ListParagraph"/>
        <w:numPr>
          <w:ilvl w:val="0"/>
          <w:numId w:val="1"/>
        </w:numPr>
        <w:spacing w:after="80"/>
      </w:pPr>
      <w:r>
        <w:rPr>
          <w:rFonts w:ascii="Calibri" w:cs="Calibri" w:eastAsia="Calibri" w:hAnsi="Calibri"/>
          <w:sz w:val="24"/>
          <w:szCs w:val="24"/>
        </w:rPr>
        <w:t xml:space="preserve">Cross-domain fluency: Integrating statistical reasoning, supervised learning, deep learning, generative AI, and agentic orchestration into a single coherent system demonstrates readiness for senior AI engineering roles where no single technique is sufficient.</w:t>
      </w:r>
    </w:p>
    <w:p>
      <w:pPr>
        <w:pStyle w:val="ListParagraph"/>
        <w:numPr>
          <w:ilvl w:val="0"/>
          <w:numId w:val="1"/>
        </w:numPr>
        <w:spacing w:after="80"/>
      </w:pPr>
      <w:r>
        <w:rPr>
          <w:rFonts w:ascii="Calibri" w:cs="Calibri" w:eastAsia="Calibri" w:hAnsi="Calibri"/>
          <w:sz w:val="24"/>
          <w:szCs w:val="24"/>
        </w:rPr>
        <w:t xml:space="preserve">Responsible AI practice: Explicitly naming and addressing bias, explainability, and accountability concerns — rather than treating them as afterthoughts — reflects the governance maturity that healthcare organizations and regulators now require.</w:t>
      </w:r>
    </w:p>
    <w:p>
      <w:pPr>
        <w:pStyle w:val="ListParagraph"/>
        <w:numPr>
          <w:ilvl w:val="0"/>
          <w:numId w:val="1"/>
        </w:numPr>
        <w:spacing w:after="80"/>
      </w:pPr>
      <w:r>
        <w:rPr>
          <w:rFonts w:ascii="Calibri" w:cs="Calibri" w:eastAsia="Calibri" w:hAnsi="Calibri"/>
          <w:sz w:val="24"/>
          <w:szCs w:val="24"/>
        </w:rPr>
        <w:t xml:space="preserve">Communication: The generative layer translates technical predictions into plain-language summaries, demonstrating the ability to bridge the gap between model output and clinical decision-making — a skill consistently cited by healthcare AI employers as a differentiator.</w:t>
      </w:r>
    </w:p>
    <w:p>
      <w:pPr>
        <w:spacing w:after="100"/>
      </w:pPr>
    </w:p>
    <w:p>
      <w:pPr>
        <w:pStyle w:val="Heading1"/>
        <w:spacing w:after="100" w:before="400"/>
      </w:pPr>
      <w:r>
        <w:t xml:space="preserve">8. Future Extensions or Improvements</w:t>
      </w:r>
    </w:p>
    <w:p>
      <w:pPr>
        <w:pStyle w:val="ListParagraph"/>
        <w:numPr>
          <w:ilvl w:val="0"/>
          <w:numId w:val="1"/>
        </w:numPr>
        <w:spacing w:after="80"/>
      </w:pPr>
      <w:r>
        <w:rPr>
          <w:rFonts w:ascii="Calibri" w:cs="Calibri" w:eastAsia="Calibri" w:hAnsi="Calibri"/>
          <w:sz w:val="24"/>
          <w:szCs w:val="24"/>
        </w:rPr>
        <w:t xml:space="preserve">SHAP explainability layer: Add per-patient SHAP values to every prediction and surface the top three contributing features in the clinical summary.</w:t>
      </w:r>
    </w:p>
    <w:p>
      <w:pPr>
        <w:pStyle w:val="ListParagraph"/>
        <w:numPr>
          <w:ilvl w:val="0"/>
          <w:numId w:val="1"/>
        </w:numPr>
        <w:spacing w:after="80"/>
      </w:pPr>
      <w:r>
        <w:rPr>
          <w:rFonts w:ascii="Calibri" w:cs="Calibri" w:eastAsia="Calibri" w:hAnsi="Calibri"/>
          <w:sz w:val="24"/>
          <w:szCs w:val="24"/>
        </w:rPr>
        <w:t xml:space="preserve">Fairness constraints: Implement adversarial debiasing or post-processing calibration to enforce equal recall across demographic groups before any clinical deployment.</w:t>
      </w:r>
    </w:p>
    <w:p>
      <w:pPr>
        <w:pStyle w:val="ListParagraph"/>
        <w:numPr>
          <w:ilvl w:val="0"/>
          <w:numId w:val="1"/>
        </w:numPr>
        <w:spacing w:after="80"/>
      </w:pPr>
      <w:r>
        <w:rPr>
          <w:rFonts w:ascii="Calibri" w:cs="Calibri" w:eastAsia="Calibri" w:hAnsi="Calibri"/>
          <w:sz w:val="24"/>
          <w:szCs w:val="24"/>
        </w:rPr>
        <w:t xml:space="preserve">Temporal modeling: Replace the MLP with an LSTM or Transformer encoder that ingests the sequence of prior admissions rather than a single snapshot.</w:t>
      </w:r>
    </w:p>
    <w:p>
      <w:pPr>
        <w:pStyle w:val="ListParagraph"/>
        <w:numPr>
          <w:ilvl w:val="0"/>
          <w:numId w:val="1"/>
        </w:numPr>
        <w:spacing w:after="80"/>
      </w:pPr>
      <w:r>
        <w:rPr>
          <w:rFonts w:ascii="Calibri" w:cs="Calibri" w:eastAsia="Calibri" w:hAnsi="Calibri"/>
          <w:sz w:val="24"/>
          <w:szCs w:val="24"/>
        </w:rPr>
        <w:t xml:space="preserve">EHR integration: Connect Layer 5 to a hospital EHR via the HL7 FHIR API so that patient data is retrieved in real time and care actions are written back automatically upon clinician approval.</w:t>
      </w:r>
    </w:p>
    <w:p>
      <w:pPr>
        <w:pStyle w:val="ListParagraph"/>
        <w:numPr>
          <w:ilvl w:val="0"/>
          <w:numId w:val="1"/>
        </w:numPr>
        <w:spacing w:after="80"/>
      </w:pPr>
      <w:r>
        <w:rPr>
          <w:rFonts w:ascii="Calibri" w:cs="Calibri" w:eastAsia="Calibri" w:hAnsi="Calibri"/>
          <w:sz w:val="24"/>
          <w:szCs w:val="24"/>
        </w:rPr>
        <w:t xml:space="preserve">Prospective validation: Partner with a health system to run a prospective study measuring 30-day readmission rates in a cohort receiving AI-assisted discharge planning versus standard of care.</w:t>
      </w:r>
    </w:p>
    <w:p>
      <w:pPr>
        <w:spacing w:after="100"/>
      </w:pPr>
    </w:p>
    <w:p>
      <w:pPr>
        <w:pStyle w:val="Heading1"/>
        <w:spacing w:after="100" w:before="400"/>
      </w:pPr>
      <w:r>
        <w:t xml:space="preserve">References</w:t>
      </w:r>
    </w:p>
    <w:p>
      <w:pPr>
        <w:spacing w:after="160"/>
        <w:jc w:val="both"/>
      </w:pPr>
      <w:r>
        <w:rPr>
          <w:rFonts w:ascii="Calibri" w:cs="Calibri" w:eastAsia="Calibri" w:hAnsi="Calibri"/>
          <w:sz w:val="24"/>
          <w:szCs w:val="24"/>
        </w:rPr>
        <w:t xml:space="preserve">Barocas, S., Hardt, M., &amp; Narayanan, A. (2019). Fairness and machine learning: Limitations and opportunities. fairmlbook.org.</w:t>
      </w:r>
    </w:p>
    <w:p>
      <w:pPr>
        <w:spacing w:after="160"/>
        <w:jc w:val="both"/>
      </w:pPr>
      <w:r>
        <w:rPr>
          <w:rFonts w:ascii="Calibri" w:cs="Calibri" w:eastAsia="Calibri" w:hAnsi="Calibri"/>
          <w:sz w:val="24"/>
          <w:szCs w:val="24"/>
        </w:rPr>
        <w:t xml:space="preserve">Jencks, S. F., Williams, M. V., &amp; Coleman, E. A. (2009). Rehospitalizations among patients in the Medicare fee-for-service program. New England Journal of Medicine, 360(14), 1418–1428. https://doi.org/10.1056/NEJMsa0803563</w:t>
      </w:r>
    </w:p>
    <w:p>
      <w:pPr>
        <w:spacing w:after="160"/>
        <w:jc w:val="both"/>
      </w:pPr>
      <w:r>
        <w:rPr>
          <w:rFonts w:ascii="Calibri" w:cs="Calibri" w:eastAsia="Calibri" w:hAnsi="Calibri"/>
          <w:sz w:val="24"/>
          <w:szCs w:val="24"/>
        </w:rPr>
        <w:t xml:space="preserve">Johnson, A. E. W., Pollard, T. J., Shen, L., Lehman, L. H., Feng, M., Ghassemi, M., ... &amp; Mark, R. G. (2016). MIMIC-III, a freely accessible critical care database. Scientific Data, 3, 160035. https://doi.org/10.1038/sdata.2016.35</w:t>
      </w:r>
    </w:p>
    <w:p>
      <w:pPr>
        <w:spacing w:after="160"/>
        <w:jc w:val="both"/>
      </w:pPr>
      <w:r>
        <w:rPr>
          <w:rFonts w:ascii="Calibri" w:cs="Calibri" w:eastAsia="Calibri" w:hAnsi="Calibri"/>
          <w:sz w:val="24"/>
          <w:szCs w:val="24"/>
        </w:rPr>
        <w:t xml:space="preserve">Rajpurkar, P., Chen, E., Banerjee, O., &amp; Topol, E. J. (2022). AI in health and medicine. Nature Medicine, 28(1), 31–38. https://doi.org/10.1038/s41591-021-01614-0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20"/>
        <w:szCs w:val="20"/>
      </w:rPr>
      <w:t xml:space="preserve">Integrative Industry Synthesis — Healthcare Readmission Risk Platform   |   Page </w:t>
    </w:r>
    <w:r>
      <w:rPr>
        <w:rFonts w:ascii="Calibri" w:cs="Calibri" w:eastAsia="Calibri" w:hAnsi="Calibri"/>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2026-07-17T04:57:46.515Z</dcterms:created>
  <dcterms:modified xsi:type="dcterms:W3CDTF">2026-07-17T04:57:46.516Z</dcterms:modified>
</cp:coreProperties>
</file>

<file path=docProps/custom.xml><?xml version="1.0" encoding="utf-8"?>
<Properties xmlns="http://schemas.openxmlformats.org/officeDocument/2006/custom-properties" xmlns:vt="http://schemas.openxmlformats.org/officeDocument/2006/docPropsVTypes"/>
</file>