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34B8" w14:textId="0A87535D" w:rsidR="001D7D3B" w:rsidRDefault="00B002C4" w:rsidP="001D7D3B">
      <w:pPr>
        <w:pStyle w:val="a9"/>
        <w:rPr>
          <w:lang w:eastAsia="zh-CN"/>
        </w:rPr>
      </w:pPr>
      <w:r w:rsidRPr="00B002C4">
        <w:rPr>
          <w:noProof/>
        </w:rPr>
        <w:drawing>
          <wp:anchor distT="0" distB="0" distL="114300" distR="114300" simplePos="0" relativeHeight="251659776" behindDoc="0" locked="0" layoutInCell="1" allowOverlap="1" wp14:anchorId="7D991D8D" wp14:editId="760F9285">
            <wp:simplePos x="0" y="0"/>
            <wp:positionH relativeFrom="page">
              <wp:posOffset>5897880</wp:posOffset>
            </wp:positionH>
            <wp:positionV relativeFrom="page">
              <wp:posOffset>383540</wp:posOffset>
            </wp:positionV>
            <wp:extent cx="1079500" cy="1079500"/>
            <wp:effectExtent l="0" t="0" r="6350" b="6350"/>
            <wp:wrapNone/>
            <wp:docPr id="8" name="Grafik 8" descr="C:\Users\anreinhardt\Desktop\Logo_FAP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reinhardt\Desktop\Logo_FAPS.wm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02C4">
        <w:rPr>
          <w:noProof/>
        </w:rPr>
        <mc:AlternateContent>
          <mc:Choice Requires="wps">
            <w:drawing>
              <wp:anchor distT="0" distB="0" distL="114300" distR="114300" simplePos="0" relativeHeight="251660800" behindDoc="0" locked="0" layoutInCell="1" allowOverlap="1" wp14:anchorId="4E74F286" wp14:editId="7788E268">
                <wp:simplePos x="0" y="0"/>
                <wp:positionH relativeFrom="page">
                  <wp:posOffset>307975</wp:posOffset>
                </wp:positionH>
                <wp:positionV relativeFrom="page">
                  <wp:posOffset>939800</wp:posOffset>
                </wp:positionV>
                <wp:extent cx="553720" cy="191770"/>
                <wp:effectExtent l="0" t="0" r="0" b="0"/>
                <wp:wrapNone/>
                <wp:docPr id="3" name="Rechteck 3"/>
                <wp:cNvGraphicFramePr/>
                <a:graphic xmlns:a="http://schemas.openxmlformats.org/drawingml/2006/main">
                  <a:graphicData uri="http://schemas.microsoft.com/office/word/2010/wordprocessingShape">
                    <wps:wsp>
                      <wps:cNvSpPr/>
                      <wps:spPr>
                        <a:xfrm>
                          <a:off x="0" y="0"/>
                          <a:ext cx="553720" cy="191770"/>
                        </a:xfrm>
                        <a:prstGeom prst="rect">
                          <a:avLst/>
                        </a:prstGeom>
                        <a:solidFill>
                          <a:srgbClr val="97C13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8AB68" id="Rechteck 3" o:spid="_x0000_s1026" style="position:absolute;margin-left:24.25pt;margin-top:74pt;width:43.6pt;height:15.1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" fillcolor="#97c139" stroked="f" strokeweight="2pt">
                <w10:wrap anchorx="page" anchory="page"/>
              </v:rect>
            </w:pict>
          </mc:Fallback>
        </mc:AlternateContent>
      </w:r>
      <w:r w:rsidR="001D7D3B">
        <w:rPr>
          <w:lang w:eastAsia="zh-CN"/>
        </w:rPr>
        <w:t xml:space="preserve">Entwicklung eines Systems zur Risikoerkennung </w:t>
      </w:r>
    </w:p>
    <w:p w14:paraId="7A1C56AC" w14:textId="77777777" w:rsidR="001D7D3B" w:rsidRDefault="001D7D3B" w:rsidP="001D7D3B">
      <w:pPr>
        <w:pStyle w:val="a9"/>
        <w:rPr>
          <w:lang w:eastAsia="zh-CN"/>
        </w:rPr>
      </w:pPr>
      <w:r>
        <w:rPr>
          <w:lang w:eastAsia="zh-CN"/>
        </w:rPr>
        <w:t xml:space="preserve">und Risikobewertung in komplexen Lieferketten: </w:t>
      </w:r>
    </w:p>
    <w:p w14:paraId="2C3610E7" w14:textId="77777777" w:rsidR="001D7D3B" w:rsidRDefault="001D7D3B" w:rsidP="001D7D3B">
      <w:pPr>
        <w:pStyle w:val="a9"/>
        <w:rPr>
          <w:lang w:eastAsia="zh-CN"/>
        </w:rPr>
      </w:pPr>
      <w:r>
        <w:rPr>
          <w:lang w:eastAsia="zh-CN"/>
        </w:rPr>
        <w:t xml:space="preserve">Ein Multi-Agenten-Ansatz zur erklärbaren Analyse </w:t>
      </w:r>
    </w:p>
    <w:p w14:paraId="52FAA3A2" w14:textId="04547D4C" w:rsidR="00B002C4" w:rsidRDefault="001D7D3B" w:rsidP="001D7D3B">
      <w:pPr>
        <w:pStyle w:val="a9"/>
        <w:rPr>
          <w:lang w:eastAsia="zh-CN"/>
        </w:rPr>
      </w:pPr>
      <w:r>
        <w:rPr>
          <w:lang w:eastAsia="zh-CN"/>
        </w:rPr>
        <w:t>lieferkettenbezogener Risiken</w:t>
      </w:r>
    </w:p>
    <w:p w14:paraId="7464725D" w14:textId="77777777" w:rsidR="00B002C4" w:rsidRDefault="00B002C4" w:rsidP="00B002C4">
      <w:pPr>
        <w:pStyle w:val="Titelblatt1"/>
        <w:ind w:right="-167"/>
        <w:jc w:val="both"/>
        <w:rPr>
          <w:lang w:eastAsia="zh-CN"/>
        </w:rPr>
      </w:pPr>
    </w:p>
    <w:p w14:paraId="014776B3" w14:textId="77777777" w:rsidR="001D7D3B" w:rsidRDefault="001D7D3B" w:rsidP="00B002C4">
      <w:pPr>
        <w:pStyle w:val="Titelblatt1"/>
        <w:ind w:right="-167"/>
        <w:jc w:val="both"/>
        <w:rPr>
          <w:lang w:eastAsia="zh-CN"/>
        </w:rPr>
      </w:pPr>
    </w:p>
    <w:p w14:paraId="29A7C23E" w14:textId="0495DD39" w:rsidR="00B002C4" w:rsidRDefault="001D7D3B" w:rsidP="00B002C4">
      <w:pPr>
        <w:pStyle w:val="Titelblatt1"/>
        <w:ind w:right="-167"/>
        <w:jc w:val="both"/>
        <w:rPr>
          <w:lang w:eastAsia="zh-CN"/>
        </w:rPr>
      </w:pPr>
      <w:r>
        <w:rPr>
          <w:rFonts w:hint="eastAsia"/>
          <w:lang w:eastAsia="zh-CN"/>
        </w:rPr>
        <w:t>Projekt</w:t>
      </w:r>
      <w:r>
        <w:t xml:space="preserve">arbeit im Studiengang </w:t>
      </w:r>
      <w:r w:rsidRPr="0074441C">
        <w:rPr>
          <w:lang w:eastAsia="zh-CN"/>
        </w:rPr>
        <w:t>Elektromobilität-ACES</w:t>
      </w:r>
    </w:p>
    <w:p w14:paraId="23D39C91" w14:textId="77777777" w:rsidR="00B002C4" w:rsidRDefault="00B002C4" w:rsidP="00B002C4">
      <w:pPr>
        <w:pStyle w:val="Titelblatt1"/>
        <w:ind w:right="-167"/>
        <w:jc w:val="both"/>
        <w:rPr>
          <w:lang w:eastAsia="zh-CN"/>
        </w:rPr>
      </w:pPr>
    </w:p>
    <w:p w14:paraId="2E5C4977" w14:textId="77777777" w:rsidR="001D7D3B" w:rsidRDefault="001D7D3B" w:rsidP="00B002C4">
      <w:pPr>
        <w:pStyle w:val="Titelblatt1"/>
        <w:ind w:right="-167"/>
        <w:jc w:val="both"/>
        <w:rPr>
          <w:lang w:eastAsia="zh-CN"/>
        </w:rPr>
      </w:pPr>
    </w:p>
    <w:p w14:paraId="082A2A91" w14:textId="77777777" w:rsidR="00B002C4" w:rsidRPr="00DC2241" w:rsidRDefault="00B002C4" w:rsidP="00B002C4">
      <w:pPr>
        <w:pStyle w:val="Titelblatt1"/>
        <w:jc w:val="left"/>
      </w:pPr>
      <w:r w:rsidRPr="00DC2241">
        <w:t>Friedrich-Alexander-Universität Erlangen-Nürnberg</w:t>
      </w:r>
      <w:r w:rsidRPr="00DC2241">
        <w:br/>
        <w:t>Lehrstuhl für Fertigungsautomatisierung und Produktionssystematik</w:t>
      </w:r>
      <w:r w:rsidRPr="00DC2241">
        <w:br/>
        <w:t xml:space="preserve">Prof. Dr.-Ing. </w:t>
      </w:r>
      <w:r>
        <w:t>J</w:t>
      </w:r>
      <w:r w:rsidR="001D206B">
        <w:t>örg</w:t>
      </w:r>
      <w:r w:rsidRPr="00DC2241">
        <w:t xml:space="preserve"> </w:t>
      </w:r>
      <w:r>
        <w:t>Franke</w:t>
      </w:r>
    </w:p>
    <w:p w14:paraId="54AF9F84" w14:textId="77777777" w:rsidR="00B002C4" w:rsidRDefault="00B002C4" w:rsidP="00B002C4">
      <w:pPr>
        <w:pStyle w:val="Titelblatt1"/>
        <w:tabs>
          <w:tab w:val="left" w:pos="9214"/>
        </w:tabs>
        <w:ind w:right="-167"/>
        <w:jc w:val="both"/>
      </w:pPr>
    </w:p>
    <w:p w14:paraId="7087768C" w14:textId="7F67C1D1" w:rsidR="00B002C4" w:rsidRDefault="001D7D3B" w:rsidP="00B002C4">
      <w:pPr>
        <w:pStyle w:val="Titelblatt1"/>
        <w:ind w:right="-167"/>
        <w:jc w:val="both"/>
      </w:pPr>
      <w:r w:rsidRPr="001D7D3B">
        <w:rPr>
          <w:noProof/>
        </w:rPr>
        <w:drawing>
          <wp:anchor distT="0" distB="0" distL="114300" distR="114300" simplePos="0" relativeHeight="251661824" behindDoc="0" locked="0" layoutInCell="1" allowOverlap="1" wp14:anchorId="4A837BDE" wp14:editId="240F64A9">
            <wp:simplePos x="0" y="0"/>
            <wp:positionH relativeFrom="column">
              <wp:posOffset>22748</wp:posOffset>
            </wp:positionH>
            <wp:positionV relativeFrom="paragraph">
              <wp:posOffset>104140</wp:posOffset>
            </wp:positionV>
            <wp:extent cx="5760000" cy="3096849"/>
            <wp:effectExtent l="114300" t="101600" r="120650" b="142240"/>
            <wp:wrapNone/>
            <wp:docPr id="1114700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00645" name=""/>
                    <pic:cNvPicPr/>
                  </pic:nvPicPr>
                  <pic:blipFill>
                    <a:blip r:embed="rId9" cstate="hqprint">
                      <a:extLst>
                        <a:ext uri="{28A0092B-C50C-407E-A947-70E740481C1C}">
                          <a14:useLocalDpi xmlns:a14="http://schemas.microsoft.com/office/drawing/2010/main" val="0"/>
                        </a:ext>
                      </a:extLst>
                    </a:blip>
                    <a:stretch>
                      <a:fillRect/>
                    </a:stretch>
                  </pic:blipFill>
                  <pic:spPr>
                    <a:xfrm>
                      <a:off x="0" y="0"/>
                      <a:ext cx="5760000" cy="30968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7DBD2C5" w14:textId="23B6393F" w:rsidR="00B002C4" w:rsidRDefault="00B002C4" w:rsidP="00B002C4"/>
    <w:p w14:paraId="6731976C" w14:textId="77777777" w:rsidR="00B002C4" w:rsidRDefault="00B002C4" w:rsidP="00B002C4"/>
    <w:p w14:paraId="748AEB7D" w14:textId="77777777" w:rsidR="00B002C4" w:rsidRDefault="00B002C4" w:rsidP="00B002C4"/>
    <w:p w14:paraId="107911C6" w14:textId="77777777" w:rsidR="00B002C4" w:rsidRDefault="00B002C4" w:rsidP="00B002C4"/>
    <w:p w14:paraId="0FAB9A0C" w14:textId="77777777" w:rsidR="00B002C4" w:rsidRDefault="00B002C4" w:rsidP="00B002C4"/>
    <w:p w14:paraId="45416BEA" w14:textId="77777777" w:rsidR="00B002C4" w:rsidRDefault="00B002C4" w:rsidP="00B002C4"/>
    <w:p w14:paraId="79D5DAA1" w14:textId="77777777" w:rsidR="00B002C4" w:rsidRDefault="00B002C4" w:rsidP="00B002C4"/>
    <w:p w14:paraId="1C313E8A" w14:textId="77777777" w:rsidR="00B002C4" w:rsidRDefault="00B002C4" w:rsidP="00B002C4"/>
    <w:p w14:paraId="2838E4C3" w14:textId="77777777" w:rsidR="00B002C4" w:rsidRDefault="00B002C4" w:rsidP="00B002C4"/>
    <w:p w14:paraId="29ACE243" w14:textId="77777777" w:rsidR="00B002C4" w:rsidRDefault="00B002C4" w:rsidP="00B002C4"/>
    <w:p w14:paraId="6870DA83" w14:textId="77777777" w:rsidR="00B002C4" w:rsidRDefault="00B002C4" w:rsidP="00B002C4"/>
    <w:p w14:paraId="4C7BB9F1" w14:textId="77777777" w:rsidR="00B002C4" w:rsidRDefault="00B002C4" w:rsidP="00B002C4"/>
    <w:p w14:paraId="41993109" w14:textId="77777777" w:rsidR="00B002C4" w:rsidRDefault="00B002C4" w:rsidP="00B002C4"/>
    <w:p w14:paraId="3487E09D" w14:textId="77777777" w:rsidR="00B002C4" w:rsidRPr="00DC2241" w:rsidRDefault="00B002C4" w:rsidP="00B002C4"/>
    <w:p w14:paraId="5BC0A620" w14:textId="0A685B1C" w:rsidR="00B002C4" w:rsidRPr="007F7C6F" w:rsidRDefault="00B002C4" w:rsidP="00B002C4">
      <w:pPr>
        <w:pStyle w:val="Titelblatt3"/>
        <w:tabs>
          <w:tab w:val="clear" w:pos="2520"/>
          <w:tab w:val="left" w:pos="1800"/>
        </w:tabs>
        <w:rPr>
          <w:sz w:val="22"/>
          <w:szCs w:val="24"/>
        </w:rPr>
      </w:pPr>
      <w:r>
        <w:rPr>
          <w:sz w:val="22"/>
          <w:szCs w:val="24"/>
        </w:rPr>
        <w:t>Bearbeiter:</w:t>
      </w:r>
      <w:r>
        <w:rPr>
          <w:sz w:val="22"/>
          <w:szCs w:val="24"/>
        </w:rPr>
        <w:tab/>
      </w:r>
      <w:r w:rsidR="001C5B27">
        <w:rPr>
          <w:rFonts w:hint="eastAsia"/>
          <w:sz w:val="22"/>
          <w:szCs w:val="24"/>
          <w:lang w:eastAsia="zh-CN"/>
        </w:rPr>
        <w:t>Yutong Liu,</w:t>
      </w:r>
      <w:r w:rsidR="001C5B27">
        <w:rPr>
          <w:sz w:val="22"/>
          <w:szCs w:val="24"/>
        </w:rPr>
        <w:t xml:space="preserve"> (B. Sc.,)   </w:t>
      </w:r>
      <w:r w:rsidR="001C5B27">
        <w:rPr>
          <w:rFonts w:hint="eastAsia"/>
          <w:sz w:val="22"/>
          <w:szCs w:val="24"/>
          <w:lang w:eastAsia="zh-CN"/>
        </w:rPr>
        <w:t>23631004</w:t>
      </w:r>
    </w:p>
    <w:p w14:paraId="08B1F138" w14:textId="77777777" w:rsidR="00B002C4" w:rsidRPr="00AE1CE3" w:rsidRDefault="00B002C4" w:rsidP="00B002C4">
      <w:pPr>
        <w:pStyle w:val="Titelblatt3"/>
        <w:tabs>
          <w:tab w:val="clear" w:pos="2520"/>
          <w:tab w:val="left" w:pos="1800"/>
        </w:tabs>
        <w:rPr>
          <w:sz w:val="22"/>
          <w:szCs w:val="24"/>
        </w:rPr>
      </w:pPr>
    </w:p>
    <w:p w14:paraId="2D7FB1C9" w14:textId="599635BF" w:rsidR="00B002C4" w:rsidRPr="00AE1CE3" w:rsidRDefault="00B002C4" w:rsidP="00506A5F">
      <w:pPr>
        <w:pStyle w:val="Titelblatt3"/>
        <w:tabs>
          <w:tab w:val="clear" w:pos="2520"/>
          <w:tab w:val="left" w:pos="1800"/>
        </w:tabs>
        <w:ind w:left="1800" w:hanging="1800"/>
        <w:rPr>
          <w:sz w:val="22"/>
          <w:szCs w:val="24"/>
        </w:rPr>
      </w:pPr>
      <w:r w:rsidRPr="00AE1CE3">
        <w:rPr>
          <w:sz w:val="22"/>
          <w:szCs w:val="24"/>
        </w:rPr>
        <w:t>Betreuer:</w:t>
      </w:r>
      <w:r w:rsidRPr="00AE1CE3">
        <w:rPr>
          <w:sz w:val="22"/>
          <w:szCs w:val="24"/>
        </w:rPr>
        <w:tab/>
      </w:r>
      <w:r w:rsidRPr="00B82BE5">
        <w:rPr>
          <w:sz w:val="22"/>
          <w:szCs w:val="24"/>
          <w:highlight w:val="yellow"/>
        </w:rPr>
        <w:t>Prof. Dr.-Ing. J</w:t>
      </w:r>
      <w:r w:rsidR="00EF50B4" w:rsidRPr="00B82BE5">
        <w:rPr>
          <w:sz w:val="22"/>
          <w:szCs w:val="24"/>
          <w:highlight w:val="yellow"/>
        </w:rPr>
        <w:t>örg</w:t>
      </w:r>
      <w:r w:rsidRPr="00B82BE5">
        <w:rPr>
          <w:sz w:val="22"/>
          <w:szCs w:val="24"/>
          <w:highlight w:val="yellow"/>
        </w:rPr>
        <w:t xml:space="preserve"> Franke</w:t>
      </w:r>
      <w:r w:rsidR="00506A5F" w:rsidRPr="00B82BE5">
        <w:rPr>
          <w:sz w:val="22"/>
          <w:szCs w:val="24"/>
          <w:highlight w:val="yellow"/>
        </w:rPr>
        <w:t xml:space="preserve"> / Prof. Dr.-Ing. Florian Risch / Prof. Dr. rer. nat. </w:t>
      </w:r>
      <w:r w:rsidR="00506A5F" w:rsidRPr="00B82BE5">
        <w:rPr>
          <w:sz w:val="22"/>
          <w:szCs w:val="24"/>
          <w:highlight w:val="yellow"/>
        </w:rPr>
        <w:br/>
        <w:t xml:space="preserve">Jens Fürst </w:t>
      </w:r>
      <w:r w:rsidR="001918BD" w:rsidRPr="00B82BE5">
        <w:rPr>
          <w:i/>
          <w:sz w:val="22"/>
          <w:szCs w:val="24"/>
          <w:highlight w:val="yellow"/>
        </w:rPr>
        <w:t>(entsprechende Person auswählen)</w:t>
      </w:r>
      <w:r w:rsidR="00AE1CE3" w:rsidRPr="00B82BE5">
        <w:rPr>
          <w:sz w:val="22"/>
          <w:szCs w:val="24"/>
          <w:highlight w:val="yellow"/>
        </w:rPr>
        <w:br/>
      </w:r>
      <w:r w:rsidR="001C5B27" w:rsidRPr="00B82BE5">
        <w:rPr>
          <w:sz w:val="22"/>
          <w:szCs w:val="24"/>
          <w:highlight w:val="yellow"/>
        </w:rPr>
        <w:t>Baris Albayrak, M. Sc.</w:t>
      </w:r>
    </w:p>
    <w:p w14:paraId="16D42797" w14:textId="77777777" w:rsidR="00B002C4" w:rsidRPr="00AE1CE3" w:rsidRDefault="00B002C4" w:rsidP="00B002C4">
      <w:pPr>
        <w:pStyle w:val="Titelblatt3"/>
        <w:tabs>
          <w:tab w:val="clear" w:pos="2520"/>
          <w:tab w:val="left" w:pos="1800"/>
        </w:tabs>
        <w:ind w:left="709" w:hanging="709"/>
        <w:rPr>
          <w:sz w:val="22"/>
          <w:szCs w:val="24"/>
        </w:rPr>
      </w:pPr>
    </w:p>
    <w:p w14:paraId="0F244168" w14:textId="77777777" w:rsidR="001C5B27" w:rsidRPr="009148CD" w:rsidRDefault="001C5B27" w:rsidP="001C5B27">
      <w:pPr>
        <w:pStyle w:val="Titelblatt3"/>
        <w:tabs>
          <w:tab w:val="clear" w:pos="2520"/>
          <w:tab w:val="left" w:pos="1843"/>
        </w:tabs>
        <w:rPr>
          <w:color w:val="000000" w:themeColor="text1"/>
          <w:sz w:val="22"/>
          <w:szCs w:val="24"/>
        </w:rPr>
      </w:pPr>
      <w:r w:rsidRPr="00AE1CE3">
        <w:rPr>
          <w:sz w:val="22"/>
          <w:szCs w:val="24"/>
        </w:rPr>
        <w:t>Abgabetermin:</w:t>
      </w:r>
      <w:r w:rsidRPr="00AE1CE3">
        <w:rPr>
          <w:sz w:val="22"/>
          <w:szCs w:val="24"/>
        </w:rPr>
        <w:tab/>
      </w:r>
      <w:r w:rsidRPr="009148CD">
        <w:rPr>
          <w:color w:val="000000" w:themeColor="text1"/>
          <w:sz w:val="22"/>
          <w:szCs w:val="24"/>
        </w:rPr>
        <w:t>01.09.2026</w:t>
      </w:r>
      <w:r w:rsidRPr="009148CD">
        <w:rPr>
          <w:color w:val="000000" w:themeColor="text1"/>
          <w:sz w:val="22"/>
          <w:szCs w:val="24"/>
        </w:rPr>
        <w:br/>
        <w:t>Bearbeitungszeit:</w:t>
      </w:r>
      <w:r w:rsidRPr="009148CD">
        <w:rPr>
          <w:color w:val="000000" w:themeColor="text1"/>
          <w:sz w:val="22"/>
          <w:szCs w:val="24"/>
        </w:rPr>
        <w:tab/>
        <w:t>05 Monate</w:t>
      </w:r>
    </w:p>
    <w:p w14:paraId="5E17B6C7" w14:textId="77777777" w:rsidR="00BB5646" w:rsidRDefault="00BB5646" w:rsidP="00737FC3">
      <w:pPr>
        <w:pStyle w:val="Titelblatt3"/>
        <w:rPr>
          <w:lang w:eastAsia="zh-CN"/>
        </w:rPr>
        <w:sectPr w:rsidR="00BB5646" w:rsidSect="00E4309C">
          <w:headerReference w:type="even" r:id="rId10"/>
          <w:headerReference w:type="first" r:id="rId11"/>
          <w:pgSz w:w="11907" w:h="16840" w:code="9"/>
          <w:pgMar w:top="1418" w:right="1418" w:bottom="1701" w:left="1418" w:header="720" w:footer="720" w:gutter="0"/>
          <w:pgNumType w:start="3"/>
          <w:cols w:space="720"/>
        </w:sectPr>
      </w:pPr>
    </w:p>
    <w:p w14:paraId="4ECBE6FB" w14:textId="77777777" w:rsidR="001231BA" w:rsidRDefault="001231BA" w:rsidP="001231BA">
      <w:pPr>
        <w:rPr>
          <w:rFonts w:cs="Arial"/>
          <w:b/>
          <w:sz w:val="32"/>
        </w:rPr>
      </w:pPr>
      <w:r w:rsidRPr="00964B8C">
        <w:rPr>
          <w:rFonts w:cs="Arial"/>
          <w:b/>
          <w:sz w:val="32"/>
        </w:rPr>
        <w:lastRenderedPageBreak/>
        <w:t>Eigenständigkeitserklärung</w:t>
      </w:r>
    </w:p>
    <w:p w14:paraId="7F68FA3B" w14:textId="77777777" w:rsidR="001231BA" w:rsidRDefault="001231BA" w:rsidP="001231BA"/>
    <w:p w14:paraId="79549B79" w14:textId="5BC94FBD" w:rsidR="001231BA" w:rsidRDefault="001231BA" w:rsidP="001231BA">
      <w:pPr>
        <w:spacing w:line="240" w:lineRule="exact"/>
        <w:rPr>
          <w:noProof/>
        </w:rPr>
      </w:pPr>
      <w:r>
        <w:rPr>
          <w:noProof/>
        </w:rPr>
        <w:t xml:space="preserve">Hiermit versichere ich, </w:t>
      </w:r>
      <w:r w:rsidR="001C5B27" w:rsidRPr="00231C88">
        <w:rPr>
          <w:rFonts w:hint="eastAsia"/>
          <w:noProof/>
        </w:rPr>
        <w:t>Yutong Liu</w:t>
      </w:r>
      <w:r w:rsidR="001C5B27">
        <w:rPr>
          <w:noProof/>
        </w:rPr>
        <w:t xml:space="preserve"> (Name) </w:t>
      </w:r>
      <w:r w:rsidR="001C5B27">
        <w:rPr>
          <w:rFonts w:hint="eastAsia"/>
          <w:noProof/>
          <w:lang w:eastAsia="zh-CN"/>
        </w:rPr>
        <w:t>23631004</w:t>
      </w:r>
      <w:r w:rsidR="001C5B27">
        <w:rPr>
          <w:noProof/>
        </w:rPr>
        <w:t xml:space="preserve"> (Matrikelnummer), </w:t>
      </w:r>
      <w:r>
        <w:rPr>
          <w:noProof/>
        </w:rPr>
        <w:t>die vorgelegte Arbeit selbstständig und ohne unzulässige Hilfe Dritter sowie ohne die Hinzuziehung nicht offengelegter und insbesondere nicht zugelassener Hilfsmittel angefertigt zu haben. Die Arbeit hat in gleicher oder ähnlicher Form noch keiner anderen Prüfungsbehörde vorgelegen und wurde auch von keiner anderen Prüfungsbehörde bereits als Teil einer Prüfung angenommen.</w:t>
      </w:r>
    </w:p>
    <w:p w14:paraId="3DDD5C54" w14:textId="77777777" w:rsidR="001231BA" w:rsidRDefault="001231BA" w:rsidP="001231BA">
      <w:pPr>
        <w:spacing w:line="240" w:lineRule="exact"/>
        <w:rPr>
          <w:rFonts w:ascii="Calibri" w:eastAsiaTheme="minorHAnsi" w:hAnsi="Calibri"/>
          <w:noProof/>
        </w:rPr>
      </w:pPr>
    </w:p>
    <w:p w14:paraId="702BE797" w14:textId="77777777" w:rsidR="001231BA" w:rsidRPr="00891D63" w:rsidRDefault="001231BA" w:rsidP="001231BA">
      <w:pPr>
        <w:spacing w:line="240" w:lineRule="exact"/>
        <w:rPr>
          <w:rFonts w:hint="eastAsia"/>
          <w:lang w:val="en-US" w:eastAsia="zh-CN"/>
        </w:rPr>
      </w:pPr>
      <w:r>
        <w:t>Die Stellen der Arbeit, die anderen Quellen im Wortlaut oder dem Sinn nach entnommen wurden, sind durch Angaben der Herkunft kenntlich gemacht (siehe Zitationsrichtlinien). Dies gilt auch für Zeichnungen, Skizzen, bildliche Darstellungen sowie für Quellen aus dem Internet.</w:t>
      </w:r>
    </w:p>
    <w:p w14:paraId="5F608D54" w14:textId="77777777" w:rsidR="001231BA" w:rsidRDefault="001231BA" w:rsidP="001231BA">
      <w:pPr>
        <w:spacing w:line="240" w:lineRule="exact"/>
      </w:pPr>
    </w:p>
    <w:p w14:paraId="161ACAED" w14:textId="77777777" w:rsidR="001231BA" w:rsidRDefault="001231BA" w:rsidP="001231BA">
      <w:pPr>
        <w:spacing w:line="240" w:lineRule="exact"/>
      </w:pPr>
      <w:r w:rsidRPr="008E3538">
        <w:t>Bei der Auswahl von KI-Tools ist auf Datenschutzkonformität (z. B. DSGVO, HAWKI) zu achten; Tools ohne ausreichende Datenschutzgarantien sollen vermieden werden. Es dürfen keine personenbezogenen oder vertraulichen Daten in KI-Systeme eingegeben werden.</w:t>
      </w:r>
    </w:p>
    <w:p w14:paraId="1CE79FCB" w14:textId="77777777" w:rsidR="001231BA" w:rsidRDefault="001231BA" w:rsidP="001231BA">
      <w:pPr>
        <w:spacing w:line="240" w:lineRule="exact"/>
        <w:rPr>
          <w:rFonts w:cs="Calibri"/>
          <w:szCs w:val="22"/>
        </w:rPr>
      </w:pPr>
    </w:p>
    <w:p w14:paraId="7CEA0356" w14:textId="77777777" w:rsidR="001231BA" w:rsidRDefault="001231BA" w:rsidP="001231BA">
      <w:pPr>
        <w:spacing w:line="240" w:lineRule="exact"/>
      </w:pPr>
      <w:r>
        <w:t xml:space="preserve">Der Bearbeitende trägt die Verantwortung für eine </w:t>
      </w:r>
      <w:r>
        <w:rPr>
          <w:noProof/>
        </w:rPr>
        <w:t xml:space="preserve">eigenständige Leistungserbringung, </w:t>
      </w:r>
      <w:r>
        <w:t xml:space="preserve">für die Korrektheit der dargestellten Informationen sowie einen reflektierten, fachlich angemessenen und ethisch vertretbaren KI-Einsatz. </w:t>
      </w:r>
    </w:p>
    <w:p w14:paraId="388EFD38" w14:textId="77777777" w:rsidR="001231BA" w:rsidRDefault="001231BA" w:rsidP="001231BA">
      <w:pPr>
        <w:spacing w:line="240" w:lineRule="exact"/>
      </w:pPr>
    </w:p>
    <w:p w14:paraId="6095144D" w14:textId="77777777" w:rsidR="001231BA" w:rsidRPr="00166274" w:rsidRDefault="001231BA" w:rsidP="001231BA">
      <w:pPr>
        <w:spacing w:line="240" w:lineRule="exact"/>
        <w:rPr>
          <w:b/>
          <w:noProof/>
        </w:rPr>
      </w:pPr>
      <w:r w:rsidRPr="00166274">
        <w:rPr>
          <w:b/>
          <w:noProof/>
        </w:rPr>
        <w:t>Verstöße gegen die o.g. Regeln sind als Täuschung bzw. Täuschungsversuch zu qualifizieren und führen zu einer Bewertung der Prüfung mit „nicht bestanden“.</w:t>
      </w:r>
    </w:p>
    <w:p w14:paraId="5238A856" w14:textId="77777777" w:rsidR="001231BA" w:rsidRDefault="001231BA" w:rsidP="001231BA"/>
    <w:p w14:paraId="629EC754" w14:textId="64964A8A" w:rsidR="001231BA" w:rsidRPr="00166274" w:rsidRDefault="001231BA" w:rsidP="001231BA">
      <w:pPr>
        <w:spacing w:line="240" w:lineRule="exact"/>
      </w:pPr>
      <w:r w:rsidRPr="00166274">
        <w:t xml:space="preserve">Ich, </w:t>
      </w:r>
      <w:r w:rsidR="001C5B27" w:rsidRPr="00C36F4C">
        <w:rPr>
          <w:rFonts w:hint="eastAsia"/>
          <w:lang w:eastAsia="zh-CN"/>
        </w:rPr>
        <w:t>Yutong Liu</w:t>
      </w:r>
      <w:r w:rsidR="001C5B27" w:rsidRPr="00166274">
        <w:t xml:space="preserve"> </w:t>
      </w:r>
      <w:r w:rsidR="001C5B27">
        <w:t xml:space="preserve"> </w:t>
      </w:r>
      <w:r w:rsidRPr="00166274">
        <w:t>(Name der/des Studierenden), erkläre hiermit, in welchem Umfang ich Künstliche</w:t>
      </w:r>
      <w:r>
        <w:t xml:space="preserve"> </w:t>
      </w:r>
      <w:r w:rsidRPr="00166274">
        <w:t>Intelligenz (KI), einschließlich Tools wie ChatGPT, Co-Pilot, HAWKI, DeepL Write,</w:t>
      </w:r>
      <w:r>
        <w:t xml:space="preserve"> </w:t>
      </w:r>
      <w:r w:rsidRPr="00166274">
        <w:t>Grammarly oder vergleichbare Werkzeuge, bei der Erstellung der vorliegenden Prüfungsleistung genutzt habe. Ich habe KI-gestützte Werkzeuge wie folgt eingesetzt</w:t>
      </w:r>
      <w:r>
        <w:t xml:space="preserve"> </w:t>
      </w:r>
      <w:r w:rsidRPr="00166274">
        <w:t>(bitte alle zutreffenden Optionen ankreuzen):</w:t>
      </w:r>
    </w:p>
    <w:p w14:paraId="0051C46D" w14:textId="77777777" w:rsidR="001231BA" w:rsidRDefault="001231BA">
      <w:pPr>
        <w:pStyle w:val="af5"/>
        <w:numPr>
          <w:ilvl w:val="0"/>
          <w:numId w:val="4"/>
        </w:numPr>
      </w:pPr>
      <w:r>
        <w:t>Gar nicht – Die Arbeit wurde vollständig ohne den Einsatz von KI-Werkzeugen erstellt.</w:t>
      </w:r>
    </w:p>
    <w:p w14:paraId="5BE93415" w14:textId="77777777" w:rsidR="001231BA" w:rsidRDefault="001231BA">
      <w:pPr>
        <w:pStyle w:val="af5"/>
        <w:numPr>
          <w:ilvl w:val="0"/>
          <w:numId w:val="4"/>
        </w:numPr>
      </w:pPr>
      <w:r>
        <w:t>Zur Recherche &amp; Ideengenerierung – KI wurde genutzt, um erste Anregungen, Konzepte oder Fragestellungen zu entwickeln (muss in der Arbeit dokumentiert werden).</w:t>
      </w:r>
    </w:p>
    <w:p w14:paraId="1C7FE319" w14:textId="77777777" w:rsidR="001231BA" w:rsidRDefault="001231BA">
      <w:pPr>
        <w:pStyle w:val="af5"/>
        <w:numPr>
          <w:ilvl w:val="0"/>
          <w:numId w:val="8"/>
        </w:numPr>
      </w:pPr>
      <w:r>
        <w:t>Zur Erstellung von Gliederungen / Strukturierung von Texten – KI wurde als Hilfsmittel zur Strukturierung der Arbeit eingesetzt, eigene Anpassungen wurden vorgenommen.</w:t>
      </w:r>
    </w:p>
    <w:p w14:paraId="7137F34C" w14:textId="77777777" w:rsidR="001231BA" w:rsidRDefault="001231BA">
      <w:pPr>
        <w:pStyle w:val="af5"/>
        <w:numPr>
          <w:ilvl w:val="0"/>
          <w:numId w:val="5"/>
        </w:numPr>
      </w:pPr>
      <w:r>
        <w:t>Zur Formulierungshilfe (z. B. Verbesserung von Satzbau, Stil) – KI wurde zur Verbesserung von Stil und Lesbarkeit genutzt, jedoch nicht zur vollständigen Textgenerierung.</w:t>
      </w:r>
    </w:p>
    <w:p w14:paraId="0A7D93D0" w14:textId="77777777" w:rsidR="001231BA" w:rsidRDefault="001231BA">
      <w:pPr>
        <w:pStyle w:val="af5"/>
        <w:numPr>
          <w:ilvl w:val="0"/>
          <w:numId w:val="5"/>
        </w:numPr>
      </w:pPr>
      <w:r>
        <w:t>Zur Korrektur von Grammatik und Rechtschreibung – KI wurde zur sprachlichen Optimierung genutzt, jedoch nicht zur inhaltlichen Veränderung oder Textgenerierung.</w:t>
      </w:r>
    </w:p>
    <w:p w14:paraId="0E9C46F1" w14:textId="77777777" w:rsidR="001231BA" w:rsidRDefault="001231BA">
      <w:pPr>
        <w:pStyle w:val="af5"/>
        <w:numPr>
          <w:ilvl w:val="0"/>
          <w:numId w:val="5"/>
        </w:numPr>
      </w:pPr>
      <w:r>
        <w:lastRenderedPageBreak/>
        <w:t>Zur Übersetzung von Texten – KI wurde für Übersetzungen genutzt, wobei alle übersetzten Passagen überarbeitet und auf inhaltliche Richtigkeit geprüft wurden.</w:t>
      </w:r>
    </w:p>
    <w:p w14:paraId="1C5A3DC1" w14:textId="77777777" w:rsidR="001231BA" w:rsidRDefault="001231BA">
      <w:pPr>
        <w:pStyle w:val="af5"/>
        <w:numPr>
          <w:ilvl w:val="0"/>
          <w:numId w:val="7"/>
        </w:numPr>
      </w:pPr>
      <w:r>
        <w:t>Zur Erstellung oder Optimierung von Grafiken, Diagrammen oder visuellen Darstellungen – KI wurde für bildliche Darstellungen genutzt, die in der Arbeit interpretiert und eingeordnet wurden.</w:t>
      </w:r>
    </w:p>
    <w:p w14:paraId="4CFFE36A" w14:textId="77777777" w:rsidR="001231BA" w:rsidRDefault="001231BA">
      <w:pPr>
        <w:pStyle w:val="af5"/>
        <w:numPr>
          <w:ilvl w:val="0"/>
          <w:numId w:val="6"/>
        </w:numPr>
      </w:pPr>
      <w:r>
        <w:t>Zur Programmierung / Code-Erstellung – KI wurde zur Generierung von Code verwendet, wobei alle generierten Inhalte überprüft und nachvollziehbar kommentiert wurden.</w:t>
      </w:r>
    </w:p>
    <w:p w14:paraId="0FC42C3B" w14:textId="77777777" w:rsidR="001231BA" w:rsidRDefault="001231BA">
      <w:pPr>
        <w:pStyle w:val="af5"/>
        <w:numPr>
          <w:ilvl w:val="0"/>
          <w:numId w:val="4"/>
        </w:numPr>
      </w:pPr>
      <w:r>
        <w:t>Zur Erstellung von KI-gestützten Zusammenfassungen wissenschaftlicher Texte KI-Tools wurden zur Erstellung von Zusammenfassungen genutzt, deren Inhalte nachvollziehbar kommentiert wurden.</w:t>
      </w:r>
    </w:p>
    <w:p w14:paraId="73E19B49" w14:textId="77777777" w:rsidR="001231BA" w:rsidRDefault="001231BA">
      <w:pPr>
        <w:pStyle w:val="af5"/>
        <w:numPr>
          <w:ilvl w:val="0"/>
          <w:numId w:val="4"/>
        </w:numPr>
      </w:pPr>
      <w:r>
        <w:t xml:space="preserve">Für weitere Zwecke, nämlich: </w:t>
      </w:r>
      <w:r>
        <w:br/>
        <w:t>__________________________________________________________________________________________________________________________.</w:t>
      </w:r>
    </w:p>
    <w:p w14:paraId="310F4724" w14:textId="77777777" w:rsidR="001231BA" w:rsidRDefault="001231BA" w:rsidP="001231BA"/>
    <w:p w14:paraId="32290114" w14:textId="77777777" w:rsidR="001231BA" w:rsidRPr="00DC2241" w:rsidRDefault="001231BA" w:rsidP="001231BA">
      <w:pPr>
        <w:spacing w:line="240" w:lineRule="exact"/>
      </w:pPr>
      <w:r>
        <w:t>Ich versichere, alle Nutzungen vollständig und wahrheitsgemäß angegeben zu haben. Mir ist bewusst, dass das Verschweigen oder falsche Angaben zur Nutzung von KI-Tools als Täuschungsversuch gewertet werden können und prüfungsrechtliche Konsequenzen haben.</w:t>
      </w:r>
    </w:p>
    <w:p w14:paraId="6A1B1D4D" w14:textId="77777777" w:rsidR="001231BA" w:rsidRPr="00DC2241" w:rsidRDefault="001231BA" w:rsidP="001231BA"/>
    <w:p w14:paraId="2D40064A" w14:textId="77777777" w:rsidR="001231BA" w:rsidRPr="00891D63" w:rsidRDefault="001231BA" w:rsidP="001231BA">
      <w:pPr>
        <w:spacing w:line="240" w:lineRule="exact"/>
        <w:rPr>
          <w:noProof/>
          <w:szCs w:val="22"/>
          <w:lang w:eastAsia="zh-CN"/>
        </w:rPr>
      </w:pPr>
    </w:p>
    <w:p w14:paraId="0C3E0D44" w14:textId="77777777" w:rsidR="001231BA" w:rsidRDefault="001231BA" w:rsidP="001231BA">
      <w:pPr>
        <w:spacing w:line="240" w:lineRule="exact"/>
        <w:rPr>
          <w:noProof/>
          <w:szCs w:val="22"/>
        </w:rPr>
      </w:pPr>
      <w:r>
        <w:rPr>
          <w:noProof/>
          <w:szCs w:val="22"/>
        </w:rPr>
        <w:t>_______________________</w:t>
      </w:r>
      <w:r>
        <w:rPr>
          <w:noProof/>
          <w:szCs w:val="22"/>
        </w:rPr>
        <w:tab/>
      </w:r>
      <w:r>
        <w:rPr>
          <w:noProof/>
          <w:szCs w:val="22"/>
        </w:rPr>
        <w:tab/>
      </w:r>
      <w:r>
        <w:rPr>
          <w:noProof/>
          <w:szCs w:val="22"/>
        </w:rPr>
        <w:tab/>
        <w:t>______________________________</w:t>
      </w:r>
    </w:p>
    <w:p w14:paraId="438FAF03" w14:textId="77777777" w:rsidR="001231BA" w:rsidRDefault="001231BA" w:rsidP="001231BA">
      <w:pPr>
        <w:rPr>
          <w:noProof/>
          <w:szCs w:val="22"/>
        </w:rPr>
      </w:pPr>
      <w:r>
        <w:rPr>
          <w:noProof/>
          <w:szCs w:val="22"/>
        </w:rPr>
        <w:t>Ort, Datum</w:t>
      </w:r>
      <w:r>
        <w:rPr>
          <w:noProof/>
          <w:szCs w:val="22"/>
        </w:rPr>
        <w:tab/>
      </w:r>
      <w:r>
        <w:rPr>
          <w:noProof/>
          <w:szCs w:val="22"/>
        </w:rPr>
        <w:tab/>
      </w:r>
      <w:r>
        <w:rPr>
          <w:noProof/>
          <w:szCs w:val="22"/>
        </w:rPr>
        <w:tab/>
      </w:r>
      <w:r>
        <w:rPr>
          <w:noProof/>
          <w:szCs w:val="22"/>
        </w:rPr>
        <w:tab/>
      </w:r>
      <w:r>
        <w:rPr>
          <w:noProof/>
          <w:szCs w:val="22"/>
        </w:rPr>
        <w:tab/>
      </w:r>
      <w:r>
        <w:rPr>
          <w:noProof/>
          <w:szCs w:val="22"/>
        </w:rPr>
        <w:tab/>
        <w:t>Eigenhändige Unterschrift</w:t>
      </w:r>
    </w:p>
    <w:p w14:paraId="7A39E09A" w14:textId="77777777" w:rsidR="001231BA" w:rsidRPr="00DC2241" w:rsidRDefault="001231BA" w:rsidP="001231BA"/>
    <w:p w14:paraId="196A5DF9" w14:textId="77777777" w:rsidR="00A82184" w:rsidRPr="00DC2241" w:rsidRDefault="00A82184" w:rsidP="003243D7"/>
    <w:p w14:paraId="20A3CDD6" w14:textId="77777777" w:rsidR="00A82184" w:rsidRPr="00DC2241" w:rsidRDefault="00A82184" w:rsidP="003243D7">
      <w:pPr>
        <w:sectPr w:rsidR="00A82184" w:rsidRPr="00DC2241" w:rsidSect="00E4309C">
          <w:headerReference w:type="default" r:id="rId12"/>
          <w:footerReference w:type="default" r:id="rId13"/>
          <w:pgSz w:w="11907" w:h="16840" w:code="9"/>
          <w:pgMar w:top="1418" w:right="1418" w:bottom="1701" w:left="1418" w:header="720" w:footer="720" w:gutter="0"/>
          <w:pgNumType w:start="3"/>
          <w:cols w:space="720"/>
        </w:sectPr>
      </w:pPr>
    </w:p>
    <w:p w14:paraId="471C3CF2" w14:textId="77777777" w:rsidR="00216351" w:rsidRDefault="00216351" w:rsidP="00216351">
      <w:pPr>
        <w:pStyle w:val="Verzeichnisse"/>
      </w:pPr>
      <w:bookmarkStart w:id="0" w:name="_Toc442935986"/>
      <w:bookmarkStart w:id="1" w:name="_Toc442936725"/>
      <w:r w:rsidRPr="00AC1038">
        <w:lastRenderedPageBreak/>
        <w:t>Kurzfassung</w:t>
      </w:r>
    </w:p>
    <w:p w14:paraId="1C36299E" w14:textId="77777777" w:rsidR="001C5B27" w:rsidRDefault="001C5B27" w:rsidP="001C5B27">
      <w:r>
        <w:t>Diese Arbeit entwickelt einen prototypischen Ansatz zur automatisierten Risikoanalyse in der nordamerikanischen Batterie-Lieferkette. Ziel ist es, unstrukturierte Ereignistexte mit strukturierten Lieferkettendaten zu verknüpfen und daraus erklärbare Risikowarnungen für potenziell betroffene Anlagen abzuleiten.</w:t>
      </w:r>
    </w:p>
    <w:p w14:paraId="64E756A8" w14:textId="77777777" w:rsidR="001C5B27" w:rsidRDefault="001C5B27" w:rsidP="001C5B27"/>
    <w:p w14:paraId="19F45715" w14:textId="77777777" w:rsidR="001C5B27" w:rsidRDefault="001C5B27" w:rsidP="001C5B27">
      <w:r>
        <w:t>Der Prototyp kombiniert LLM-gestützte Agenten für Textverständnis, Klassifikation, Berichtsgenerierung und Validierung mit deterministischen Komponenten für Graphtraversierung, Datenabfrage und RiskScore-Berechnung. Als Datenbasis dient die NAATBatt North American Lithium-Ion Battery Supply Chain Database, aus der ein gerichteter Lieferkettengraph abgeleitet wird.</w:t>
      </w:r>
    </w:p>
    <w:p w14:paraId="1A1383A4" w14:textId="4E727D34" w:rsidR="00025442" w:rsidRDefault="00025442" w:rsidP="001C5B27">
      <w:pPr>
        <w:rPr>
          <w:rFonts w:hint="eastAsia"/>
          <w:lang w:eastAsia="zh-CN"/>
        </w:rPr>
      </w:pPr>
    </w:p>
    <w:p w14:paraId="670C7549" w14:textId="58594C50" w:rsidR="001C5B27" w:rsidRDefault="001C5B27" w:rsidP="001C5B27">
      <w:r>
        <w:t>Die Evaluation anhand von vier Szenarien zeigt stabile Ergebnisse für Merkmalsextraktion, Netzwerkzuordnung und Risikobewertung. Zugleich werden Grenzen sichtbar, insbesondere durch simulierte Lieferbeziehungen und unbelegte Einzelangaben in frei formulierten Berichtspassagen. Die Arbeit zeigt damit, dass LLM-basierte Textinterpretation und deterministische Verarbeitung gemeinsam erklärbare Risikoanalysen unterstützen können, sofern Datenherkunft und Modellannahmen transparent ausgewiesen werden.</w:t>
      </w:r>
    </w:p>
    <w:p w14:paraId="215ADE37" w14:textId="1F8B3AD1" w:rsidR="00216351" w:rsidRDefault="00216351" w:rsidP="001C5B27"/>
    <w:p w14:paraId="360BB6B4" w14:textId="77777777" w:rsidR="00216351" w:rsidRDefault="00216351" w:rsidP="00216351">
      <w:pPr>
        <w:spacing w:before="0" w:after="0" w:line="240" w:lineRule="auto"/>
        <w:jc w:val="left"/>
        <w:rPr>
          <w:rFonts w:cs="Arial"/>
          <w:b/>
          <w:sz w:val="32"/>
        </w:rPr>
      </w:pPr>
      <w:r>
        <w:br w:type="page"/>
      </w:r>
    </w:p>
    <w:p w14:paraId="7A6CDF3E" w14:textId="77777777" w:rsidR="00F56A76" w:rsidRPr="00DC2241" w:rsidRDefault="00F56A76" w:rsidP="005F4127">
      <w:pPr>
        <w:pStyle w:val="Verzeichnisse"/>
      </w:pPr>
      <w:r w:rsidRPr="00DC2241">
        <w:lastRenderedPageBreak/>
        <w:t>Inhaltsverzeichnis</w:t>
      </w:r>
      <w:bookmarkEnd w:id="0"/>
      <w:bookmarkEnd w:id="1"/>
    </w:p>
    <w:p w14:paraId="128CA326" w14:textId="33D2BA2F" w:rsidR="007B3711" w:rsidRPr="007B3711" w:rsidRDefault="00661E48">
      <w:pPr>
        <w:pStyle w:val="TOC1"/>
        <w:tabs>
          <w:tab w:val="right" w:leader="dot" w:pos="9061"/>
        </w:tabs>
        <w:rPr>
          <w:rFonts w:asciiTheme="minorHAnsi" w:hAnsiTheme="minorHAnsi" w:cstheme="minorBidi"/>
          <w:b w:val="0"/>
          <w:smallCaps w:val="0"/>
          <w:noProof/>
          <w:kern w:val="2"/>
          <w:sz w:val="22"/>
          <w:lang w:eastAsia="zh-CN"/>
          <w14:ligatures w14:val="standardContextual"/>
        </w:rPr>
      </w:pPr>
      <w:r w:rsidRPr="00DC2241">
        <w:rPr>
          <w:rFonts w:cs="Arial"/>
        </w:rPr>
        <w:fldChar w:fldCharType="begin"/>
      </w:r>
      <w:r w:rsidRPr="00DC2241">
        <w:rPr>
          <w:rFonts w:cs="Arial"/>
        </w:rPr>
        <w:instrText xml:space="preserve"> TOC \o "1-3" </w:instrText>
      </w:r>
      <w:r w:rsidRPr="00DC2241">
        <w:rPr>
          <w:rFonts w:cs="Arial"/>
        </w:rPr>
        <w:fldChar w:fldCharType="separate"/>
      </w:r>
      <w:r w:rsidR="007B3711">
        <w:rPr>
          <w:noProof/>
        </w:rPr>
        <w:t>1</w:t>
      </w:r>
      <w:r w:rsidR="007B3711" w:rsidRPr="007B3711">
        <w:rPr>
          <w:rFonts w:asciiTheme="minorHAnsi" w:hAnsiTheme="minorHAnsi" w:cstheme="minorBidi"/>
          <w:b w:val="0"/>
          <w:smallCaps w:val="0"/>
          <w:noProof/>
          <w:kern w:val="2"/>
          <w:sz w:val="22"/>
          <w:lang w:eastAsia="zh-CN"/>
          <w14:ligatures w14:val="standardContextual"/>
        </w:rPr>
        <w:tab/>
      </w:r>
      <w:r w:rsidR="007B3711">
        <w:rPr>
          <w:noProof/>
        </w:rPr>
        <w:t>Einleitung und Zielstellung</w:t>
      </w:r>
      <w:r w:rsidR="007B3711">
        <w:rPr>
          <w:noProof/>
        </w:rPr>
        <w:tab/>
      </w:r>
      <w:r w:rsidR="007B3711">
        <w:rPr>
          <w:noProof/>
        </w:rPr>
        <w:fldChar w:fldCharType="begin"/>
      </w:r>
      <w:r w:rsidR="007B3711">
        <w:rPr>
          <w:noProof/>
        </w:rPr>
        <w:instrText xml:space="preserve"> PAGEREF _Toc238658030 \h </w:instrText>
      </w:r>
      <w:r w:rsidR="007B3711">
        <w:rPr>
          <w:noProof/>
        </w:rPr>
      </w:r>
      <w:r w:rsidR="007B3711">
        <w:rPr>
          <w:noProof/>
        </w:rPr>
        <w:fldChar w:fldCharType="separate"/>
      </w:r>
      <w:r w:rsidR="007B3711">
        <w:rPr>
          <w:noProof/>
        </w:rPr>
        <w:t>1</w:t>
      </w:r>
      <w:r w:rsidR="007B3711">
        <w:rPr>
          <w:noProof/>
        </w:rPr>
        <w:fldChar w:fldCharType="end"/>
      </w:r>
    </w:p>
    <w:p w14:paraId="385BA8DF" w14:textId="6D3615A1"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1.1</w:t>
      </w:r>
      <w:r w:rsidRPr="007B3711">
        <w:rPr>
          <w:rFonts w:asciiTheme="minorHAnsi" w:hAnsiTheme="minorHAnsi" w:cstheme="minorBidi"/>
          <w:b w:val="0"/>
          <w:noProof/>
          <w:kern w:val="2"/>
          <w:lang w:eastAsia="zh-CN"/>
          <w14:ligatures w14:val="standardContextual"/>
        </w:rPr>
        <w:tab/>
      </w:r>
      <w:r>
        <w:rPr>
          <w:noProof/>
        </w:rPr>
        <w:t>Motivation und Problemstellung</w:t>
      </w:r>
      <w:r>
        <w:rPr>
          <w:noProof/>
        </w:rPr>
        <w:tab/>
      </w:r>
      <w:r>
        <w:rPr>
          <w:noProof/>
        </w:rPr>
        <w:fldChar w:fldCharType="begin"/>
      </w:r>
      <w:r>
        <w:rPr>
          <w:noProof/>
        </w:rPr>
        <w:instrText xml:space="preserve"> PAGEREF _Toc238658031 \h </w:instrText>
      </w:r>
      <w:r>
        <w:rPr>
          <w:noProof/>
        </w:rPr>
      </w:r>
      <w:r>
        <w:rPr>
          <w:noProof/>
        </w:rPr>
        <w:fldChar w:fldCharType="separate"/>
      </w:r>
      <w:r>
        <w:rPr>
          <w:noProof/>
        </w:rPr>
        <w:t>1</w:t>
      </w:r>
      <w:r>
        <w:rPr>
          <w:noProof/>
        </w:rPr>
        <w:fldChar w:fldCharType="end"/>
      </w:r>
    </w:p>
    <w:p w14:paraId="2F6A321A" w14:textId="4EDA9D66"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1.2</w:t>
      </w:r>
      <w:r w:rsidRPr="007B3711">
        <w:rPr>
          <w:rFonts w:asciiTheme="minorHAnsi" w:hAnsiTheme="minorHAnsi" w:cstheme="minorBidi"/>
          <w:b w:val="0"/>
          <w:noProof/>
          <w:kern w:val="2"/>
          <w:lang w:eastAsia="zh-CN"/>
          <w14:ligatures w14:val="standardContextual"/>
        </w:rPr>
        <w:tab/>
      </w:r>
      <w:r>
        <w:rPr>
          <w:noProof/>
        </w:rPr>
        <w:t>Zielsetzung und Forschungsfragen</w:t>
      </w:r>
      <w:r>
        <w:rPr>
          <w:noProof/>
        </w:rPr>
        <w:tab/>
      </w:r>
      <w:r>
        <w:rPr>
          <w:noProof/>
        </w:rPr>
        <w:fldChar w:fldCharType="begin"/>
      </w:r>
      <w:r>
        <w:rPr>
          <w:noProof/>
        </w:rPr>
        <w:instrText xml:space="preserve"> PAGEREF _Toc238658032 \h </w:instrText>
      </w:r>
      <w:r>
        <w:rPr>
          <w:noProof/>
        </w:rPr>
      </w:r>
      <w:r>
        <w:rPr>
          <w:noProof/>
        </w:rPr>
        <w:fldChar w:fldCharType="separate"/>
      </w:r>
      <w:r>
        <w:rPr>
          <w:noProof/>
        </w:rPr>
        <w:t>1</w:t>
      </w:r>
      <w:r>
        <w:rPr>
          <w:noProof/>
        </w:rPr>
        <w:fldChar w:fldCharType="end"/>
      </w:r>
    </w:p>
    <w:p w14:paraId="1810E70A" w14:textId="1232F6B0"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1.3</w:t>
      </w:r>
      <w:r w:rsidRPr="007B3711">
        <w:rPr>
          <w:rFonts w:asciiTheme="minorHAnsi" w:hAnsiTheme="minorHAnsi" w:cstheme="minorBidi"/>
          <w:b w:val="0"/>
          <w:noProof/>
          <w:kern w:val="2"/>
          <w:lang w:eastAsia="zh-CN"/>
          <w14:ligatures w14:val="standardContextual"/>
        </w:rPr>
        <w:tab/>
      </w:r>
      <w:r>
        <w:rPr>
          <w:noProof/>
        </w:rPr>
        <w:t>Abgrenzung des Untersuchungsgegenstands</w:t>
      </w:r>
      <w:r>
        <w:rPr>
          <w:noProof/>
        </w:rPr>
        <w:tab/>
      </w:r>
      <w:r>
        <w:rPr>
          <w:noProof/>
        </w:rPr>
        <w:fldChar w:fldCharType="begin"/>
      </w:r>
      <w:r>
        <w:rPr>
          <w:noProof/>
        </w:rPr>
        <w:instrText xml:space="preserve"> PAGEREF _Toc238658033 \h </w:instrText>
      </w:r>
      <w:r>
        <w:rPr>
          <w:noProof/>
        </w:rPr>
      </w:r>
      <w:r>
        <w:rPr>
          <w:noProof/>
        </w:rPr>
        <w:fldChar w:fldCharType="separate"/>
      </w:r>
      <w:r>
        <w:rPr>
          <w:noProof/>
        </w:rPr>
        <w:t>2</w:t>
      </w:r>
      <w:r>
        <w:rPr>
          <w:noProof/>
        </w:rPr>
        <w:fldChar w:fldCharType="end"/>
      </w:r>
    </w:p>
    <w:p w14:paraId="5B7C2B12" w14:textId="3A628E6E"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1.4</w:t>
      </w:r>
      <w:r w:rsidRPr="007B3711">
        <w:rPr>
          <w:rFonts w:asciiTheme="minorHAnsi" w:hAnsiTheme="minorHAnsi" w:cstheme="minorBidi"/>
          <w:b w:val="0"/>
          <w:noProof/>
          <w:kern w:val="2"/>
          <w:lang w:eastAsia="zh-CN"/>
          <w14:ligatures w14:val="standardContextual"/>
        </w:rPr>
        <w:tab/>
      </w:r>
      <w:r>
        <w:rPr>
          <w:noProof/>
        </w:rPr>
        <w:t>Aufbau der Arbeit</w:t>
      </w:r>
      <w:r>
        <w:rPr>
          <w:noProof/>
        </w:rPr>
        <w:tab/>
      </w:r>
      <w:r>
        <w:rPr>
          <w:noProof/>
        </w:rPr>
        <w:fldChar w:fldCharType="begin"/>
      </w:r>
      <w:r>
        <w:rPr>
          <w:noProof/>
        </w:rPr>
        <w:instrText xml:space="preserve"> PAGEREF _Toc238658034 \h </w:instrText>
      </w:r>
      <w:r>
        <w:rPr>
          <w:noProof/>
        </w:rPr>
      </w:r>
      <w:r>
        <w:rPr>
          <w:noProof/>
        </w:rPr>
        <w:fldChar w:fldCharType="separate"/>
      </w:r>
      <w:r>
        <w:rPr>
          <w:noProof/>
        </w:rPr>
        <w:t>2</w:t>
      </w:r>
      <w:r>
        <w:rPr>
          <w:noProof/>
        </w:rPr>
        <w:fldChar w:fldCharType="end"/>
      </w:r>
    </w:p>
    <w:p w14:paraId="458D3378" w14:textId="5847B012" w:rsidR="007B3711" w:rsidRPr="007B3711" w:rsidRDefault="007B3711">
      <w:pPr>
        <w:pStyle w:val="TOC1"/>
        <w:tabs>
          <w:tab w:val="right" w:leader="dot" w:pos="9061"/>
        </w:tabs>
        <w:rPr>
          <w:rFonts w:asciiTheme="minorHAnsi" w:hAnsiTheme="minorHAnsi" w:cstheme="minorBidi"/>
          <w:b w:val="0"/>
          <w:smallCaps w:val="0"/>
          <w:noProof/>
          <w:kern w:val="2"/>
          <w:sz w:val="22"/>
          <w:lang w:eastAsia="zh-CN"/>
          <w14:ligatures w14:val="standardContextual"/>
        </w:rPr>
      </w:pPr>
      <w:r>
        <w:rPr>
          <w:noProof/>
        </w:rPr>
        <w:t>2</w:t>
      </w:r>
      <w:r w:rsidRPr="007B3711">
        <w:rPr>
          <w:rFonts w:asciiTheme="minorHAnsi" w:hAnsiTheme="minorHAnsi" w:cstheme="minorBidi"/>
          <w:b w:val="0"/>
          <w:smallCaps w:val="0"/>
          <w:noProof/>
          <w:kern w:val="2"/>
          <w:sz w:val="22"/>
          <w:lang w:eastAsia="zh-CN"/>
          <w14:ligatures w14:val="standardContextual"/>
        </w:rPr>
        <w:tab/>
      </w:r>
      <w:r>
        <w:rPr>
          <w:noProof/>
        </w:rPr>
        <w:t>Grundlagen und Stand der Technik</w:t>
      </w:r>
      <w:r>
        <w:rPr>
          <w:noProof/>
        </w:rPr>
        <w:tab/>
      </w:r>
      <w:r>
        <w:rPr>
          <w:noProof/>
        </w:rPr>
        <w:fldChar w:fldCharType="begin"/>
      </w:r>
      <w:r>
        <w:rPr>
          <w:noProof/>
        </w:rPr>
        <w:instrText xml:space="preserve"> PAGEREF _Toc238658035 \h </w:instrText>
      </w:r>
      <w:r>
        <w:rPr>
          <w:noProof/>
        </w:rPr>
      </w:r>
      <w:r>
        <w:rPr>
          <w:noProof/>
        </w:rPr>
        <w:fldChar w:fldCharType="separate"/>
      </w:r>
      <w:r>
        <w:rPr>
          <w:noProof/>
        </w:rPr>
        <w:t>3</w:t>
      </w:r>
      <w:r>
        <w:rPr>
          <w:noProof/>
        </w:rPr>
        <w:fldChar w:fldCharType="end"/>
      </w:r>
    </w:p>
    <w:p w14:paraId="54FC6BF1" w14:textId="4D9F9171" w:rsidR="007B3711" w:rsidRDefault="007B3711">
      <w:pPr>
        <w:pStyle w:val="TOC2"/>
        <w:tabs>
          <w:tab w:val="left" w:pos="1134"/>
          <w:tab w:val="right" w:leader="dot" w:pos="9061"/>
        </w:tabs>
        <w:rPr>
          <w:rFonts w:asciiTheme="minorHAnsi" w:hAnsiTheme="minorHAnsi" w:cstheme="minorBidi"/>
          <w:b w:val="0"/>
          <w:noProof/>
          <w:kern w:val="2"/>
          <w:lang w:val="en-US" w:eastAsia="zh-CN"/>
          <w14:ligatures w14:val="standardContextual"/>
        </w:rPr>
      </w:pPr>
      <w:r w:rsidRPr="007B3711">
        <w:rPr>
          <w:noProof/>
          <w:lang w:val="en-US"/>
        </w:rPr>
        <w:t>2.1</w:t>
      </w:r>
      <w:r>
        <w:rPr>
          <w:rFonts w:asciiTheme="minorHAnsi" w:hAnsiTheme="minorHAnsi" w:cstheme="minorBidi"/>
          <w:b w:val="0"/>
          <w:noProof/>
          <w:kern w:val="2"/>
          <w:lang w:val="en-US" w:eastAsia="zh-CN"/>
          <w14:ligatures w14:val="standardContextual"/>
        </w:rPr>
        <w:tab/>
      </w:r>
      <w:r w:rsidRPr="007B3711">
        <w:rPr>
          <w:noProof/>
          <w:lang w:val="en-US"/>
        </w:rPr>
        <w:t>Supply Chain Risk Management</w:t>
      </w:r>
      <w:r w:rsidRPr="007B3711">
        <w:rPr>
          <w:noProof/>
          <w:lang w:val="en-US"/>
        </w:rPr>
        <w:tab/>
      </w:r>
      <w:r>
        <w:rPr>
          <w:noProof/>
        </w:rPr>
        <w:fldChar w:fldCharType="begin"/>
      </w:r>
      <w:r w:rsidRPr="007B3711">
        <w:rPr>
          <w:noProof/>
          <w:lang w:val="en-US"/>
        </w:rPr>
        <w:instrText xml:space="preserve"> PAGEREF _Toc238658036 \h </w:instrText>
      </w:r>
      <w:r>
        <w:rPr>
          <w:noProof/>
        </w:rPr>
      </w:r>
      <w:r>
        <w:rPr>
          <w:noProof/>
        </w:rPr>
        <w:fldChar w:fldCharType="separate"/>
      </w:r>
      <w:r w:rsidRPr="007B3711">
        <w:rPr>
          <w:noProof/>
          <w:lang w:val="en-US"/>
        </w:rPr>
        <w:t>3</w:t>
      </w:r>
      <w:r>
        <w:rPr>
          <w:noProof/>
        </w:rPr>
        <w:fldChar w:fldCharType="end"/>
      </w:r>
    </w:p>
    <w:p w14:paraId="72C5E539" w14:textId="50EC7327" w:rsidR="007B3711" w:rsidRDefault="007B3711">
      <w:pPr>
        <w:pStyle w:val="TOC2"/>
        <w:tabs>
          <w:tab w:val="left" w:pos="1134"/>
          <w:tab w:val="right" w:leader="dot" w:pos="9061"/>
        </w:tabs>
        <w:rPr>
          <w:rFonts w:asciiTheme="minorHAnsi" w:hAnsiTheme="minorHAnsi" w:cstheme="minorBidi"/>
          <w:b w:val="0"/>
          <w:noProof/>
          <w:kern w:val="2"/>
          <w:lang w:val="en-US" w:eastAsia="zh-CN"/>
          <w14:ligatures w14:val="standardContextual"/>
        </w:rPr>
      </w:pPr>
      <w:r w:rsidRPr="007B3711">
        <w:rPr>
          <w:noProof/>
          <w:lang w:val="en-US"/>
        </w:rPr>
        <w:t>2.2</w:t>
      </w:r>
      <w:r>
        <w:rPr>
          <w:rFonts w:asciiTheme="minorHAnsi" w:hAnsiTheme="minorHAnsi" w:cstheme="minorBidi"/>
          <w:b w:val="0"/>
          <w:noProof/>
          <w:kern w:val="2"/>
          <w:lang w:val="en-US" w:eastAsia="zh-CN"/>
          <w14:ligatures w14:val="standardContextual"/>
        </w:rPr>
        <w:tab/>
      </w:r>
      <w:r w:rsidRPr="007B3711">
        <w:rPr>
          <w:noProof/>
          <w:lang w:val="en-US"/>
        </w:rPr>
        <w:t>Large Language Models in der Lieferkettenanalyse</w:t>
      </w:r>
      <w:r w:rsidRPr="007B3711">
        <w:rPr>
          <w:noProof/>
          <w:lang w:val="en-US"/>
        </w:rPr>
        <w:tab/>
      </w:r>
      <w:r>
        <w:rPr>
          <w:noProof/>
        </w:rPr>
        <w:fldChar w:fldCharType="begin"/>
      </w:r>
      <w:r w:rsidRPr="007B3711">
        <w:rPr>
          <w:noProof/>
          <w:lang w:val="en-US"/>
        </w:rPr>
        <w:instrText xml:space="preserve"> PAGEREF _Toc238658037 \h </w:instrText>
      </w:r>
      <w:r>
        <w:rPr>
          <w:noProof/>
        </w:rPr>
      </w:r>
      <w:r>
        <w:rPr>
          <w:noProof/>
        </w:rPr>
        <w:fldChar w:fldCharType="separate"/>
      </w:r>
      <w:r w:rsidRPr="007B3711">
        <w:rPr>
          <w:noProof/>
          <w:lang w:val="en-US"/>
        </w:rPr>
        <w:t>4</w:t>
      </w:r>
      <w:r>
        <w:rPr>
          <w:noProof/>
        </w:rPr>
        <w:fldChar w:fldCharType="end"/>
      </w:r>
    </w:p>
    <w:p w14:paraId="2CF7B265" w14:textId="2115B947"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2.3</w:t>
      </w:r>
      <w:r w:rsidRPr="007B3711">
        <w:rPr>
          <w:rFonts w:asciiTheme="minorHAnsi" w:hAnsiTheme="minorHAnsi" w:cstheme="minorBidi"/>
          <w:b w:val="0"/>
          <w:noProof/>
          <w:kern w:val="2"/>
          <w:lang w:eastAsia="zh-CN"/>
          <w14:ligatures w14:val="standardContextual"/>
        </w:rPr>
        <w:tab/>
      </w:r>
      <w:r>
        <w:rPr>
          <w:noProof/>
        </w:rPr>
        <w:t>LLM-basierte Multi-Agenten-Systeme</w:t>
      </w:r>
      <w:r>
        <w:rPr>
          <w:noProof/>
        </w:rPr>
        <w:tab/>
      </w:r>
      <w:r>
        <w:rPr>
          <w:noProof/>
        </w:rPr>
        <w:fldChar w:fldCharType="begin"/>
      </w:r>
      <w:r>
        <w:rPr>
          <w:noProof/>
        </w:rPr>
        <w:instrText xml:space="preserve"> PAGEREF _Toc238658038 \h </w:instrText>
      </w:r>
      <w:r>
        <w:rPr>
          <w:noProof/>
        </w:rPr>
      </w:r>
      <w:r>
        <w:rPr>
          <w:noProof/>
        </w:rPr>
        <w:fldChar w:fldCharType="separate"/>
      </w:r>
      <w:r>
        <w:rPr>
          <w:noProof/>
        </w:rPr>
        <w:t>6</w:t>
      </w:r>
      <w:r>
        <w:rPr>
          <w:noProof/>
        </w:rPr>
        <w:fldChar w:fldCharType="end"/>
      </w:r>
    </w:p>
    <w:p w14:paraId="35839BBE" w14:textId="75C87198"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2.4</w:t>
      </w:r>
      <w:r w:rsidRPr="007B3711">
        <w:rPr>
          <w:rFonts w:asciiTheme="minorHAnsi" w:hAnsiTheme="minorHAnsi" w:cstheme="minorBidi"/>
          <w:b w:val="0"/>
          <w:noProof/>
          <w:kern w:val="2"/>
          <w:lang w:eastAsia="zh-CN"/>
          <w14:ligatures w14:val="standardContextual"/>
        </w:rPr>
        <w:tab/>
      </w:r>
      <w:r>
        <w:rPr>
          <w:noProof/>
        </w:rPr>
        <w:t>Handlungsbedarf und Forschungslücke</w:t>
      </w:r>
      <w:r>
        <w:rPr>
          <w:noProof/>
        </w:rPr>
        <w:tab/>
      </w:r>
      <w:r>
        <w:rPr>
          <w:noProof/>
        </w:rPr>
        <w:fldChar w:fldCharType="begin"/>
      </w:r>
      <w:r>
        <w:rPr>
          <w:noProof/>
        </w:rPr>
        <w:instrText xml:space="preserve"> PAGEREF _Toc238658039 \h </w:instrText>
      </w:r>
      <w:r>
        <w:rPr>
          <w:noProof/>
        </w:rPr>
      </w:r>
      <w:r>
        <w:rPr>
          <w:noProof/>
        </w:rPr>
        <w:fldChar w:fldCharType="separate"/>
      </w:r>
      <w:r>
        <w:rPr>
          <w:noProof/>
        </w:rPr>
        <w:t>7</w:t>
      </w:r>
      <w:r>
        <w:rPr>
          <w:noProof/>
        </w:rPr>
        <w:fldChar w:fldCharType="end"/>
      </w:r>
    </w:p>
    <w:p w14:paraId="14FA93B4" w14:textId="0BF83F09" w:rsidR="007B3711" w:rsidRPr="007B3711" w:rsidRDefault="007B3711">
      <w:pPr>
        <w:pStyle w:val="TOC1"/>
        <w:tabs>
          <w:tab w:val="right" w:leader="dot" w:pos="9061"/>
        </w:tabs>
        <w:rPr>
          <w:rFonts w:asciiTheme="minorHAnsi" w:hAnsiTheme="minorHAnsi" w:cstheme="minorBidi"/>
          <w:b w:val="0"/>
          <w:smallCaps w:val="0"/>
          <w:noProof/>
          <w:kern w:val="2"/>
          <w:sz w:val="22"/>
          <w:lang w:eastAsia="zh-CN"/>
          <w14:ligatures w14:val="standardContextual"/>
        </w:rPr>
      </w:pPr>
      <w:r>
        <w:rPr>
          <w:noProof/>
        </w:rPr>
        <w:t>3</w:t>
      </w:r>
      <w:r w:rsidRPr="007B3711">
        <w:rPr>
          <w:rFonts w:asciiTheme="minorHAnsi" w:hAnsiTheme="minorHAnsi" w:cstheme="minorBidi"/>
          <w:b w:val="0"/>
          <w:smallCaps w:val="0"/>
          <w:noProof/>
          <w:kern w:val="2"/>
          <w:sz w:val="22"/>
          <w:lang w:eastAsia="zh-CN"/>
          <w14:ligatures w14:val="standardContextual"/>
        </w:rPr>
        <w:tab/>
      </w:r>
      <w:r>
        <w:rPr>
          <w:noProof/>
        </w:rPr>
        <w:t>Systemdesign</w:t>
      </w:r>
      <w:r>
        <w:rPr>
          <w:noProof/>
        </w:rPr>
        <w:tab/>
      </w:r>
      <w:r>
        <w:rPr>
          <w:noProof/>
        </w:rPr>
        <w:fldChar w:fldCharType="begin"/>
      </w:r>
      <w:r>
        <w:rPr>
          <w:noProof/>
        </w:rPr>
        <w:instrText xml:space="preserve"> PAGEREF _Toc238658040 \h </w:instrText>
      </w:r>
      <w:r>
        <w:rPr>
          <w:noProof/>
        </w:rPr>
      </w:r>
      <w:r>
        <w:rPr>
          <w:noProof/>
        </w:rPr>
        <w:fldChar w:fldCharType="separate"/>
      </w:r>
      <w:r>
        <w:rPr>
          <w:noProof/>
        </w:rPr>
        <w:t>10</w:t>
      </w:r>
      <w:r>
        <w:rPr>
          <w:noProof/>
        </w:rPr>
        <w:fldChar w:fldCharType="end"/>
      </w:r>
    </w:p>
    <w:p w14:paraId="6C012566" w14:textId="33C894EE"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3.1</w:t>
      </w:r>
      <w:r w:rsidRPr="007B3711">
        <w:rPr>
          <w:rFonts w:asciiTheme="minorHAnsi" w:hAnsiTheme="minorHAnsi" w:cstheme="minorBidi"/>
          <w:b w:val="0"/>
          <w:noProof/>
          <w:kern w:val="2"/>
          <w:lang w:eastAsia="zh-CN"/>
          <w14:ligatures w14:val="standardContextual"/>
        </w:rPr>
        <w:tab/>
      </w:r>
      <w:r>
        <w:rPr>
          <w:noProof/>
        </w:rPr>
        <w:t>Anforderungsanalyse</w:t>
      </w:r>
      <w:r>
        <w:rPr>
          <w:noProof/>
        </w:rPr>
        <w:tab/>
      </w:r>
      <w:r>
        <w:rPr>
          <w:noProof/>
        </w:rPr>
        <w:fldChar w:fldCharType="begin"/>
      </w:r>
      <w:r>
        <w:rPr>
          <w:noProof/>
        </w:rPr>
        <w:instrText xml:space="preserve"> PAGEREF _Toc238658041 \h </w:instrText>
      </w:r>
      <w:r>
        <w:rPr>
          <w:noProof/>
        </w:rPr>
      </w:r>
      <w:r>
        <w:rPr>
          <w:noProof/>
        </w:rPr>
        <w:fldChar w:fldCharType="separate"/>
      </w:r>
      <w:r>
        <w:rPr>
          <w:noProof/>
        </w:rPr>
        <w:t>10</w:t>
      </w:r>
      <w:r>
        <w:rPr>
          <w:noProof/>
        </w:rPr>
        <w:fldChar w:fldCharType="end"/>
      </w:r>
    </w:p>
    <w:p w14:paraId="03049F10" w14:textId="55BACA0E"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lang w:eastAsia="zh-CN"/>
        </w:rPr>
        <w:t>3.2</w:t>
      </w:r>
      <w:r w:rsidRPr="007B3711">
        <w:rPr>
          <w:rFonts w:asciiTheme="minorHAnsi" w:hAnsiTheme="minorHAnsi" w:cstheme="minorBidi"/>
          <w:b w:val="0"/>
          <w:noProof/>
          <w:kern w:val="2"/>
          <w:lang w:eastAsia="zh-CN"/>
          <w14:ligatures w14:val="standardContextual"/>
        </w:rPr>
        <w:tab/>
      </w:r>
      <w:r>
        <w:rPr>
          <w:noProof/>
        </w:rPr>
        <w:t>Gesamtarchitektur des Multi-Agenten-Systems</w:t>
      </w:r>
      <w:r>
        <w:rPr>
          <w:noProof/>
        </w:rPr>
        <w:tab/>
      </w:r>
      <w:r>
        <w:rPr>
          <w:noProof/>
        </w:rPr>
        <w:fldChar w:fldCharType="begin"/>
      </w:r>
      <w:r>
        <w:rPr>
          <w:noProof/>
        </w:rPr>
        <w:instrText xml:space="preserve"> PAGEREF _Toc238658042 \h </w:instrText>
      </w:r>
      <w:r>
        <w:rPr>
          <w:noProof/>
        </w:rPr>
      </w:r>
      <w:r>
        <w:rPr>
          <w:noProof/>
        </w:rPr>
        <w:fldChar w:fldCharType="separate"/>
      </w:r>
      <w:r>
        <w:rPr>
          <w:noProof/>
        </w:rPr>
        <w:t>11</w:t>
      </w:r>
      <w:r>
        <w:rPr>
          <w:noProof/>
        </w:rPr>
        <w:fldChar w:fldCharType="end"/>
      </w:r>
    </w:p>
    <w:p w14:paraId="6356D698" w14:textId="13B6C0E3"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3.2.1</w:t>
      </w:r>
      <w:r w:rsidRPr="007B3711">
        <w:rPr>
          <w:rFonts w:asciiTheme="minorHAnsi" w:hAnsiTheme="minorHAnsi" w:cstheme="minorBidi"/>
          <w:b w:val="0"/>
          <w:noProof/>
          <w:kern w:val="2"/>
          <w:sz w:val="22"/>
          <w:lang w:eastAsia="zh-CN"/>
          <w14:ligatures w14:val="standardContextual"/>
        </w:rPr>
        <w:tab/>
      </w:r>
      <w:r>
        <w:rPr>
          <w:noProof/>
        </w:rPr>
        <w:t>Architekturentscheidung: Multi-Agenten-Ansatz statt Einzel-LLM</w:t>
      </w:r>
      <w:r>
        <w:rPr>
          <w:noProof/>
        </w:rPr>
        <w:tab/>
      </w:r>
      <w:r>
        <w:rPr>
          <w:noProof/>
        </w:rPr>
        <w:fldChar w:fldCharType="begin"/>
      </w:r>
      <w:r>
        <w:rPr>
          <w:noProof/>
        </w:rPr>
        <w:instrText xml:space="preserve"> PAGEREF _Toc238658043 \h </w:instrText>
      </w:r>
      <w:r>
        <w:rPr>
          <w:noProof/>
        </w:rPr>
      </w:r>
      <w:r>
        <w:rPr>
          <w:noProof/>
        </w:rPr>
        <w:fldChar w:fldCharType="separate"/>
      </w:r>
      <w:r>
        <w:rPr>
          <w:noProof/>
        </w:rPr>
        <w:t>11</w:t>
      </w:r>
      <w:r>
        <w:rPr>
          <w:noProof/>
        </w:rPr>
        <w:fldChar w:fldCharType="end"/>
      </w:r>
    </w:p>
    <w:p w14:paraId="15735E64" w14:textId="0FFAB0F3"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3.2.2</w:t>
      </w:r>
      <w:r w:rsidRPr="007B3711">
        <w:rPr>
          <w:rFonts w:asciiTheme="minorHAnsi" w:hAnsiTheme="minorHAnsi" w:cstheme="minorBidi"/>
          <w:b w:val="0"/>
          <w:noProof/>
          <w:kern w:val="2"/>
          <w:sz w:val="22"/>
          <w:lang w:eastAsia="zh-CN"/>
          <w14:ligatures w14:val="standardContextual"/>
        </w:rPr>
        <w:tab/>
      </w:r>
      <w:r>
        <w:rPr>
          <w:noProof/>
        </w:rPr>
        <w:t>Pipeline-Übersicht</w:t>
      </w:r>
      <w:r>
        <w:rPr>
          <w:noProof/>
        </w:rPr>
        <w:tab/>
      </w:r>
      <w:r>
        <w:rPr>
          <w:noProof/>
        </w:rPr>
        <w:fldChar w:fldCharType="begin"/>
      </w:r>
      <w:r>
        <w:rPr>
          <w:noProof/>
        </w:rPr>
        <w:instrText xml:space="preserve"> PAGEREF _Toc238658044 \h </w:instrText>
      </w:r>
      <w:r>
        <w:rPr>
          <w:noProof/>
        </w:rPr>
      </w:r>
      <w:r>
        <w:rPr>
          <w:noProof/>
        </w:rPr>
        <w:fldChar w:fldCharType="separate"/>
      </w:r>
      <w:r>
        <w:rPr>
          <w:noProof/>
        </w:rPr>
        <w:t>13</w:t>
      </w:r>
      <w:r>
        <w:rPr>
          <w:noProof/>
        </w:rPr>
        <w:fldChar w:fldCharType="end"/>
      </w:r>
    </w:p>
    <w:p w14:paraId="05F8CC4B" w14:textId="396090C4"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3.3</w:t>
      </w:r>
      <w:r w:rsidRPr="007B3711">
        <w:rPr>
          <w:rFonts w:asciiTheme="minorHAnsi" w:hAnsiTheme="minorHAnsi" w:cstheme="minorBidi"/>
          <w:b w:val="0"/>
          <w:noProof/>
          <w:kern w:val="2"/>
          <w:lang w:eastAsia="zh-CN"/>
          <w14:ligatures w14:val="standardContextual"/>
        </w:rPr>
        <w:tab/>
      </w:r>
      <w:r>
        <w:rPr>
          <w:noProof/>
        </w:rPr>
        <w:t>Beschreibung der einzelnen Agenten</w:t>
      </w:r>
      <w:r>
        <w:rPr>
          <w:noProof/>
        </w:rPr>
        <w:tab/>
      </w:r>
      <w:r>
        <w:rPr>
          <w:noProof/>
        </w:rPr>
        <w:fldChar w:fldCharType="begin"/>
      </w:r>
      <w:r>
        <w:rPr>
          <w:noProof/>
        </w:rPr>
        <w:instrText xml:space="preserve"> PAGEREF _Toc238658045 \h </w:instrText>
      </w:r>
      <w:r>
        <w:rPr>
          <w:noProof/>
        </w:rPr>
      </w:r>
      <w:r>
        <w:rPr>
          <w:noProof/>
        </w:rPr>
        <w:fldChar w:fldCharType="separate"/>
      </w:r>
      <w:r>
        <w:rPr>
          <w:noProof/>
        </w:rPr>
        <w:t>14</w:t>
      </w:r>
      <w:r>
        <w:rPr>
          <w:noProof/>
        </w:rPr>
        <w:fldChar w:fldCharType="end"/>
      </w:r>
    </w:p>
    <w:p w14:paraId="34C201EF" w14:textId="019263FD" w:rsidR="007B3711" w:rsidRDefault="007B3711">
      <w:pPr>
        <w:pStyle w:val="TOC3"/>
        <w:tabs>
          <w:tab w:val="left" w:pos="1799"/>
          <w:tab w:val="right" w:leader="dot" w:pos="9061"/>
        </w:tabs>
        <w:rPr>
          <w:rFonts w:asciiTheme="minorHAnsi" w:hAnsiTheme="minorHAnsi" w:cstheme="minorBidi"/>
          <w:b w:val="0"/>
          <w:noProof/>
          <w:kern w:val="2"/>
          <w:sz w:val="22"/>
          <w:lang w:val="en-US" w:eastAsia="zh-CN"/>
          <w14:ligatures w14:val="standardContextual"/>
        </w:rPr>
      </w:pPr>
      <w:r w:rsidRPr="007B3711">
        <w:rPr>
          <w:noProof/>
          <w:lang w:val="en-US"/>
        </w:rPr>
        <w:t>3.3.1</w:t>
      </w:r>
      <w:r>
        <w:rPr>
          <w:rFonts w:asciiTheme="minorHAnsi" w:hAnsiTheme="minorHAnsi" w:cstheme="minorBidi"/>
          <w:b w:val="0"/>
          <w:noProof/>
          <w:kern w:val="2"/>
          <w:sz w:val="22"/>
          <w:lang w:val="en-US" w:eastAsia="zh-CN"/>
          <w14:ligatures w14:val="standardContextual"/>
        </w:rPr>
        <w:tab/>
      </w:r>
      <w:r w:rsidRPr="007B3711">
        <w:rPr>
          <w:noProof/>
          <w:lang w:val="en-US"/>
        </w:rPr>
        <w:t>Intake Agent</w:t>
      </w:r>
      <w:r w:rsidRPr="007B3711">
        <w:rPr>
          <w:noProof/>
          <w:lang w:val="en-US"/>
        </w:rPr>
        <w:tab/>
      </w:r>
      <w:r>
        <w:rPr>
          <w:noProof/>
        </w:rPr>
        <w:fldChar w:fldCharType="begin"/>
      </w:r>
      <w:r w:rsidRPr="007B3711">
        <w:rPr>
          <w:noProof/>
          <w:lang w:val="en-US"/>
        </w:rPr>
        <w:instrText xml:space="preserve"> PAGEREF _Toc238658046 \h </w:instrText>
      </w:r>
      <w:r>
        <w:rPr>
          <w:noProof/>
        </w:rPr>
      </w:r>
      <w:r>
        <w:rPr>
          <w:noProof/>
        </w:rPr>
        <w:fldChar w:fldCharType="separate"/>
      </w:r>
      <w:r w:rsidRPr="007B3711">
        <w:rPr>
          <w:noProof/>
          <w:lang w:val="en-US"/>
        </w:rPr>
        <w:t>14</w:t>
      </w:r>
      <w:r>
        <w:rPr>
          <w:noProof/>
        </w:rPr>
        <w:fldChar w:fldCharType="end"/>
      </w:r>
    </w:p>
    <w:p w14:paraId="11D0F981" w14:textId="29C8432D" w:rsidR="007B3711" w:rsidRDefault="007B3711">
      <w:pPr>
        <w:pStyle w:val="TOC3"/>
        <w:tabs>
          <w:tab w:val="left" w:pos="1799"/>
          <w:tab w:val="right" w:leader="dot" w:pos="9061"/>
        </w:tabs>
        <w:rPr>
          <w:rFonts w:asciiTheme="minorHAnsi" w:hAnsiTheme="minorHAnsi" w:cstheme="minorBidi"/>
          <w:b w:val="0"/>
          <w:noProof/>
          <w:kern w:val="2"/>
          <w:sz w:val="22"/>
          <w:lang w:val="en-US" w:eastAsia="zh-CN"/>
          <w14:ligatures w14:val="standardContextual"/>
        </w:rPr>
      </w:pPr>
      <w:r w:rsidRPr="007B3711">
        <w:rPr>
          <w:noProof/>
          <w:lang w:val="en-US"/>
        </w:rPr>
        <w:t>3.3.2</w:t>
      </w:r>
      <w:r>
        <w:rPr>
          <w:rFonts w:asciiTheme="minorHAnsi" w:hAnsiTheme="minorHAnsi" w:cstheme="minorBidi"/>
          <w:b w:val="0"/>
          <w:noProof/>
          <w:kern w:val="2"/>
          <w:sz w:val="22"/>
          <w:lang w:val="en-US" w:eastAsia="zh-CN"/>
          <w14:ligatures w14:val="standardContextual"/>
        </w:rPr>
        <w:tab/>
      </w:r>
      <w:r w:rsidRPr="007B3711">
        <w:rPr>
          <w:noProof/>
          <w:lang w:val="en-US"/>
        </w:rPr>
        <w:t>Risk Assessment Agent</w:t>
      </w:r>
      <w:r w:rsidRPr="007B3711">
        <w:rPr>
          <w:noProof/>
          <w:lang w:val="en-US"/>
        </w:rPr>
        <w:tab/>
      </w:r>
      <w:r>
        <w:rPr>
          <w:noProof/>
        </w:rPr>
        <w:fldChar w:fldCharType="begin"/>
      </w:r>
      <w:r w:rsidRPr="007B3711">
        <w:rPr>
          <w:noProof/>
          <w:lang w:val="en-US"/>
        </w:rPr>
        <w:instrText xml:space="preserve"> PAGEREF _Toc238658047 \h </w:instrText>
      </w:r>
      <w:r>
        <w:rPr>
          <w:noProof/>
        </w:rPr>
      </w:r>
      <w:r>
        <w:rPr>
          <w:noProof/>
        </w:rPr>
        <w:fldChar w:fldCharType="separate"/>
      </w:r>
      <w:r w:rsidRPr="007B3711">
        <w:rPr>
          <w:noProof/>
          <w:lang w:val="en-US"/>
        </w:rPr>
        <w:t>14</w:t>
      </w:r>
      <w:r>
        <w:rPr>
          <w:noProof/>
        </w:rPr>
        <w:fldChar w:fldCharType="end"/>
      </w:r>
    </w:p>
    <w:p w14:paraId="19008EE0" w14:textId="7D8740D7" w:rsidR="007B3711" w:rsidRDefault="007B3711">
      <w:pPr>
        <w:pStyle w:val="TOC3"/>
        <w:tabs>
          <w:tab w:val="left" w:pos="1799"/>
          <w:tab w:val="right" w:leader="dot" w:pos="9061"/>
        </w:tabs>
        <w:rPr>
          <w:rFonts w:asciiTheme="minorHAnsi" w:hAnsiTheme="minorHAnsi" w:cstheme="minorBidi"/>
          <w:b w:val="0"/>
          <w:noProof/>
          <w:kern w:val="2"/>
          <w:sz w:val="22"/>
          <w:lang w:val="en-US" w:eastAsia="zh-CN"/>
          <w14:ligatures w14:val="standardContextual"/>
        </w:rPr>
      </w:pPr>
      <w:r w:rsidRPr="007B3711">
        <w:rPr>
          <w:noProof/>
          <w:lang w:val="en-US"/>
        </w:rPr>
        <w:t>3.3.3</w:t>
      </w:r>
      <w:r>
        <w:rPr>
          <w:rFonts w:asciiTheme="minorHAnsi" w:hAnsiTheme="minorHAnsi" w:cstheme="minorBidi"/>
          <w:b w:val="0"/>
          <w:noProof/>
          <w:kern w:val="2"/>
          <w:sz w:val="22"/>
          <w:lang w:val="en-US" w:eastAsia="zh-CN"/>
          <w14:ligatures w14:val="standardContextual"/>
        </w:rPr>
        <w:tab/>
      </w:r>
      <w:r w:rsidRPr="007B3711">
        <w:rPr>
          <w:noProof/>
          <w:lang w:val="en-US"/>
        </w:rPr>
        <w:t>Network Agent</w:t>
      </w:r>
      <w:r w:rsidRPr="007B3711">
        <w:rPr>
          <w:noProof/>
          <w:lang w:val="en-US"/>
        </w:rPr>
        <w:tab/>
      </w:r>
      <w:r>
        <w:rPr>
          <w:noProof/>
        </w:rPr>
        <w:fldChar w:fldCharType="begin"/>
      </w:r>
      <w:r w:rsidRPr="007B3711">
        <w:rPr>
          <w:noProof/>
          <w:lang w:val="en-US"/>
        </w:rPr>
        <w:instrText xml:space="preserve"> PAGEREF _Toc238658048 \h </w:instrText>
      </w:r>
      <w:r>
        <w:rPr>
          <w:noProof/>
        </w:rPr>
      </w:r>
      <w:r>
        <w:rPr>
          <w:noProof/>
        </w:rPr>
        <w:fldChar w:fldCharType="separate"/>
      </w:r>
      <w:r w:rsidRPr="007B3711">
        <w:rPr>
          <w:noProof/>
          <w:lang w:val="en-US"/>
        </w:rPr>
        <w:t>14</w:t>
      </w:r>
      <w:r>
        <w:rPr>
          <w:noProof/>
        </w:rPr>
        <w:fldChar w:fldCharType="end"/>
      </w:r>
    </w:p>
    <w:p w14:paraId="4575E604" w14:textId="59BA7DA3" w:rsidR="007B3711" w:rsidRDefault="007B3711">
      <w:pPr>
        <w:pStyle w:val="TOC3"/>
        <w:tabs>
          <w:tab w:val="left" w:pos="1799"/>
          <w:tab w:val="right" w:leader="dot" w:pos="9061"/>
        </w:tabs>
        <w:rPr>
          <w:rFonts w:asciiTheme="minorHAnsi" w:hAnsiTheme="minorHAnsi" w:cstheme="minorBidi"/>
          <w:b w:val="0"/>
          <w:noProof/>
          <w:kern w:val="2"/>
          <w:sz w:val="22"/>
          <w:lang w:val="en-US" w:eastAsia="zh-CN"/>
          <w14:ligatures w14:val="standardContextual"/>
        </w:rPr>
      </w:pPr>
      <w:r w:rsidRPr="007B3711">
        <w:rPr>
          <w:noProof/>
          <w:lang w:val="en-US"/>
        </w:rPr>
        <w:t>3.3.4</w:t>
      </w:r>
      <w:r>
        <w:rPr>
          <w:rFonts w:asciiTheme="minorHAnsi" w:hAnsiTheme="minorHAnsi" w:cstheme="minorBidi"/>
          <w:b w:val="0"/>
          <w:noProof/>
          <w:kern w:val="2"/>
          <w:sz w:val="22"/>
          <w:lang w:val="en-US" w:eastAsia="zh-CN"/>
          <w14:ligatures w14:val="standardContextual"/>
        </w:rPr>
        <w:tab/>
      </w:r>
      <w:r w:rsidRPr="007B3711">
        <w:rPr>
          <w:noProof/>
          <w:lang w:val="en-US"/>
        </w:rPr>
        <w:t>Data Retrieval Agent</w:t>
      </w:r>
      <w:r w:rsidRPr="007B3711">
        <w:rPr>
          <w:noProof/>
          <w:lang w:val="en-US"/>
        </w:rPr>
        <w:tab/>
      </w:r>
      <w:r>
        <w:rPr>
          <w:noProof/>
        </w:rPr>
        <w:fldChar w:fldCharType="begin"/>
      </w:r>
      <w:r w:rsidRPr="007B3711">
        <w:rPr>
          <w:noProof/>
          <w:lang w:val="en-US"/>
        </w:rPr>
        <w:instrText xml:space="preserve"> PAGEREF _Toc238658049 \h </w:instrText>
      </w:r>
      <w:r>
        <w:rPr>
          <w:noProof/>
        </w:rPr>
      </w:r>
      <w:r>
        <w:rPr>
          <w:noProof/>
        </w:rPr>
        <w:fldChar w:fldCharType="separate"/>
      </w:r>
      <w:r w:rsidRPr="007B3711">
        <w:rPr>
          <w:noProof/>
          <w:lang w:val="en-US"/>
        </w:rPr>
        <w:t>15</w:t>
      </w:r>
      <w:r>
        <w:rPr>
          <w:noProof/>
        </w:rPr>
        <w:fldChar w:fldCharType="end"/>
      </w:r>
    </w:p>
    <w:p w14:paraId="5705FB99" w14:textId="63E485C0"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3.3.5</w:t>
      </w:r>
      <w:r w:rsidRPr="007B3711">
        <w:rPr>
          <w:rFonts w:asciiTheme="minorHAnsi" w:hAnsiTheme="minorHAnsi" w:cstheme="minorBidi"/>
          <w:b w:val="0"/>
          <w:noProof/>
          <w:kern w:val="2"/>
          <w:sz w:val="22"/>
          <w:lang w:eastAsia="zh-CN"/>
          <w14:ligatures w14:val="standardContextual"/>
        </w:rPr>
        <w:tab/>
      </w:r>
      <w:r>
        <w:rPr>
          <w:noProof/>
        </w:rPr>
        <w:t>Synthesis Agent</w:t>
      </w:r>
      <w:r>
        <w:rPr>
          <w:noProof/>
        </w:rPr>
        <w:tab/>
      </w:r>
      <w:r>
        <w:rPr>
          <w:noProof/>
        </w:rPr>
        <w:fldChar w:fldCharType="begin"/>
      </w:r>
      <w:r>
        <w:rPr>
          <w:noProof/>
        </w:rPr>
        <w:instrText xml:space="preserve"> PAGEREF _Toc238658050 \h </w:instrText>
      </w:r>
      <w:r>
        <w:rPr>
          <w:noProof/>
        </w:rPr>
      </w:r>
      <w:r>
        <w:rPr>
          <w:noProof/>
        </w:rPr>
        <w:fldChar w:fldCharType="separate"/>
      </w:r>
      <w:r>
        <w:rPr>
          <w:noProof/>
        </w:rPr>
        <w:t>15</w:t>
      </w:r>
      <w:r>
        <w:rPr>
          <w:noProof/>
        </w:rPr>
        <w:fldChar w:fldCharType="end"/>
      </w:r>
    </w:p>
    <w:p w14:paraId="1B91F5C0" w14:textId="0728FAA4"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3.3.6</w:t>
      </w:r>
      <w:r w:rsidRPr="007B3711">
        <w:rPr>
          <w:rFonts w:asciiTheme="minorHAnsi" w:hAnsiTheme="minorHAnsi" w:cstheme="minorBidi"/>
          <w:b w:val="0"/>
          <w:noProof/>
          <w:kern w:val="2"/>
          <w:sz w:val="22"/>
          <w:lang w:eastAsia="zh-CN"/>
          <w14:ligatures w14:val="standardContextual"/>
        </w:rPr>
        <w:tab/>
      </w:r>
      <w:r>
        <w:rPr>
          <w:noProof/>
        </w:rPr>
        <w:t>Validation Agent</w:t>
      </w:r>
      <w:r>
        <w:rPr>
          <w:noProof/>
        </w:rPr>
        <w:tab/>
      </w:r>
      <w:r>
        <w:rPr>
          <w:noProof/>
        </w:rPr>
        <w:fldChar w:fldCharType="begin"/>
      </w:r>
      <w:r>
        <w:rPr>
          <w:noProof/>
        </w:rPr>
        <w:instrText xml:space="preserve"> PAGEREF _Toc238658051 \h </w:instrText>
      </w:r>
      <w:r>
        <w:rPr>
          <w:noProof/>
        </w:rPr>
      </w:r>
      <w:r>
        <w:rPr>
          <w:noProof/>
        </w:rPr>
        <w:fldChar w:fldCharType="separate"/>
      </w:r>
      <w:r>
        <w:rPr>
          <w:noProof/>
        </w:rPr>
        <w:t>15</w:t>
      </w:r>
      <w:r>
        <w:rPr>
          <w:noProof/>
        </w:rPr>
        <w:fldChar w:fldCharType="end"/>
      </w:r>
    </w:p>
    <w:p w14:paraId="498D8012" w14:textId="686302EA"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3.4</w:t>
      </w:r>
      <w:r w:rsidRPr="007B3711">
        <w:rPr>
          <w:rFonts w:asciiTheme="minorHAnsi" w:hAnsiTheme="minorHAnsi" w:cstheme="minorBidi"/>
          <w:b w:val="0"/>
          <w:noProof/>
          <w:kern w:val="2"/>
          <w:lang w:eastAsia="zh-CN"/>
          <w14:ligatures w14:val="standardContextual"/>
        </w:rPr>
        <w:tab/>
      </w:r>
      <w:r>
        <w:rPr>
          <w:noProof/>
        </w:rPr>
        <w:t>Modellierung der Lieferkette als Graph</w:t>
      </w:r>
      <w:r>
        <w:rPr>
          <w:noProof/>
        </w:rPr>
        <w:tab/>
      </w:r>
      <w:r>
        <w:rPr>
          <w:noProof/>
        </w:rPr>
        <w:fldChar w:fldCharType="begin"/>
      </w:r>
      <w:r>
        <w:rPr>
          <w:noProof/>
        </w:rPr>
        <w:instrText xml:space="preserve"> PAGEREF _Toc238658052 \h </w:instrText>
      </w:r>
      <w:r>
        <w:rPr>
          <w:noProof/>
        </w:rPr>
      </w:r>
      <w:r>
        <w:rPr>
          <w:noProof/>
        </w:rPr>
        <w:fldChar w:fldCharType="separate"/>
      </w:r>
      <w:r>
        <w:rPr>
          <w:noProof/>
        </w:rPr>
        <w:t>16</w:t>
      </w:r>
      <w:r>
        <w:rPr>
          <w:noProof/>
        </w:rPr>
        <w:fldChar w:fldCharType="end"/>
      </w:r>
    </w:p>
    <w:p w14:paraId="54770AA7" w14:textId="2A788618"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3.4.1</w:t>
      </w:r>
      <w:r w:rsidRPr="007B3711">
        <w:rPr>
          <w:rFonts w:asciiTheme="minorHAnsi" w:hAnsiTheme="minorHAnsi" w:cstheme="minorBidi"/>
          <w:b w:val="0"/>
          <w:noProof/>
          <w:kern w:val="2"/>
          <w:sz w:val="22"/>
          <w:lang w:eastAsia="zh-CN"/>
          <w14:ligatures w14:val="standardContextual"/>
        </w:rPr>
        <w:tab/>
      </w:r>
      <w:r>
        <w:rPr>
          <w:noProof/>
        </w:rPr>
        <w:t>Graphstruktur</w:t>
      </w:r>
      <w:r>
        <w:rPr>
          <w:noProof/>
        </w:rPr>
        <w:tab/>
      </w:r>
      <w:r>
        <w:rPr>
          <w:noProof/>
        </w:rPr>
        <w:fldChar w:fldCharType="begin"/>
      </w:r>
      <w:r>
        <w:rPr>
          <w:noProof/>
        </w:rPr>
        <w:instrText xml:space="preserve"> PAGEREF _Toc238658053 \h </w:instrText>
      </w:r>
      <w:r>
        <w:rPr>
          <w:noProof/>
        </w:rPr>
      </w:r>
      <w:r>
        <w:rPr>
          <w:noProof/>
        </w:rPr>
        <w:fldChar w:fldCharType="separate"/>
      </w:r>
      <w:r>
        <w:rPr>
          <w:noProof/>
        </w:rPr>
        <w:t>16</w:t>
      </w:r>
      <w:r>
        <w:rPr>
          <w:noProof/>
        </w:rPr>
        <w:fldChar w:fldCharType="end"/>
      </w:r>
    </w:p>
    <w:p w14:paraId="75E099E2" w14:textId="29C5B71B"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3.4.2</w:t>
      </w:r>
      <w:r w:rsidRPr="007B3711">
        <w:rPr>
          <w:rFonts w:asciiTheme="minorHAnsi" w:hAnsiTheme="minorHAnsi" w:cstheme="minorBidi"/>
          <w:b w:val="0"/>
          <w:noProof/>
          <w:kern w:val="2"/>
          <w:sz w:val="22"/>
          <w:lang w:eastAsia="zh-CN"/>
          <w14:ligatures w14:val="standardContextual"/>
        </w:rPr>
        <w:tab/>
      </w:r>
      <w:r>
        <w:rPr>
          <w:noProof/>
        </w:rPr>
        <w:t>Seed-Strategien: Vom Ereignistext zu konkreten Startknoten</w:t>
      </w:r>
      <w:r>
        <w:rPr>
          <w:noProof/>
        </w:rPr>
        <w:tab/>
      </w:r>
      <w:r>
        <w:rPr>
          <w:noProof/>
        </w:rPr>
        <w:fldChar w:fldCharType="begin"/>
      </w:r>
      <w:r>
        <w:rPr>
          <w:noProof/>
        </w:rPr>
        <w:instrText xml:space="preserve"> PAGEREF _Toc238658054 \h </w:instrText>
      </w:r>
      <w:r>
        <w:rPr>
          <w:noProof/>
        </w:rPr>
      </w:r>
      <w:r>
        <w:rPr>
          <w:noProof/>
        </w:rPr>
        <w:fldChar w:fldCharType="separate"/>
      </w:r>
      <w:r>
        <w:rPr>
          <w:noProof/>
        </w:rPr>
        <w:t>16</w:t>
      </w:r>
      <w:r>
        <w:rPr>
          <w:noProof/>
        </w:rPr>
        <w:fldChar w:fldCharType="end"/>
      </w:r>
    </w:p>
    <w:p w14:paraId="447C5E8C" w14:textId="3A4C0F47"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3.4.3</w:t>
      </w:r>
      <w:r w:rsidRPr="007B3711">
        <w:rPr>
          <w:rFonts w:asciiTheme="minorHAnsi" w:hAnsiTheme="minorHAnsi" w:cstheme="minorBidi"/>
          <w:b w:val="0"/>
          <w:noProof/>
          <w:kern w:val="2"/>
          <w:sz w:val="22"/>
          <w:lang w:eastAsia="zh-CN"/>
          <w14:ligatures w14:val="standardContextual"/>
        </w:rPr>
        <w:tab/>
      </w:r>
      <w:r>
        <w:rPr>
          <w:noProof/>
        </w:rPr>
        <w:t>Ausbreitung: Von den Seed-Knoten zu allen betroffenen Anlagen</w:t>
      </w:r>
      <w:r>
        <w:rPr>
          <w:noProof/>
        </w:rPr>
        <w:tab/>
      </w:r>
      <w:r>
        <w:rPr>
          <w:noProof/>
        </w:rPr>
        <w:fldChar w:fldCharType="begin"/>
      </w:r>
      <w:r>
        <w:rPr>
          <w:noProof/>
        </w:rPr>
        <w:instrText xml:space="preserve"> PAGEREF _Toc238658055 \h </w:instrText>
      </w:r>
      <w:r>
        <w:rPr>
          <w:noProof/>
        </w:rPr>
      </w:r>
      <w:r>
        <w:rPr>
          <w:noProof/>
        </w:rPr>
        <w:fldChar w:fldCharType="separate"/>
      </w:r>
      <w:r>
        <w:rPr>
          <w:noProof/>
        </w:rPr>
        <w:t>17</w:t>
      </w:r>
      <w:r>
        <w:rPr>
          <w:noProof/>
        </w:rPr>
        <w:fldChar w:fldCharType="end"/>
      </w:r>
    </w:p>
    <w:p w14:paraId="72440CD4" w14:textId="0C7C4EBC"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3.5</w:t>
      </w:r>
      <w:r w:rsidRPr="007B3711">
        <w:rPr>
          <w:rFonts w:asciiTheme="minorHAnsi" w:hAnsiTheme="minorHAnsi" w:cstheme="minorBidi"/>
          <w:b w:val="0"/>
          <w:noProof/>
          <w:kern w:val="2"/>
          <w:lang w:eastAsia="zh-CN"/>
          <w14:ligatures w14:val="standardContextual"/>
        </w:rPr>
        <w:tab/>
      </w:r>
      <w:r>
        <w:rPr>
          <w:noProof/>
        </w:rPr>
        <w:t>Feedback- und Validierungsmechanismus</w:t>
      </w:r>
      <w:r>
        <w:rPr>
          <w:noProof/>
        </w:rPr>
        <w:tab/>
      </w:r>
      <w:r>
        <w:rPr>
          <w:noProof/>
        </w:rPr>
        <w:fldChar w:fldCharType="begin"/>
      </w:r>
      <w:r>
        <w:rPr>
          <w:noProof/>
        </w:rPr>
        <w:instrText xml:space="preserve"> PAGEREF _Toc238658056 \h </w:instrText>
      </w:r>
      <w:r>
        <w:rPr>
          <w:noProof/>
        </w:rPr>
      </w:r>
      <w:r>
        <w:rPr>
          <w:noProof/>
        </w:rPr>
        <w:fldChar w:fldCharType="separate"/>
      </w:r>
      <w:r>
        <w:rPr>
          <w:noProof/>
        </w:rPr>
        <w:t>17</w:t>
      </w:r>
      <w:r>
        <w:rPr>
          <w:noProof/>
        </w:rPr>
        <w:fldChar w:fldCharType="end"/>
      </w:r>
    </w:p>
    <w:p w14:paraId="37AD1767" w14:textId="50217508"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3.5.1</w:t>
      </w:r>
      <w:r w:rsidRPr="007B3711">
        <w:rPr>
          <w:rFonts w:asciiTheme="minorHAnsi" w:hAnsiTheme="minorHAnsi" w:cstheme="minorBidi"/>
          <w:b w:val="0"/>
          <w:noProof/>
          <w:kern w:val="2"/>
          <w:sz w:val="22"/>
          <w:lang w:eastAsia="zh-CN"/>
          <w14:ligatures w14:val="standardContextual"/>
        </w:rPr>
        <w:tab/>
      </w:r>
      <w:r>
        <w:rPr>
          <w:noProof/>
        </w:rPr>
        <w:t>Drei Prüfebenen statt einer</w:t>
      </w:r>
      <w:r>
        <w:rPr>
          <w:noProof/>
        </w:rPr>
        <w:tab/>
      </w:r>
      <w:r>
        <w:rPr>
          <w:noProof/>
        </w:rPr>
        <w:fldChar w:fldCharType="begin"/>
      </w:r>
      <w:r>
        <w:rPr>
          <w:noProof/>
        </w:rPr>
        <w:instrText xml:space="preserve"> PAGEREF _Toc238658057 \h </w:instrText>
      </w:r>
      <w:r>
        <w:rPr>
          <w:noProof/>
        </w:rPr>
      </w:r>
      <w:r>
        <w:rPr>
          <w:noProof/>
        </w:rPr>
        <w:fldChar w:fldCharType="separate"/>
      </w:r>
      <w:r>
        <w:rPr>
          <w:noProof/>
        </w:rPr>
        <w:t>17</w:t>
      </w:r>
      <w:r>
        <w:rPr>
          <w:noProof/>
        </w:rPr>
        <w:fldChar w:fldCharType="end"/>
      </w:r>
    </w:p>
    <w:p w14:paraId="0667A3F6" w14:textId="6DEB2778"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3.5.2</w:t>
      </w:r>
      <w:r w:rsidRPr="007B3711">
        <w:rPr>
          <w:rFonts w:asciiTheme="minorHAnsi" w:hAnsiTheme="minorHAnsi" w:cstheme="minorBidi"/>
          <w:b w:val="0"/>
          <w:noProof/>
          <w:kern w:val="2"/>
          <w:sz w:val="22"/>
          <w:lang w:eastAsia="zh-CN"/>
          <w14:ligatures w14:val="standardContextual"/>
        </w:rPr>
        <w:tab/>
      </w:r>
      <w:r>
        <w:rPr>
          <w:noProof/>
        </w:rPr>
        <w:t>Wiederholungslogik</w:t>
      </w:r>
      <w:r>
        <w:rPr>
          <w:noProof/>
        </w:rPr>
        <w:tab/>
      </w:r>
      <w:r>
        <w:rPr>
          <w:noProof/>
        </w:rPr>
        <w:fldChar w:fldCharType="begin"/>
      </w:r>
      <w:r>
        <w:rPr>
          <w:noProof/>
        </w:rPr>
        <w:instrText xml:space="preserve"> PAGEREF _Toc238658058 \h </w:instrText>
      </w:r>
      <w:r>
        <w:rPr>
          <w:noProof/>
        </w:rPr>
      </w:r>
      <w:r>
        <w:rPr>
          <w:noProof/>
        </w:rPr>
        <w:fldChar w:fldCharType="separate"/>
      </w:r>
      <w:r>
        <w:rPr>
          <w:noProof/>
        </w:rPr>
        <w:t>18</w:t>
      </w:r>
      <w:r>
        <w:rPr>
          <w:noProof/>
        </w:rPr>
        <w:fldChar w:fldCharType="end"/>
      </w:r>
    </w:p>
    <w:p w14:paraId="5109CA2A" w14:textId="102F7C77" w:rsidR="007B3711" w:rsidRPr="007B3711" w:rsidRDefault="007B3711">
      <w:pPr>
        <w:pStyle w:val="TOC1"/>
        <w:tabs>
          <w:tab w:val="right" w:leader="dot" w:pos="9061"/>
        </w:tabs>
        <w:rPr>
          <w:rFonts w:asciiTheme="minorHAnsi" w:hAnsiTheme="minorHAnsi" w:cstheme="minorBidi"/>
          <w:b w:val="0"/>
          <w:smallCaps w:val="0"/>
          <w:noProof/>
          <w:kern w:val="2"/>
          <w:sz w:val="22"/>
          <w:lang w:eastAsia="zh-CN"/>
          <w14:ligatures w14:val="standardContextual"/>
        </w:rPr>
      </w:pPr>
      <w:r>
        <w:rPr>
          <w:noProof/>
        </w:rPr>
        <w:t>4</w:t>
      </w:r>
      <w:r w:rsidRPr="007B3711">
        <w:rPr>
          <w:rFonts w:asciiTheme="minorHAnsi" w:hAnsiTheme="minorHAnsi" w:cstheme="minorBidi"/>
          <w:b w:val="0"/>
          <w:smallCaps w:val="0"/>
          <w:noProof/>
          <w:kern w:val="2"/>
          <w:sz w:val="22"/>
          <w:lang w:eastAsia="zh-CN"/>
          <w14:ligatures w14:val="standardContextual"/>
        </w:rPr>
        <w:tab/>
      </w:r>
      <w:r>
        <w:rPr>
          <w:noProof/>
        </w:rPr>
        <w:t>Implementierung</w:t>
      </w:r>
      <w:r>
        <w:rPr>
          <w:noProof/>
        </w:rPr>
        <w:tab/>
      </w:r>
      <w:r>
        <w:rPr>
          <w:noProof/>
        </w:rPr>
        <w:fldChar w:fldCharType="begin"/>
      </w:r>
      <w:r>
        <w:rPr>
          <w:noProof/>
        </w:rPr>
        <w:instrText xml:space="preserve"> PAGEREF _Toc238658059 \h </w:instrText>
      </w:r>
      <w:r>
        <w:rPr>
          <w:noProof/>
        </w:rPr>
      </w:r>
      <w:r>
        <w:rPr>
          <w:noProof/>
        </w:rPr>
        <w:fldChar w:fldCharType="separate"/>
      </w:r>
      <w:r>
        <w:rPr>
          <w:noProof/>
        </w:rPr>
        <w:t>19</w:t>
      </w:r>
      <w:r>
        <w:rPr>
          <w:noProof/>
        </w:rPr>
        <w:fldChar w:fldCharType="end"/>
      </w:r>
    </w:p>
    <w:p w14:paraId="7F9D9721" w14:textId="4526F6B8"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4.1</w:t>
      </w:r>
      <w:r w:rsidRPr="007B3711">
        <w:rPr>
          <w:rFonts w:asciiTheme="minorHAnsi" w:hAnsiTheme="minorHAnsi" w:cstheme="minorBidi"/>
          <w:b w:val="0"/>
          <w:noProof/>
          <w:kern w:val="2"/>
          <w:lang w:eastAsia="zh-CN"/>
          <w14:ligatures w14:val="standardContextual"/>
        </w:rPr>
        <w:tab/>
      </w:r>
      <w:r>
        <w:rPr>
          <w:noProof/>
        </w:rPr>
        <w:t>Technologie-Stack und Werkzeuge</w:t>
      </w:r>
      <w:r>
        <w:rPr>
          <w:noProof/>
        </w:rPr>
        <w:tab/>
      </w:r>
      <w:r>
        <w:rPr>
          <w:noProof/>
        </w:rPr>
        <w:fldChar w:fldCharType="begin"/>
      </w:r>
      <w:r>
        <w:rPr>
          <w:noProof/>
        </w:rPr>
        <w:instrText xml:space="preserve"> PAGEREF _Toc238658060 \h </w:instrText>
      </w:r>
      <w:r>
        <w:rPr>
          <w:noProof/>
        </w:rPr>
      </w:r>
      <w:r>
        <w:rPr>
          <w:noProof/>
        </w:rPr>
        <w:fldChar w:fldCharType="separate"/>
      </w:r>
      <w:r>
        <w:rPr>
          <w:noProof/>
        </w:rPr>
        <w:t>19</w:t>
      </w:r>
      <w:r>
        <w:rPr>
          <w:noProof/>
        </w:rPr>
        <w:fldChar w:fldCharType="end"/>
      </w:r>
    </w:p>
    <w:p w14:paraId="5BBBC014" w14:textId="126F691C"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4.2</w:t>
      </w:r>
      <w:r w:rsidRPr="007B3711">
        <w:rPr>
          <w:rFonts w:asciiTheme="minorHAnsi" w:hAnsiTheme="minorHAnsi" w:cstheme="minorBidi"/>
          <w:b w:val="0"/>
          <w:noProof/>
          <w:kern w:val="2"/>
          <w:lang w:eastAsia="zh-CN"/>
          <w14:ligatures w14:val="standardContextual"/>
        </w:rPr>
        <w:tab/>
      </w:r>
      <w:r>
        <w:rPr>
          <w:noProof/>
        </w:rPr>
        <w:t>Datenbasis: NAATBatt-Datenbank</w:t>
      </w:r>
      <w:r>
        <w:rPr>
          <w:noProof/>
        </w:rPr>
        <w:tab/>
      </w:r>
      <w:r>
        <w:rPr>
          <w:noProof/>
        </w:rPr>
        <w:fldChar w:fldCharType="begin"/>
      </w:r>
      <w:r>
        <w:rPr>
          <w:noProof/>
        </w:rPr>
        <w:instrText xml:space="preserve"> PAGEREF _Toc238658061 \h </w:instrText>
      </w:r>
      <w:r>
        <w:rPr>
          <w:noProof/>
        </w:rPr>
      </w:r>
      <w:r>
        <w:rPr>
          <w:noProof/>
        </w:rPr>
        <w:fldChar w:fldCharType="separate"/>
      </w:r>
      <w:r>
        <w:rPr>
          <w:noProof/>
        </w:rPr>
        <w:t>20</w:t>
      </w:r>
      <w:r>
        <w:rPr>
          <w:noProof/>
        </w:rPr>
        <w:fldChar w:fldCharType="end"/>
      </w:r>
    </w:p>
    <w:p w14:paraId="4CC4991B" w14:textId="06700683"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lastRenderedPageBreak/>
        <w:t>4.2.1</w:t>
      </w:r>
      <w:r w:rsidRPr="007B3711">
        <w:rPr>
          <w:rFonts w:asciiTheme="minorHAnsi" w:hAnsiTheme="minorHAnsi" w:cstheme="minorBidi"/>
          <w:b w:val="0"/>
          <w:noProof/>
          <w:kern w:val="2"/>
          <w:sz w:val="22"/>
          <w:lang w:eastAsia="zh-CN"/>
          <w14:ligatures w14:val="standardContextual"/>
        </w:rPr>
        <w:tab/>
      </w:r>
      <w:r>
        <w:rPr>
          <w:noProof/>
        </w:rPr>
        <w:t>Ausgangsdaten und Aufbereitung</w:t>
      </w:r>
      <w:r>
        <w:rPr>
          <w:noProof/>
        </w:rPr>
        <w:tab/>
      </w:r>
      <w:r>
        <w:rPr>
          <w:noProof/>
        </w:rPr>
        <w:fldChar w:fldCharType="begin"/>
      </w:r>
      <w:r>
        <w:rPr>
          <w:noProof/>
        </w:rPr>
        <w:instrText xml:space="preserve"> PAGEREF _Toc238658062 \h </w:instrText>
      </w:r>
      <w:r>
        <w:rPr>
          <w:noProof/>
        </w:rPr>
      </w:r>
      <w:r>
        <w:rPr>
          <w:noProof/>
        </w:rPr>
        <w:fldChar w:fldCharType="separate"/>
      </w:r>
      <w:r>
        <w:rPr>
          <w:noProof/>
        </w:rPr>
        <w:t>20</w:t>
      </w:r>
      <w:r>
        <w:rPr>
          <w:noProof/>
        </w:rPr>
        <w:fldChar w:fldCharType="end"/>
      </w:r>
    </w:p>
    <w:p w14:paraId="2D32727B" w14:textId="01727676"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4.2.2</w:t>
      </w:r>
      <w:r w:rsidRPr="007B3711">
        <w:rPr>
          <w:rFonts w:asciiTheme="minorHAnsi" w:hAnsiTheme="minorHAnsi" w:cstheme="minorBidi"/>
          <w:b w:val="0"/>
          <w:noProof/>
          <w:kern w:val="2"/>
          <w:sz w:val="22"/>
          <w:lang w:eastAsia="zh-CN"/>
          <w14:ligatures w14:val="standardContextual"/>
        </w:rPr>
        <w:tab/>
      </w:r>
      <w:r>
        <w:rPr>
          <w:noProof/>
        </w:rPr>
        <w:t>Konstruktion des Lieferkettengraphen</w:t>
      </w:r>
      <w:r>
        <w:rPr>
          <w:noProof/>
        </w:rPr>
        <w:tab/>
      </w:r>
      <w:r>
        <w:rPr>
          <w:noProof/>
        </w:rPr>
        <w:fldChar w:fldCharType="begin"/>
      </w:r>
      <w:r>
        <w:rPr>
          <w:noProof/>
        </w:rPr>
        <w:instrText xml:space="preserve"> PAGEREF _Toc238658063 \h </w:instrText>
      </w:r>
      <w:r>
        <w:rPr>
          <w:noProof/>
        </w:rPr>
      </w:r>
      <w:r>
        <w:rPr>
          <w:noProof/>
        </w:rPr>
        <w:fldChar w:fldCharType="separate"/>
      </w:r>
      <w:r>
        <w:rPr>
          <w:noProof/>
        </w:rPr>
        <w:t>21</w:t>
      </w:r>
      <w:r>
        <w:rPr>
          <w:noProof/>
        </w:rPr>
        <w:fldChar w:fldCharType="end"/>
      </w:r>
    </w:p>
    <w:p w14:paraId="035EB214" w14:textId="2433B296"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4.2.3</w:t>
      </w:r>
      <w:r w:rsidRPr="007B3711">
        <w:rPr>
          <w:rFonts w:asciiTheme="minorHAnsi" w:hAnsiTheme="minorHAnsi" w:cstheme="minorBidi"/>
          <w:b w:val="0"/>
          <w:noProof/>
          <w:kern w:val="2"/>
          <w:sz w:val="22"/>
          <w:lang w:eastAsia="zh-CN"/>
          <w14:ligatures w14:val="standardContextual"/>
        </w:rPr>
        <w:tab/>
      </w:r>
      <w:r>
        <w:rPr>
          <w:noProof/>
        </w:rPr>
        <w:t>Klassifikation der Datenherkunft</w:t>
      </w:r>
      <w:r>
        <w:rPr>
          <w:noProof/>
        </w:rPr>
        <w:tab/>
      </w:r>
      <w:r>
        <w:rPr>
          <w:noProof/>
        </w:rPr>
        <w:fldChar w:fldCharType="begin"/>
      </w:r>
      <w:r>
        <w:rPr>
          <w:noProof/>
        </w:rPr>
        <w:instrText xml:space="preserve"> PAGEREF _Toc238658064 \h </w:instrText>
      </w:r>
      <w:r>
        <w:rPr>
          <w:noProof/>
        </w:rPr>
      </w:r>
      <w:r>
        <w:rPr>
          <w:noProof/>
        </w:rPr>
        <w:fldChar w:fldCharType="separate"/>
      </w:r>
      <w:r>
        <w:rPr>
          <w:noProof/>
        </w:rPr>
        <w:t>21</w:t>
      </w:r>
      <w:r>
        <w:rPr>
          <w:noProof/>
        </w:rPr>
        <w:fldChar w:fldCharType="end"/>
      </w:r>
    </w:p>
    <w:p w14:paraId="62E25120" w14:textId="16BA6EE8"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4.3</w:t>
      </w:r>
      <w:r w:rsidRPr="007B3711">
        <w:rPr>
          <w:rFonts w:asciiTheme="minorHAnsi" w:hAnsiTheme="minorHAnsi" w:cstheme="minorBidi"/>
          <w:b w:val="0"/>
          <w:noProof/>
          <w:kern w:val="2"/>
          <w:lang w:eastAsia="zh-CN"/>
          <w14:ligatures w14:val="standardContextual"/>
        </w:rPr>
        <w:tab/>
      </w:r>
      <w:r>
        <w:rPr>
          <w:noProof/>
        </w:rPr>
        <w:t>Implementierung der Agenten</w:t>
      </w:r>
      <w:r>
        <w:rPr>
          <w:noProof/>
        </w:rPr>
        <w:tab/>
      </w:r>
      <w:r>
        <w:rPr>
          <w:noProof/>
        </w:rPr>
        <w:fldChar w:fldCharType="begin"/>
      </w:r>
      <w:r>
        <w:rPr>
          <w:noProof/>
        </w:rPr>
        <w:instrText xml:space="preserve"> PAGEREF _Toc238658065 \h </w:instrText>
      </w:r>
      <w:r>
        <w:rPr>
          <w:noProof/>
        </w:rPr>
      </w:r>
      <w:r>
        <w:rPr>
          <w:noProof/>
        </w:rPr>
        <w:fldChar w:fldCharType="separate"/>
      </w:r>
      <w:r>
        <w:rPr>
          <w:noProof/>
        </w:rPr>
        <w:t>22</w:t>
      </w:r>
      <w:r>
        <w:rPr>
          <w:noProof/>
        </w:rPr>
        <w:fldChar w:fldCharType="end"/>
      </w:r>
    </w:p>
    <w:p w14:paraId="1F4F2ABE" w14:textId="187F90EC"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4.3.1</w:t>
      </w:r>
      <w:r w:rsidRPr="007B3711">
        <w:rPr>
          <w:rFonts w:asciiTheme="minorHAnsi" w:hAnsiTheme="minorHAnsi" w:cstheme="minorBidi"/>
          <w:b w:val="0"/>
          <w:noProof/>
          <w:kern w:val="2"/>
          <w:sz w:val="22"/>
          <w:lang w:eastAsia="zh-CN"/>
          <w14:ligatures w14:val="standardContextual"/>
        </w:rPr>
        <w:tab/>
      </w:r>
      <w:r>
        <w:rPr>
          <w:noProof/>
        </w:rPr>
        <w:t>Merkmalsextraktion und Klassifikation (Intake, Risk Assessment)</w:t>
      </w:r>
      <w:r>
        <w:rPr>
          <w:noProof/>
        </w:rPr>
        <w:tab/>
      </w:r>
      <w:r>
        <w:rPr>
          <w:noProof/>
        </w:rPr>
        <w:fldChar w:fldCharType="begin"/>
      </w:r>
      <w:r>
        <w:rPr>
          <w:noProof/>
        </w:rPr>
        <w:instrText xml:space="preserve"> PAGEREF _Toc238658066 \h </w:instrText>
      </w:r>
      <w:r>
        <w:rPr>
          <w:noProof/>
        </w:rPr>
      </w:r>
      <w:r>
        <w:rPr>
          <w:noProof/>
        </w:rPr>
        <w:fldChar w:fldCharType="separate"/>
      </w:r>
      <w:r>
        <w:rPr>
          <w:noProof/>
        </w:rPr>
        <w:t>22</w:t>
      </w:r>
      <w:r>
        <w:rPr>
          <w:noProof/>
        </w:rPr>
        <w:fldChar w:fldCharType="end"/>
      </w:r>
    </w:p>
    <w:p w14:paraId="3B278700" w14:textId="78F915BB"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4.3.2</w:t>
      </w:r>
      <w:r w:rsidRPr="007B3711">
        <w:rPr>
          <w:rFonts w:asciiTheme="minorHAnsi" w:hAnsiTheme="minorHAnsi" w:cstheme="minorBidi"/>
          <w:b w:val="0"/>
          <w:noProof/>
          <w:kern w:val="2"/>
          <w:sz w:val="22"/>
          <w:lang w:eastAsia="zh-CN"/>
          <w14:ligatures w14:val="standardContextual"/>
        </w:rPr>
        <w:tab/>
      </w:r>
      <w:r>
        <w:rPr>
          <w:noProof/>
        </w:rPr>
        <w:t>Bestimmung der betroffenen Anlagen (Network, Data Retrieval)</w:t>
      </w:r>
      <w:r>
        <w:rPr>
          <w:noProof/>
        </w:rPr>
        <w:tab/>
      </w:r>
      <w:r>
        <w:rPr>
          <w:noProof/>
        </w:rPr>
        <w:fldChar w:fldCharType="begin"/>
      </w:r>
      <w:r>
        <w:rPr>
          <w:noProof/>
        </w:rPr>
        <w:instrText xml:space="preserve"> PAGEREF _Toc238658067 \h </w:instrText>
      </w:r>
      <w:r>
        <w:rPr>
          <w:noProof/>
        </w:rPr>
      </w:r>
      <w:r>
        <w:rPr>
          <w:noProof/>
        </w:rPr>
        <w:fldChar w:fldCharType="separate"/>
      </w:r>
      <w:r>
        <w:rPr>
          <w:noProof/>
        </w:rPr>
        <w:t>22</w:t>
      </w:r>
      <w:r>
        <w:rPr>
          <w:noProof/>
        </w:rPr>
        <w:fldChar w:fldCharType="end"/>
      </w:r>
    </w:p>
    <w:p w14:paraId="7672EBE1" w14:textId="1C4E6BB0"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4.3.3</w:t>
      </w:r>
      <w:r w:rsidRPr="007B3711">
        <w:rPr>
          <w:rFonts w:asciiTheme="minorHAnsi" w:hAnsiTheme="minorHAnsi" w:cstheme="minorBidi"/>
          <w:b w:val="0"/>
          <w:noProof/>
          <w:kern w:val="2"/>
          <w:sz w:val="22"/>
          <w:lang w:eastAsia="zh-CN"/>
          <w14:ligatures w14:val="standardContextual"/>
        </w:rPr>
        <w:tab/>
      </w:r>
      <w:r>
        <w:rPr>
          <w:noProof/>
        </w:rPr>
        <w:t>RiskScore-Berechnung</w:t>
      </w:r>
      <w:r>
        <w:rPr>
          <w:noProof/>
        </w:rPr>
        <w:tab/>
      </w:r>
      <w:r>
        <w:rPr>
          <w:noProof/>
        </w:rPr>
        <w:fldChar w:fldCharType="begin"/>
      </w:r>
      <w:r>
        <w:rPr>
          <w:noProof/>
        </w:rPr>
        <w:instrText xml:space="preserve"> PAGEREF _Toc238658068 \h </w:instrText>
      </w:r>
      <w:r>
        <w:rPr>
          <w:noProof/>
        </w:rPr>
      </w:r>
      <w:r>
        <w:rPr>
          <w:noProof/>
        </w:rPr>
        <w:fldChar w:fldCharType="separate"/>
      </w:r>
      <w:r>
        <w:rPr>
          <w:noProof/>
        </w:rPr>
        <w:t>23</w:t>
      </w:r>
      <w:r>
        <w:rPr>
          <w:noProof/>
        </w:rPr>
        <w:fldChar w:fldCharType="end"/>
      </w:r>
    </w:p>
    <w:p w14:paraId="31D0119F" w14:textId="391079EA"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4.3.4</w:t>
      </w:r>
      <w:r w:rsidRPr="007B3711">
        <w:rPr>
          <w:rFonts w:asciiTheme="minorHAnsi" w:hAnsiTheme="minorHAnsi" w:cstheme="minorBidi"/>
          <w:b w:val="0"/>
          <w:noProof/>
          <w:kern w:val="2"/>
          <w:sz w:val="22"/>
          <w:lang w:eastAsia="zh-CN"/>
          <w14:ligatures w14:val="standardContextual"/>
        </w:rPr>
        <w:tab/>
      </w:r>
      <w:r>
        <w:rPr>
          <w:noProof/>
        </w:rPr>
        <w:t>Berichtsgenerierung und Validierung (Synthesis, Validation)</w:t>
      </w:r>
      <w:r>
        <w:rPr>
          <w:noProof/>
        </w:rPr>
        <w:tab/>
      </w:r>
      <w:r>
        <w:rPr>
          <w:noProof/>
        </w:rPr>
        <w:fldChar w:fldCharType="begin"/>
      </w:r>
      <w:r>
        <w:rPr>
          <w:noProof/>
        </w:rPr>
        <w:instrText xml:space="preserve"> PAGEREF _Toc238658069 \h </w:instrText>
      </w:r>
      <w:r>
        <w:rPr>
          <w:noProof/>
        </w:rPr>
      </w:r>
      <w:r>
        <w:rPr>
          <w:noProof/>
        </w:rPr>
        <w:fldChar w:fldCharType="separate"/>
      </w:r>
      <w:r>
        <w:rPr>
          <w:noProof/>
        </w:rPr>
        <w:t>25</w:t>
      </w:r>
      <w:r>
        <w:rPr>
          <w:noProof/>
        </w:rPr>
        <w:fldChar w:fldCharType="end"/>
      </w:r>
    </w:p>
    <w:p w14:paraId="1640D668" w14:textId="53621E5C"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4.4</w:t>
      </w:r>
      <w:r w:rsidRPr="007B3711">
        <w:rPr>
          <w:rFonts w:asciiTheme="minorHAnsi" w:hAnsiTheme="minorHAnsi" w:cstheme="minorBidi"/>
          <w:b w:val="0"/>
          <w:noProof/>
          <w:kern w:val="2"/>
          <w:lang w:eastAsia="zh-CN"/>
          <w14:ligatures w14:val="standardContextual"/>
        </w:rPr>
        <w:tab/>
      </w:r>
      <w:r>
        <w:rPr>
          <w:noProof/>
        </w:rPr>
        <w:t>Benutzeroberfläche</w:t>
      </w:r>
      <w:r>
        <w:rPr>
          <w:noProof/>
        </w:rPr>
        <w:tab/>
      </w:r>
      <w:r>
        <w:rPr>
          <w:noProof/>
        </w:rPr>
        <w:fldChar w:fldCharType="begin"/>
      </w:r>
      <w:r>
        <w:rPr>
          <w:noProof/>
        </w:rPr>
        <w:instrText xml:space="preserve"> PAGEREF _Toc238658070 \h </w:instrText>
      </w:r>
      <w:r>
        <w:rPr>
          <w:noProof/>
        </w:rPr>
      </w:r>
      <w:r>
        <w:rPr>
          <w:noProof/>
        </w:rPr>
        <w:fldChar w:fldCharType="separate"/>
      </w:r>
      <w:r>
        <w:rPr>
          <w:noProof/>
        </w:rPr>
        <w:t>26</w:t>
      </w:r>
      <w:r>
        <w:rPr>
          <w:noProof/>
        </w:rPr>
        <w:fldChar w:fldCharType="end"/>
      </w:r>
    </w:p>
    <w:p w14:paraId="506E1EDC" w14:textId="359DD90D" w:rsidR="007B3711" w:rsidRPr="007B3711" w:rsidRDefault="007B3711">
      <w:pPr>
        <w:pStyle w:val="TOC1"/>
        <w:tabs>
          <w:tab w:val="right" w:leader="dot" w:pos="9061"/>
        </w:tabs>
        <w:rPr>
          <w:rFonts w:asciiTheme="minorHAnsi" w:hAnsiTheme="minorHAnsi" w:cstheme="minorBidi"/>
          <w:b w:val="0"/>
          <w:smallCaps w:val="0"/>
          <w:noProof/>
          <w:kern w:val="2"/>
          <w:sz w:val="22"/>
          <w:lang w:eastAsia="zh-CN"/>
          <w14:ligatures w14:val="standardContextual"/>
        </w:rPr>
      </w:pPr>
      <w:r>
        <w:rPr>
          <w:noProof/>
        </w:rPr>
        <w:t>5</w:t>
      </w:r>
      <w:r w:rsidRPr="007B3711">
        <w:rPr>
          <w:rFonts w:asciiTheme="minorHAnsi" w:hAnsiTheme="minorHAnsi" w:cstheme="minorBidi"/>
          <w:b w:val="0"/>
          <w:smallCaps w:val="0"/>
          <w:noProof/>
          <w:kern w:val="2"/>
          <w:sz w:val="22"/>
          <w:lang w:eastAsia="zh-CN"/>
          <w14:ligatures w14:val="standardContextual"/>
        </w:rPr>
        <w:tab/>
      </w:r>
      <w:r>
        <w:rPr>
          <w:noProof/>
        </w:rPr>
        <w:t>Evaluation</w:t>
      </w:r>
      <w:r>
        <w:rPr>
          <w:noProof/>
        </w:rPr>
        <w:tab/>
      </w:r>
      <w:r>
        <w:rPr>
          <w:noProof/>
        </w:rPr>
        <w:fldChar w:fldCharType="begin"/>
      </w:r>
      <w:r>
        <w:rPr>
          <w:noProof/>
        </w:rPr>
        <w:instrText xml:space="preserve"> PAGEREF _Toc238658071 \h </w:instrText>
      </w:r>
      <w:r>
        <w:rPr>
          <w:noProof/>
        </w:rPr>
      </w:r>
      <w:r>
        <w:rPr>
          <w:noProof/>
        </w:rPr>
        <w:fldChar w:fldCharType="separate"/>
      </w:r>
      <w:r>
        <w:rPr>
          <w:noProof/>
        </w:rPr>
        <w:t>27</w:t>
      </w:r>
      <w:r>
        <w:rPr>
          <w:noProof/>
        </w:rPr>
        <w:fldChar w:fldCharType="end"/>
      </w:r>
    </w:p>
    <w:p w14:paraId="2BA2B7EA" w14:textId="29C3F070"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5.1</w:t>
      </w:r>
      <w:r w:rsidRPr="007B3711">
        <w:rPr>
          <w:rFonts w:asciiTheme="minorHAnsi" w:hAnsiTheme="minorHAnsi" w:cstheme="minorBidi"/>
          <w:b w:val="0"/>
          <w:noProof/>
          <w:kern w:val="2"/>
          <w:lang w:eastAsia="zh-CN"/>
          <w14:ligatures w14:val="standardContextual"/>
        </w:rPr>
        <w:tab/>
      </w:r>
      <w:r>
        <w:rPr>
          <w:noProof/>
        </w:rPr>
        <w:t>Evaluationskonzept und Bewertungskriterien</w:t>
      </w:r>
      <w:r>
        <w:rPr>
          <w:noProof/>
        </w:rPr>
        <w:tab/>
      </w:r>
      <w:r>
        <w:rPr>
          <w:noProof/>
        </w:rPr>
        <w:fldChar w:fldCharType="begin"/>
      </w:r>
      <w:r>
        <w:rPr>
          <w:noProof/>
        </w:rPr>
        <w:instrText xml:space="preserve"> PAGEREF _Toc238658072 \h </w:instrText>
      </w:r>
      <w:r>
        <w:rPr>
          <w:noProof/>
        </w:rPr>
      </w:r>
      <w:r>
        <w:rPr>
          <w:noProof/>
        </w:rPr>
        <w:fldChar w:fldCharType="separate"/>
      </w:r>
      <w:r>
        <w:rPr>
          <w:noProof/>
        </w:rPr>
        <w:t>27</w:t>
      </w:r>
      <w:r>
        <w:rPr>
          <w:noProof/>
        </w:rPr>
        <w:fldChar w:fldCharType="end"/>
      </w:r>
    </w:p>
    <w:p w14:paraId="1C764541" w14:textId="59244E53"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5.2</w:t>
      </w:r>
      <w:r w:rsidRPr="007B3711">
        <w:rPr>
          <w:rFonts w:asciiTheme="minorHAnsi" w:hAnsiTheme="minorHAnsi" w:cstheme="minorBidi"/>
          <w:b w:val="0"/>
          <w:noProof/>
          <w:kern w:val="2"/>
          <w:lang w:eastAsia="zh-CN"/>
          <w14:ligatures w14:val="standardContextual"/>
        </w:rPr>
        <w:tab/>
      </w:r>
      <w:r>
        <w:rPr>
          <w:noProof/>
        </w:rPr>
        <w:t>Szenario S1: Exportverbot für Kobalt und Kupfer (Demokratische Republik Kongo)</w:t>
      </w:r>
      <w:r>
        <w:rPr>
          <w:noProof/>
        </w:rPr>
        <w:tab/>
      </w:r>
      <w:r>
        <w:rPr>
          <w:noProof/>
        </w:rPr>
        <w:fldChar w:fldCharType="begin"/>
      </w:r>
      <w:r>
        <w:rPr>
          <w:noProof/>
        </w:rPr>
        <w:instrText xml:space="preserve"> PAGEREF _Toc238658073 \h </w:instrText>
      </w:r>
      <w:r>
        <w:rPr>
          <w:noProof/>
        </w:rPr>
      </w:r>
      <w:r>
        <w:rPr>
          <w:noProof/>
        </w:rPr>
        <w:fldChar w:fldCharType="separate"/>
      </w:r>
      <w:r>
        <w:rPr>
          <w:noProof/>
        </w:rPr>
        <w:t>27</w:t>
      </w:r>
      <w:r>
        <w:rPr>
          <w:noProof/>
        </w:rPr>
        <w:fldChar w:fldCharType="end"/>
      </w:r>
    </w:p>
    <w:p w14:paraId="004B9FC4" w14:textId="3258190C"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5.3</w:t>
      </w:r>
      <w:r w:rsidRPr="007B3711">
        <w:rPr>
          <w:rFonts w:asciiTheme="minorHAnsi" w:hAnsiTheme="minorHAnsi" w:cstheme="minorBidi"/>
          <w:b w:val="0"/>
          <w:noProof/>
          <w:kern w:val="2"/>
          <w:lang w:eastAsia="zh-CN"/>
          <w14:ligatures w14:val="standardContextual"/>
        </w:rPr>
        <w:tab/>
      </w:r>
      <w:r>
        <w:rPr>
          <w:noProof/>
        </w:rPr>
        <w:t>Szenario S2: Betriebsstopp durch Lizenzablauf (Lithium, China)</w:t>
      </w:r>
      <w:r>
        <w:rPr>
          <w:noProof/>
        </w:rPr>
        <w:tab/>
      </w:r>
      <w:r>
        <w:rPr>
          <w:noProof/>
        </w:rPr>
        <w:fldChar w:fldCharType="begin"/>
      </w:r>
      <w:r>
        <w:rPr>
          <w:noProof/>
        </w:rPr>
        <w:instrText xml:space="preserve"> PAGEREF _Toc238658074 \h </w:instrText>
      </w:r>
      <w:r>
        <w:rPr>
          <w:noProof/>
        </w:rPr>
      </w:r>
      <w:r>
        <w:rPr>
          <w:noProof/>
        </w:rPr>
        <w:fldChar w:fldCharType="separate"/>
      </w:r>
      <w:r>
        <w:rPr>
          <w:noProof/>
        </w:rPr>
        <w:t>28</w:t>
      </w:r>
      <w:r>
        <w:rPr>
          <w:noProof/>
        </w:rPr>
        <w:fldChar w:fldCharType="end"/>
      </w:r>
    </w:p>
    <w:p w14:paraId="703CCAD0" w14:textId="55469E37"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5.4</w:t>
      </w:r>
      <w:r w:rsidRPr="007B3711">
        <w:rPr>
          <w:rFonts w:asciiTheme="minorHAnsi" w:hAnsiTheme="minorHAnsi" w:cstheme="minorBidi"/>
          <w:b w:val="0"/>
          <w:noProof/>
          <w:kern w:val="2"/>
          <w:lang w:eastAsia="zh-CN"/>
          <w14:ligatures w14:val="standardContextual"/>
        </w:rPr>
        <w:tab/>
      </w:r>
      <w:r>
        <w:rPr>
          <w:noProof/>
        </w:rPr>
        <w:t>Szenario S3: Anlagenspezifisches Ereignis (Panasonic, Kansas)</w:t>
      </w:r>
      <w:r>
        <w:rPr>
          <w:noProof/>
        </w:rPr>
        <w:tab/>
      </w:r>
      <w:r>
        <w:rPr>
          <w:noProof/>
        </w:rPr>
        <w:fldChar w:fldCharType="begin"/>
      </w:r>
      <w:r>
        <w:rPr>
          <w:noProof/>
        </w:rPr>
        <w:instrText xml:space="preserve"> PAGEREF _Toc238658075 \h </w:instrText>
      </w:r>
      <w:r>
        <w:rPr>
          <w:noProof/>
        </w:rPr>
      </w:r>
      <w:r>
        <w:rPr>
          <w:noProof/>
        </w:rPr>
        <w:fldChar w:fldCharType="separate"/>
      </w:r>
      <w:r>
        <w:rPr>
          <w:noProof/>
        </w:rPr>
        <w:t>28</w:t>
      </w:r>
      <w:r>
        <w:rPr>
          <w:noProof/>
        </w:rPr>
        <w:fldChar w:fldCharType="end"/>
      </w:r>
    </w:p>
    <w:p w14:paraId="673D78A2" w14:textId="0D6BA68D"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5.5</w:t>
      </w:r>
      <w:r w:rsidRPr="007B3711">
        <w:rPr>
          <w:rFonts w:asciiTheme="minorHAnsi" w:hAnsiTheme="minorHAnsi" w:cstheme="minorBidi"/>
          <w:b w:val="0"/>
          <w:noProof/>
          <w:kern w:val="2"/>
          <w:lang w:eastAsia="zh-CN"/>
          <w14:ligatures w14:val="standardContextual"/>
        </w:rPr>
        <w:tab/>
      </w:r>
      <w:r>
        <w:rPr>
          <w:noProof/>
        </w:rPr>
        <w:t>Szenario S4: Direkte Nutzeranfrage ohne Material- oder Firmennennung (Michigan)</w:t>
      </w:r>
      <w:r>
        <w:rPr>
          <w:noProof/>
        </w:rPr>
        <w:tab/>
      </w:r>
      <w:r>
        <w:rPr>
          <w:noProof/>
        </w:rPr>
        <w:fldChar w:fldCharType="begin"/>
      </w:r>
      <w:r>
        <w:rPr>
          <w:noProof/>
        </w:rPr>
        <w:instrText xml:space="preserve"> PAGEREF _Toc238658076 \h </w:instrText>
      </w:r>
      <w:r>
        <w:rPr>
          <w:noProof/>
        </w:rPr>
      </w:r>
      <w:r>
        <w:rPr>
          <w:noProof/>
        </w:rPr>
        <w:fldChar w:fldCharType="separate"/>
      </w:r>
      <w:r>
        <w:rPr>
          <w:noProof/>
        </w:rPr>
        <w:t>28</w:t>
      </w:r>
      <w:r>
        <w:rPr>
          <w:noProof/>
        </w:rPr>
        <w:fldChar w:fldCharType="end"/>
      </w:r>
    </w:p>
    <w:p w14:paraId="3C49DCA8" w14:textId="571FD42B"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5.6</w:t>
      </w:r>
      <w:r w:rsidRPr="007B3711">
        <w:rPr>
          <w:rFonts w:asciiTheme="minorHAnsi" w:hAnsiTheme="minorHAnsi" w:cstheme="minorBidi"/>
          <w:b w:val="0"/>
          <w:noProof/>
          <w:kern w:val="2"/>
          <w:lang w:eastAsia="zh-CN"/>
          <w14:ligatures w14:val="standardContextual"/>
        </w:rPr>
        <w:tab/>
      </w:r>
      <w:r>
        <w:rPr>
          <w:noProof/>
        </w:rPr>
        <w:t>Diskussion und Limitationen</w:t>
      </w:r>
      <w:r>
        <w:rPr>
          <w:noProof/>
        </w:rPr>
        <w:tab/>
      </w:r>
      <w:r>
        <w:rPr>
          <w:noProof/>
        </w:rPr>
        <w:fldChar w:fldCharType="begin"/>
      </w:r>
      <w:r>
        <w:rPr>
          <w:noProof/>
        </w:rPr>
        <w:instrText xml:space="preserve"> PAGEREF _Toc238658077 \h </w:instrText>
      </w:r>
      <w:r>
        <w:rPr>
          <w:noProof/>
        </w:rPr>
      </w:r>
      <w:r>
        <w:rPr>
          <w:noProof/>
        </w:rPr>
        <w:fldChar w:fldCharType="separate"/>
      </w:r>
      <w:r>
        <w:rPr>
          <w:noProof/>
        </w:rPr>
        <w:t>30</w:t>
      </w:r>
      <w:r>
        <w:rPr>
          <w:noProof/>
        </w:rPr>
        <w:fldChar w:fldCharType="end"/>
      </w:r>
    </w:p>
    <w:p w14:paraId="78A2F1E5" w14:textId="60BBBF6F"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5.6.1</w:t>
      </w:r>
      <w:r w:rsidRPr="007B3711">
        <w:rPr>
          <w:rFonts w:asciiTheme="minorHAnsi" w:hAnsiTheme="minorHAnsi" w:cstheme="minorBidi"/>
          <w:b w:val="0"/>
          <w:noProof/>
          <w:kern w:val="2"/>
          <w:sz w:val="22"/>
          <w:lang w:eastAsia="zh-CN"/>
          <w14:ligatures w14:val="standardContextual"/>
        </w:rPr>
        <w:tab/>
      </w:r>
      <w:r>
        <w:rPr>
          <w:noProof/>
        </w:rPr>
        <w:t>Reproduzierbarkeit</w:t>
      </w:r>
      <w:r>
        <w:rPr>
          <w:noProof/>
        </w:rPr>
        <w:tab/>
      </w:r>
      <w:r>
        <w:rPr>
          <w:noProof/>
        </w:rPr>
        <w:fldChar w:fldCharType="begin"/>
      </w:r>
      <w:r>
        <w:rPr>
          <w:noProof/>
        </w:rPr>
        <w:instrText xml:space="preserve"> PAGEREF _Toc238658078 \h </w:instrText>
      </w:r>
      <w:r>
        <w:rPr>
          <w:noProof/>
        </w:rPr>
      </w:r>
      <w:r>
        <w:rPr>
          <w:noProof/>
        </w:rPr>
        <w:fldChar w:fldCharType="separate"/>
      </w:r>
      <w:r>
        <w:rPr>
          <w:noProof/>
        </w:rPr>
        <w:t>30</w:t>
      </w:r>
      <w:r>
        <w:rPr>
          <w:noProof/>
        </w:rPr>
        <w:fldChar w:fldCharType="end"/>
      </w:r>
    </w:p>
    <w:p w14:paraId="1E26C85E" w14:textId="6A9F263F"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5.6.2</w:t>
      </w:r>
      <w:r w:rsidRPr="007B3711">
        <w:rPr>
          <w:rFonts w:asciiTheme="minorHAnsi" w:hAnsiTheme="minorHAnsi" w:cstheme="minorBidi"/>
          <w:b w:val="0"/>
          <w:noProof/>
          <w:kern w:val="2"/>
          <w:sz w:val="22"/>
          <w:lang w:eastAsia="zh-CN"/>
          <w14:ligatures w14:val="standardContextual"/>
        </w:rPr>
        <w:tab/>
      </w:r>
      <w:r>
        <w:rPr>
          <w:noProof/>
        </w:rPr>
        <w:t>Grenzen der Erklärbarkeit: ein empirisch geprüfter Fall</w:t>
      </w:r>
      <w:r>
        <w:rPr>
          <w:noProof/>
        </w:rPr>
        <w:tab/>
      </w:r>
      <w:r>
        <w:rPr>
          <w:noProof/>
        </w:rPr>
        <w:fldChar w:fldCharType="begin"/>
      </w:r>
      <w:r>
        <w:rPr>
          <w:noProof/>
        </w:rPr>
        <w:instrText xml:space="preserve"> PAGEREF _Toc238658079 \h </w:instrText>
      </w:r>
      <w:r>
        <w:rPr>
          <w:noProof/>
        </w:rPr>
      </w:r>
      <w:r>
        <w:rPr>
          <w:noProof/>
        </w:rPr>
        <w:fldChar w:fldCharType="separate"/>
      </w:r>
      <w:r>
        <w:rPr>
          <w:noProof/>
        </w:rPr>
        <w:t>32</w:t>
      </w:r>
      <w:r>
        <w:rPr>
          <w:noProof/>
        </w:rPr>
        <w:fldChar w:fldCharType="end"/>
      </w:r>
    </w:p>
    <w:p w14:paraId="50E18076" w14:textId="577321DA" w:rsidR="007B3711" w:rsidRPr="007B3711" w:rsidRDefault="007B3711">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5.6.3</w:t>
      </w:r>
      <w:r w:rsidRPr="007B3711">
        <w:rPr>
          <w:rFonts w:asciiTheme="minorHAnsi" w:hAnsiTheme="minorHAnsi" w:cstheme="minorBidi"/>
          <w:b w:val="0"/>
          <w:noProof/>
          <w:kern w:val="2"/>
          <w:sz w:val="22"/>
          <w:lang w:eastAsia="zh-CN"/>
          <w14:ligatures w14:val="standardContextual"/>
        </w:rPr>
        <w:tab/>
      </w:r>
      <w:r>
        <w:rPr>
          <w:noProof/>
        </w:rPr>
        <w:t>Weitere während der Entwicklung dokumentierte Grenzen</w:t>
      </w:r>
      <w:r>
        <w:rPr>
          <w:noProof/>
        </w:rPr>
        <w:tab/>
      </w:r>
      <w:r>
        <w:rPr>
          <w:noProof/>
        </w:rPr>
        <w:fldChar w:fldCharType="begin"/>
      </w:r>
      <w:r>
        <w:rPr>
          <w:noProof/>
        </w:rPr>
        <w:instrText xml:space="preserve"> PAGEREF _Toc238658080 \h </w:instrText>
      </w:r>
      <w:r>
        <w:rPr>
          <w:noProof/>
        </w:rPr>
      </w:r>
      <w:r>
        <w:rPr>
          <w:noProof/>
        </w:rPr>
        <w:fldChar w:fldCharType="separate"/>
      </w:r>
      <w:r>
        <w:rPr>
          <w:noProof/>
        </w:rPr>
        <w:t>33</w:t>
      </w:r>
      <w:r>
        <w:rPr>
          <w:noProof/>
        </w:rPr>
        <w:fldChar w:fldCharType="end"/>
      </w:r>
    </w:p>
    <w:p w14:paraId="7609FF30" w14:textId="0810F72A" w:rsidR="007B3711" w:rsidRPr="007B3711" w:rsidRDefault="007B3711">
      <w:pPr>
        <w:pStyle w:val="TOC1"/>
        <w:tabs>
          <w:tab w:val="right" w:leader="dot" w:pos="9061"/>
        </w:tabs>
        <w:rPr>
          <w:rFonts w:asciiTheme="minorHAnsi" w:hAnsiTheme="minorHAnsi" w:cstheme="minorBidi"/>
          <w:b w:val="0"/>
          <w:smallCaps w:val="0"/>
          <w:noProof/>
          <w:kern w:val="2"/>
          <w:sz w:val="22"/>
          <w:lang w:eastAsia="zh-CN"/>
          <w14:ligatures w14:val="standardContextual"/>
        </w:rPr>
      </w:pPr>
      <w:r>
        <w:rPr>
          <w:noProof/>
        </w:rPr>
        <w:t>6</w:t>
      </w:r>
      <w:r w:rsidRPr="007B3711">
        <w:rPr>
          <w:rFonts w:asciiTheme="minorHAnsi" w:hAnsiTheme="minorHAnsi" w:cstheme="minorBidi"/>
          <w:b w:val="0"/>
          <w:smallCaps w:val="0"/>
          <w:noProof/>
          <w:kern w:val="2"/>
          <w:sz w:val="22"/>
          <w:lang w:eastAsia="zh-CN"/>
          <w14:ligatures w14:val="standardContextual"/>
        </w:rPr>
        <w:tab/>
      </w:r>
      <w:r>
        <w:rPr>
          <w:noProof/>
        </w:rPr>
        <w:t>Fazit und Ausblick</w:t>
      </w:r>
      <w:r>
        <w:rPr>
          <w:noProof/>
        </w:rPr>
        <w:tab/>
      </w:r>
      <w:r>
        <w:rPr>
          <w:noProof/>
        </w:rPr>
        <w:fldChar w:fldCharType="begin"/>
      </w:r>
      <w:r>
        <w:rPr>
          <w:noProof/>
        </w:rPr>
        <w:instrText xml:space="preserve"> PAGEREF _Toc238658081 \h </w:instrText>
      </w:r>
      <w:r>
        <w:rPr>
          <w:noProof/>
        </w:rPr>
      </w:r>
      <w:r>
        <w:rPr>
          <w:noProof/>
        </w:rPr>
        <w:fldChar w:fldCharType="separate"/>
      </w:r>
      <w:r>
        <w:rPr>
          <w:noProof/>
        </w:rPr>
        <w:t>34</w:t>
      </w:r>
      <w:r>
        <w:rPr>
          <w:noProof/>
        </w:rPr>
        <w:fldChar w:fldCharType="end"/>
      </w:r>
    </w:p>
    <w:p w14:paraId="788FC9D9" w14:textId="6736B58E"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6.1</w:t>
      </w:r>
      <w:r w:rsidRPr="007B3711">
        <w:rPr>
          <w:rFonts w:asciiTheme="minorHAnsi" w:hAnsiTheme="minorHAnsi" w:cstheme="minorBidi"/>
          <w:b w:val="0"/>
          <w:noProof/>
          <w:kern w:val="2"/>
          <w:lang w:eastAsia="zh-CN"/>
          <w14:ligatures w14:val="standardContextual"/>
        </w:rPr>
        <w:tab/>
      </w:r>
      <w:r>
        <w:rPr>
          <w:noProof/>
        </w:rPr>
        <w:t>Zusammenfassung der Ergebnisse</w:t>
      </w:r>
      <w:r>
        <w:rPr>
          <w:noProof/>
        </w:rPr>
        <w:tab/>
      </w:r>
      <w:r>
        <w:rPr>
          <w:noProof/>
        </w:rPr>
        <w:fldChar w:fldCharType="begin"/>
      </w:r>
      <w:r>
        <w:rPr>
          <w:noProof/>
        </w:rPr>
        <w:instrText xml:space="preserve"> PAGEREF _Toc238658082 \h </w:instrText>
      </w:r>
      <w:r>
        <w:rPr>
          <w:noProof/>
        </w:rPr>
      </w:r>
      <w:r>
        <w:rPr>
          <w:noProof/>
        </w:rPr>
        <w:fldChar w:fldCharType="separate"/>
      </w:r>
      <w:r>
        <w:rPr>
          <w:noProof/>
        </w:rPr>
        <w:t>34</w:t>
      </w:r>
      <w:r>
        <w:rPr>
          <w:noProof/>
        </w:rPr>
        <w:fldChar w:fldCharType="end"/>
      </w:r>
    </w:p>
    <w:p w14:paraId="3F3F7BF3" w14:textId="00C77839"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6.2</w:t>
      </w:r>
      <w:r w:rsidRPr="007B3711">
        <w:rPr>
          <w:rFonts w:asciiTheme="minorHAnsi" w:hAnsiTheme="minorHAnsi" w:cstheme="minorBidi"/>
          <w:b w:val="0"/>
          <w:noProof/>
          <w:kern w:val="2"/>
          <w:lang w:eastAsia="zh-CN"/>
          <w14:ligatures w14:val="standardContextual"/>
        </w:rPr>
        <w:tab/>
      </w:r>
      <w:r>
        <w:rPr>
          <w:noProof/>
        </w:rPr>
        <w:t>Einordnung und Grenzen</w:t>
      </w:r>
      <w:r>
        <w:rPr>
          <w:noProof/>
        </w:rPr>
        <w:tab/>
      </w:r>
      <w:r>
        <w:rPr>
          <w:noProof/>
        </w:rPr>
        <w:fldChar w:fldCharType="begin"/>
      </w:r>
      <w:r>
        <w:rPr>
          <w:noProof/>
        </w:rPr>
        <w:instrText xml:space="preserve"> PAGEREF _Toc238658083 \h </w:instrText>
      </w:r>
      <w:r>
        <w:rPr>
          <w:noProof/>
        </w:rPr>
      </w:r>
      <w:r>
        <w:rPr>
          <w:noProof/>
        </w:rPr>
        <w:fldChar w:fldCharType="separate"/>
      </w:r>
      <w:r>
        <w:rPr>
          <w:noProof/>
        </w:rPr>
        <w:t>34</w:t>
      </w:r>
      <w:r>
        <w:rPr>
          <w:noProof/>
        </w:rPr>
        <w:fldChar w:fldCharType="end"/>
      </w:r>
    </w:p>
    <w:p w14:paraId="0182E555" w14:textId="7E26BDEC" w:rsidR="007B3711" w:rsidRPr="007B3711" w:rsidRDefault="007B3711">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6.3</w:t>
      </w:r>
      <w:r w:rsidRPr="007B3711">
        <w:rPr>
          <w:rFonts w:asciiTheme="minorHAnsi" w:hAnsiTheme="minorHAnsi" w:cstheme="minorBidi"/>
          <w:b w:val="0"/>
          <w:noProof/>
          <w:kern w:val="2"/>
          <w:lang w:eastAsia="zh-CN"/>
          <w14:ligatures w14:val="standardContextual"/>
        </w:rPr>
        <w:tab/>
      </w:r>
      <w:r>
        <w:rPr>
          <w:noProof/>
        </w:rPr>
        <w:t>Ausblick</w:t>
      </w:r>
      <w:r>
        <w:rPr>
          <w:noProof/>
        </w:rPr>
        <w:tab/>
      </w:r>
      <w:r>
        <w:rPr>
          <w:noProof/>
        </w:rPr>
        <w:fldChar w:fldCharType="begin"/>
      </w:r>
      <w:r>
        <w:rPr>
          <w:noProof/>
        </w:rPr>
        <w:instrText xml:space="preserve"> PAGEREF _Toc238658084 \h </w:instrText>
      </w:r>
      <w:r>
        <w:rPr>
          <w:noProof/>
        </w:rPr>
      </w:r>
      <w:r>
        <w:rPr>
          <w:noProof/>
        </w:rPr>
        <w:fldChar w:fldCharType="separate"/>
      </w:r>
      <w:r>
        <w:rPr>
          <w:noProof/>
        </w:rPr>
        <w:t>35</w:t>
      </w:r>
      <w:r>
        <w:rPr>
          <w:noProof/>
        </w:rPr>
        <w:fldChar w:fldCharType="end"/>
      </w:r>
    </w:p>
    <w:p w14:paraId="15A4AF5F" w14:textId="4FAF9786" w:rsidR="007B3711" w:rsidRPr="007B3711" w:rsidRDefault="007B3711">
      <w:pPr>
        <w:pStyle w:val="TOC1"/>
        <w:tabs>
          <w:tab w:val="right" w:leader="dot" w:pos="9061"/>
        </w:tabs>
        <w:rPr>
          <w:rFonts w:asciiTheme="minorHAnsi" w:hAnsiTheme="minorHAnsi" w:cstheme="minorBidi"/>
          <w:b w:val="0"/>
          <w:smallCaps w:val="0"/>
          <w:noProof/>
          <w:kern w:val="2"/>
          <w:sz w:val="22"/>
          <w:lang w:eastAsia="zh-CN"/>
          <w14:ligatures w14:val="standardContextual"/>
        </w:rPr>
      </w:pPr>
      <w:r>
        <w:rPr>
          <w:noProof/>
        </w:rPr>
        <w:t>Literaturverzeichnis</w:t>
      </w:r>
      <w:r>
        <w:rPr>
          <w:noProof/>
        </w:rPr>
        <w:tab/>
      </w:r>
      <w:r>
        <w:rPr>
          <w:noProof/>
        </w:rPr>
        <w:fldChar w:fldCharType="begin"/>
      </w:r>
      <w:r>
        <w:rPr>
          <w:noProof/>
        </w:rPr>
        <w:instrText xml:space="preserve"> PAGEREF _Toc238658085 \h </w:instrText>
      </w:r>
      <w:r>
        <w:rPr>
          <w:noProof/>
        </w:rPr>
      </w:r>
      <w:r>
        <w:rPr>
          <w:noProof/>
        </w:rPr>
        <w:fldChar w:fldCharType="separate"/>
      </w:r>
      <w:r>
        <w:rPr>
          <w:noProof/>
        </w:rPr>
        <w:t>39</w:t>
      </w:r>
      <w:r>
        <w:rPr>
          <w:noProof/>
        </w:rPr>
        <w:fldChar w:fldCharType="end"/>
      </w:r>
    </w:p>
    <w:p w14:paraId="69E8798C" w14:textId="37255515" w:rsidR="007B3711" w:rsidRPr="00891D63" w:rsidRDefault="007B3711">
      <w:pPr>
        <w:pStyle w:val="TOC1"/>
        <w:tabs>
          <w:tab w:val="right" w:leader="dot" w:pos="9061"/>
        </w:tabs>
        <w:rPr>
          <w:rFonts w:asciiTheme="minorHAnsi" w:hAnsiTheme="minorHAnsi" w:cstheme="minorBidi"/>
          <w:b w:val="0"/>
          <w:smallCaps w:val="0"/>
          <w:noProof/>
          <w:kern w:val="2"/>
          <w:sz w:val="22"/>
          <w:lang w:eastAsia="zh-CN"/>
          <w14:ligatures w14:val="standardContextual"/>
        </w:rPr>
      </w:pPr>
      <w:r w:rsidRPr="00891D63">
        <w:rPr>
          <w:noProof/>
        </w:rPr>
        <w:t>Anhang A</w:t>
      </w:r>
      <w:r>
        <w:rPr>
          <w:noProof/>
        </w:rPr>
        <w:tab/>
      </w:r>
      <w:r>
        <w:rPr>
          <w:noProof/>
        </w:rPr>
        <w:fldChar w:fldCharType="begin"/>
      </w:r>
      <w:r>
        <w:rPr>
          <w:noProof/>
        </w:rPr>
        <w:instrText xml:space="preserve"> PAGEREF _Toc238658086 \h </w:instrText>
      </w:r>
      <w:r>
        <w:rPr>
          <w:noProof/>
        </w:rPr>
      </w:r>
      <w:r>
        <w:rPr>
          <w:noProof/>
        </w:rPr>
        <w:fldChar w:fldCharType="separate"/>
      </w:r>
      <w:r>
        <w:rPr>
          <w:noProof/>
        </w:rPr>
        <w:t>41</w:t>
      </w:r>
      <w:r>
        <w:rPr>
          <w:noProof/>
        </w:rPr>
        <w:fldChar w:fldCharType="end"/>
      </w:r>
    </w:p>
    <w:p w14:paraId="2431CB90" w14:textId="168BD162" w:rsidR="001053DD" w:rsidRPr="003243D7" w:rsidRDefault="00661E48" w:rsidP="00EF49C0">
      <w:pPr>
        <w:pStyle w:val="TOC1"/>
        <w:tabs>
          <w:tab w:val="right" w:leader="dot" w:pos="9061"/>
        </w:tabs>
        <w:ind w:left="720" w:hanging="720"/>
        <w:jc w:val="both"/>
      </w:pPr>
      <w:r w:rsidRPr="00DC2241">
        <w:rPr>
          <w:rFonts w:cs="Arial"/>
        </w:rPr>
        <w:fldChar w:fldCharType="end"/>
      </w:r>
    </w:p>
    <w:p w14:paraId="255B25CF" w14:textId="77777777" w:rsidR="00F56A76" w:rsidRPr="00DC2241" w:rsidRDefault="005F4127" w:rsidP="00411168">
      <w:pPr>
        <w:pStyle w:val="Verzeichnisse"/>
      </w:pPr>
      <w:r w:rsidRPr="00DC2241">
        <w:br w:type="page"/>
      </w:r>
      <w:r w:rsidR="00F56A76" w:rsidRPr="00DC2241">
        <w:lastRenderedPageBreak/>
        <w:t>Abbildungs</w:t>
      </w:r>
      <w:r w:rsidR="006F597F" w:rsidRPr="00DC2241">
        <w:t>v</w:t>
      </w:r>
      <w:r w:rsidR="000960F6" w:rsidRPr="00DC2241">
        <w:t>erzeichnis</w:t>
      </w:r>
    </w:p>
    <w:p w14:paraId="4955916E" w14:textId="1AFBA9D5" w:rsidR="007B3711" w:rsidRPr="007B3711" w:rsidRDefault="00F56A76">
      <w:pPr>
        <w:pStyle w:val="aa"/>
        <w:tabs>
          <w:tab w:val="right" w:leader="dot" w:pos="9061"/>
        </w:tabs>
        <w:rPr>
          <w:rFonts w:asciiTheme="minorHAnsi" w:hAnsiTheme="minorHAnsi" w:cstheme="minorBidi"/>
          <w:noProof/>
          <w:kern w:val="2"/>
          <w:sz w:val="22"/>
          <w:szCs w:val="24"/>
          <w:lang w:eastAsia="zh-CN"/>
          <w14:ligatures w14:val="standardContextual"/>
        </w:rPr>
      </w:pPr>
      <w:r w:rsidRPr="00DC2241">
        <w:rPr>
          <w:rFonts w:cs="Arial"/>
        </w:rPr>
        <w:fldChar w:fldCharType="begin"/>
      </w:r>
      <w:r w:rsidRPr="00DC2241">
        <w:rPr>
          <w:rFonts w:cs="Arial"/>
        </w:rPr>
        <w:instrText xml:space="preserve"> TOC \c "Abbildung" </w:instrText>
      </w:r>
      <w:r w:rsidRPr="00DC2241">
        <w:rPr>
          <w:rFonts w:cs="Arial"/>
        </w:rPr>
        <w:fldChar w:fldCharType="separate"/>
      </w:r>
      <w:r w:rsidR="007B3711">
        <w:rPr>
          <w:noProof/>
        </w:rPr>
        <w:t>Abbildung 1: Framework-Übersicht des entwickelten Systems nach Analysephasen</w:t>
      </w:r>
      <w:r w:rsidR="007B3711">
        <w:rPr>
          <w:noProof/>
        </w:rPr>
        <w:tab/>
      </w:r>
      <w:r w:rsidR="007B3711">
        <w:rPr>
          <w:noProof/>
        </w:rPr>
        <w:fldChar w:fldCharType="begin"/>
      </w:r>
      <w:r w:rsidR="007B3711">
        <w:rPr>
          <w:noProof/>
        </w:rPr>
        <w:instrText xml:space="preserve"> PAGEREF _Toc238658087 \h </w:instrText>
      </w:r>
      <w:r w:rsidR="007B3711">
        <w:rPr>
          <w:noProof/>
        </w:rPr>
      </w:r>
      <w:r w:rsidR="007B3711">
        <w:rPr>
          <w:noProof/>
        </w:rPr>
        <w:fldChar w:fldCharType="separate"/>
      </w:r>
      <w:r w:rsidR="007B3711">
        <w:rPr>
          <w:noProof/>
        </w:rPr>
        <w:t>12</w:t>
      </w:r>
      <w:r w:rsidR="007B3711">
        <w:rPr>
          <w:noProof/>
        </w:rPr>
        <w:fldChar w:fldCharType="end"/>
      </w:r>
    </w:p>
    <w:p w14:paraId="72B9159B" w14:textId="30724959" w:rsidR="007B3711" w:rsidRPr="007B3711" w:rsidRDefault="007B3711">
      <w:pPr>
        <w:pStyle w:val="aa"/>
        <w:tabs>
          <w:tab w:val="right" w:leader="dot" w:pos="9061"/>
        </w:tabs>
        <w:rPr>
          <w:rFonts w:asciiTheme="minorHAnsi" w:hAnsiTheme="minorHAnsi" w:cstheme="minorBidi"/>
          <w:noProof/>
          <w:kern w:val="2"/>
          <w:sz w:val="22"/>
          <w:szCs w:val="24"/>
          <w:lang w:eastAsia="zh-CN"/>
          <w14:ligatures w14:val="standardContextual"/>
        </w:rPr>
      </w:pPr>
      <w:r>
        <w:rPr>
          <w:noProof/>
        </w:rPr>
        <w:t>Abbildung 2</w:t>
      </w:r>
      <w:r w:rsidRPr="0044793C">
        <w:rPr>
          <w:iCs/>
          <w:noProof/>
        </w:rPr>
        <w:t>: Ablaufdiagramm der sechsstufigen Agenten-Pipeline.</w:t>
      </w:r>
      <w:r>
        <w:rPr>
          <w:noProof/>
        </w:rPr>
        <w:tab/>
      </w:r>
      <w:r>
        <w:rPr>
          <w:noProof/>
        </w:rPr>
        <w:fldChar w:fldCharType="begin"/>
      </w:r>
      <w:r>
        <w:rPr>
          <w:noProof/>
        </w:rPr>
        <w:instrText xml:space="preserve"> PAGEREF _Toc238658088 \h </w:instrText>
      </w:r>
      <w:r>
        <w:rPr>
          <w:noProof/>
        </w:rPr>
      </w:r>
      <w:r>
        <w:rPr>
          <w:noProof/>
        </w:rPr>
        <w:fldChar w:fldCharType="separate"/>
      </w:r>
      <w:r>
        <w:rPr>
          <w:noProof/>
        </w:rPr>
        <w:t>13</w:t>
      </w:r>
      <w:r>
        <w:rPr>
          <w:noProof/>
        </w:rPr>
        <w:fldChar w:fldCharType="end"/>
      </w:r>
    </w:p>
    <w:p w14:paraId="36E54236" w14:textId="417EC3AF" w:rsidR="006A5A31" w:rsidRPr="00DC2241" w:rsidRDefault="00F56A76" w:rsidP="003243D7">
      <w:r w:rsidRPr="00DC2241">
        <w:fldChar w:fldCharType="end"/>
      </w:r>
    </w:p>
    <w:p w14:paraId="1429E17E" w14:textId="77777777" w:rsidR="000960F6" w:rsidRPr="00DC2241" w:rsidRDefault="006F597F" w:rsidP="00411168">
      <w:pPr>
        <w:pStyle w:val="Verzeichnisse"/>
      </w:pPr>
      <w:r w:rsidRPr="00DC2241">
        <w:br w:type="page"/>
      </w:r>
      <w:r w:rsidRPr="00DC2241">
        <w:lastRenderedPageBreak/>
        <w:t>Tabellenverzeichnis</w:t>
      </w:r>
    </w:p>
    <w:p w14:paraId="608F4287" w14:textId="45B68270" w:rsidR="007B3711" w:rsidRPr="007B3711" w:rsidRDefault="00F56A76">
      <w:pPr>
        <w:pStyle w:val="aa"/>
        <w:tabs>
          <w:tab w:val="right" w:leader="dot" w:pos="9061"/>
        </w:tabs>
        <w:rPr>
          <w:rFonts w:asciiTheme="minorHAnsi" w:hAnsiTheme="minorHAnsi" w:cstheme="minorBidi"/>
          <w:noProof/>
          <w:kern w:val="2"/>
          <w:sz w:val="22"/>
          <w:szCs w:val="24"/>
          <w:lang w:eastAsia="zh-CN"/>
          <w14:ligatures w14:val="standardContextual"/>
        </w:rPr>
      </w:pPr>
      <w:r w:rsidRPr="00DC2241">
        <w:fldChar w:fldCharType="begin"/>
      </w:r>
      <w:r w:rsidRPr="00DC2241">
        <w:instrText xml:space="preserve"> TOC \c "Tabelle" </w:instrText>
      </w:r>
      <w:r w:rsidRPr="00DC2241">
        <w:fldChar w:fldCharType="separate"/>
      </w:r>
      <w:r w:rsidR="007B3711">
        <w:rPr>
          <w:noProof/>
        </w:rPr>
        <w:t>Tabelle 1: Technologie-Stack der Implementierung</w:t>
      </w:r>
      <w:r w:rsidR="007B3711">
        <w:rPr>
          <w:noProof/>
        </w:rPr>
        <w:tab/>
      </w:r>
      <w:r w:rsidR="007B3711">
        <w:rPr>
          <w:noProof/>
        </w:rPr>
        <w:fldChar w:fldCharType="begin"/>
      </w:r>
      <w:r w:rsidR="007B3711">
        <w:rPr>
          <w:noProof/>
        </w:rPr>
        <w:instrText xml:space="preserve"> PAGEREF _Toc238658089 \h </w:instrText>
      </w:r>
      <w:r w:rsidR="007B3711">
        <w:rPr>
          <w:noProof/>
        </w:rPr>
      </w:r>
      <w:r w:rsidR="007B3711">
        <w:rPr>
          <w:noProof/>
        </w:rPr>
        <w:fldChar w:fldCharType="separate"/>
      </w:r>
      <w:r w:rsidR="007B3711">
        <w:rPr>
          <w:noProof/>
        </w:rPr>
        <w:t>19</w:t>
      </w:r>
      <w:r w:rsidR="007B3711">
        <w:rPr>
          <w:noProof/>
        </w:rPr>
        <w:fldChar w:fldCharType="end"/>
      </w:r>
    </w:p>
    <w:p w14:paraId="72F8255C" w14:textId="53D7F179" w:rsidR="007B3711" w:rsidRPr="007B3711" w:rsidRDefault="007B3711">
      <w:pPr>
        <w:pStyle w:val="aa"/>
        <w:tabs>
          <w:tab w:val="right" w:leader="dot" w:pos="9061"/>
        </w:tabs>
        <w:rPr>
          <w:rFonts w:asciiTheme="minorHAnsi" w:hAnsiTheme="minorHAnsi" w:cstheme="minorBidi"/>
          <w:noProof/>
          <w:kern w:val="2"/>
          <w:sz w:val="22"/>
          <w:szCs w:val="24"/>
          <w:lang w:eastAsia="zh-CN"/>
          <w14:ligatures w14:val="standardContextual"/>
        </w:rPr>
      </w:pPr>
      <w:r>
        <w:rPr>
          <w:noProof/>
        </w:rPr>
        <w:t>Tabelle 2</w:t>
      </w:r>
      <w:r w:rsidRPr="00AA6911">
        <w:rPr>
          <w:iCs/>
          <w:noProof/>
        </w:rPr>
        <w:t>: Klassifikation zentraler Datenfelder nach Datenherkunft.</w:t>
      </w:r>
      <w:r>
        <w:rPr>
          <w:noProof/>
        </w:rPr>
        <w:tab/>
      </w:r>
      <w:r>
        <w:rPr>
          <w:noProof/>
        </w:rPr>
        <w:fldChar w:fldCharType="begin"/>
      </w:r>
      <w:r>
        <w:rPr>
          <w:noProof/>
        </w:rPr>
        <w:instrText xml:space="preserve"> PAGEREF _Toc238658090 \h </w:instrText>
      </w:r>
      <w:r>
        <w:rPr>
          <w:noProof/>
        </w:rPr>
      </w:r>
      <w:r>
        <w:rPr>
          <w:noProof/>
        </w:rPr>
        <w:fldChar w:fldCharType="separate"/>
      </w:r>
      <w:r>
        <w:rPr>
          <w:noProof/>
        </w:rPr>
        <w:t>21</w:t>
      </w:r>
      <w:r>
        <w:rPr>
          <w:noProof/>
        </w:rPr>
        <w:fldChar w:fldCharType="end"/>
      </w:r>
    </w:p>
    <w:p w14:paraId="34BE1EFA" w14:textId="1EFF8D98" w:rsidR="007B3711" w:rsidRDefault="007B3711">
      <w:pPr>
        <w:pStyle w:val="aa"/>
        <w:tabs>
          <w:tab w:val="right" w:leader="dot" w:pos="9061"/>
        </w:tabs>
        <w:rPr>
          <w:rFonts w:asciiTheme="minorHAnsi" w:hAnsiTheme="minorHAnsi" w:cstheme="minorBidi"/>
          <w:noProof/>
          <w:kern w:val="2"/>
          <w:sz w:val="22"/>
          <w:szCs w:val="24"/>
          <w:lang w:val="en-US" w:eastAsia="zh-CN"/>
          <w14:ligatures w14:val="standardContextual"/>
        </w:rPr>
      </w:pPr>
      <w:r w:rsidRPr="00AA6911">
        <w:rPr>
          <w:noProof/>
          <w:lang w:val="en-US"/>
        </w:rPr>
        <w:t>Tabelle 3</w:t>
      </w:r>
      <w:r w:rsidRPr="00AA6911">
        <w:rPr>
          <w:iCs/>
          <w:noProof/>
          <w:lang w:val="en-US"/>
        </w:rPr>
        <w:t>: RiskScore-Berechnung der Long Harbour Processing Plant (Vale Canada Ltd</w:t>
      </w:r>
      <w:r w:rsidRPr="00AA6911">
        <w:rPr>
          <w:iCs/>
          <w:noProof/>
          <w:lang w:val="en-US" w:eastAsia="zh-CN"/>
        </w:rPr>
        <w:t>)</w:t>
      </w:r>
      <w:r w:rsidRPr="007B3711">
        <w:rPr>
          <w:noProof/>
          <w:lang w:val="en-US"/>
        </w:rPr>
        <w:tab/>
      </w:r>
      <w:r>
        <w:rPr>
          <w:noProof/>
        </w:rPr>
        <w:fldChar w:fldCharType="begin"/>
      </w:r>
      <w:r w:rsidRPr="007B3711">
        <w:rPr>
          <w:noProof/>
          <w:lang w:val="en-US"/>
        </w:rPr>
        <w:instrText xml:space="preserve"> PAGEREF _Toc238658091 \h </w:instrText>
      </w:r>
      <w:r>
        <w:rPr>
          <w:noProof/>
        </w:rPr>
      </w:r>
      <w:r>
        <w:rPr>
          <w:noProof/>
        </w:rPr>
        <w:fldChar w:fldCharType="separate"/>
      </w:r>
      <w:r w:rsidRPr="007B3711">
        <w:rPr>
          <w:noProof/>
          <w:lang w:val="en-US"/>
        </w:rPr>
        <w:t>24</w:t>
      </w:r>
      <w:r>
        <w:rPr>
          <w:noProof/>
        </w:rPr>
        <w:fldChar w:fldCharType="end"/>
      </w:r>
    </w:p>
    <w:p w14:paraId="7CB72D84" w14:textId="72B9E4BE" w:rsidR="007B3711" w:rsidRPr="007B3711" w:rsidRDefault="007B3711">
      <w:pPr>
        <w:pStyle w:val="aa"/>
        <w:tabs>
          <w:tab w:val="right" w:leader="dot" w:pos="9061"/>
        </w:tabs>
        <w:rPr>
          <w:rFonts w:asciiTheme="minorHAnsi" w:hAnsiTheme="minorHAnsi" w:cstheme="minorBidi"/>
          <w:noProof/>
          <w:kern w:val="2"/>
          <w:sz w:val="22"/>
          <w:szCs w:val="24"/>
          <w:lang w:eastAsia="zh-CN"/>
          <w14:ligatures w14:val="standardContextual"/>
        </w:rPr>
      </w:pPr>
      <w:r>
        <w:rPr>
          <w:noProof/>
        </w:rPr>
        <w:t>Tabelle 4</w:t>
      </w:r>
      <w:r w:rsidRPr="00AA6911">
        <w:rPr>
          <w:iCs/>
          <w:noProof/>
        </w:rPr>
        <w:t>: Zusammenfassung der Evaluationsergebnisse der Szenarien S1 bis S4</w:t>
      </w:r>
      <w:r>
        <w:rPr>
          <w:noProof/>
        </w:rPr>
        <w:tab/>
      </w:r>
      <w:r>
        <w:rPr>
          <w:noProof/>
        </w:rPr>
        <w:fldChar w:fldCharType="begin"/>
      </w:r>
      <w:r>
        <w:rPr>
          <w:noProof/>
        </w:rPr>
        <w:instrText xml:space="preserve"> PAGEREF _Toc238658092 \h </w:instrText>
      </w:r>
      <w:r>
        <w:rPr>
          <w:noProof/>
        </w:rPr>
      </w:r>
      <w:r>
        <w:rPr>
          <w:noProof/>
        </w:rPr>
        <w:fldChar w:fldCharType="separate"/>
      </w:r>
      <w:r>
        <w:rPr>
          <w:noProof/>
        </w:rPr>
        <w:t>29</w:t>
      </w:r>
      <w:r>
        <w:rPr>
          <w:noProof/>
        </w:rPr>
        <w:fldChar w:fldCharType="end"/>
      </w:r>
    </w:p>
    <w:p w14:paraId="1A5A12D9" w14:textId="0DEBC141" w:rsidR="007B3711" w:rsidRPr="007B3711" w:rsidRDefault="007B3711">
      <w:pPr>
        <w:pStyle w:val="aa"/>
        <w:tabs>
          <w:tab w:val="right" w:leader="dot" w:pos="9061"/>
        </w:tabs>
        <w:rPr>
          <w:rFonts w:asciiTheme="minorHAnsi" w:hAnsiTheme="minorHAnsi" w:cstheme="minorBidi"/>
          <w:noProof/>
          <w:kern w:val="2"/>
          <w:sz w:val="22"/>
          <w:szCs w:val="24"/>
          <w:lang w:eastAsia="zh-CN"/>
          <w14:ligatures w14:val="standardContextual"/>
        </w:rPr>
      </w:pPr>
      <w:r>
        <w:rPr>
          <w:noProof/>
        </w:rPr>
        <w:t>Tabelle 5</w:t>
      </w:r>
      <w:r>
        <w:rPr>
          <w:noProof/>
          <w:lang w:eastAsia="zh-CN"/>
        </w:rPr>
        <w:t>:</w:t>
      </w:r>
      <w:r w:rsidRPr="00AA6911">
        <w:rPr>
          <w:iCs/>
          <w:noProof/>
          <w:lang w:eastAsia="zh-CN"/>
        </w:rPr>
        <w:t xml:space="preserve"> Durchschnittliche Qualitätsbewertung der Szenarien S1 bis S4 über zehn Wiederholungen</w:t>
      </w:r>
      <w:r>
        <w:rPr>
          <w:noProof/>
        </w:rPr>
        <w:tab/>
      </w:r>
      <w:r>
        <w:rPr>
          <w:noProof/>
        </w:rPr>
        <w:fldChar w:fldCharType="begin"/>
      </w:r>
      <w:r>
        <w:rPr>
          <w:noProof/>
        </w:rPr>
        <w:instrText xml:space="preserve"> PAGEREF _Toc238658093 \h </w:instrText>
      </w:r>
      <w:r>
        <w:rPr>
          <w:noProof/>
        </w:rPr>
      </w:r>
      <w:r>
        <w:rPr>
          <w:noProof/>
        </w:rPr>
        <w:fldChar w:fldCharType="separate"/>
      </w:r>
      <w:r>
        <w:rPr>
          <w:noProof/>
        </w:rPr>
        <w:t>31</w:t>
      </w:r>
      <w:r>
        <w:rPr>
          <w:noProof/>
        </w:rPr>
        <w:fldChar w:fldCharType="end"/>
      </w:r>
    </w:p>
    <w:p w14:paraId="4849C947" w14:textId="0C91C5E8" w:rsidR="005F4127" w:rsidRPr="00DC2241" w:rsidRDefault="00F56A76" w:rsidP="003243D7">
      <w:pPr>
        <w:rPr>
          <w:rFonts w:cs="Arial"/>
        </w:rPr>
      </w:pPr>
      <w:r w:rsidRPr="00DC2241">
        <w:rPr>
          <w:rFonts w:cs="Arial"/>
        </w:rPr>
        <w:fldChar w:fldCharType="end"/>
      </w:r>
    </w:p>
    <w:p w14:paraId="51BB91EB" w14:textId="77777777" w:rsidR="00037A72" w:rsidRPr="00DC2241" w:rsidRDefault="005F4127" w:rsidP="005F4127">
      <w:pPr>
        <w:pStyle w:val="Verzeichnisse"/>
      </w:pPr>
      <w:r w:rsidRPr="00DC2241">
        <w:br w:type="page"/>
      </w:r>
      <w:r w:rsidRPr="00DC2241">
        <w:lastRenderedPageBreak/>
        <w:t>Abkürzungsverzeichnis</w:t>
      </w:r>
    </w:p>
    <w:p w14:paraId="39C79407" w14:textId="2BA298E5" w:rsidR="00764643" w:rsidRDefault="00764643" w:rsidP="00764643">
      <w:pPr>
        <w:tabs>
          <w:tab w:val="left" w:pos="2700"/>
        </w:tabs>
      </w:pPr>
      <w:r>
        <w:t>LLM</w:t>
      </w:r>
      <w:r>
        <w:tab/>
        <w:t>Large Language Model</w:t>
      </w:r>
    </w:p>
    <w:p w14:paraId="6734F68F" w14:textId="1CA5580E" w:rsidR="00764643" w:rsidRPr="00D0078C" w:rsidRDefault="00764643" w:rsidP="00764643">
      <w:pPr>
        <w:tabs>
          <w:tab w:val="left" w:pos="2700"/>
        </w:tabs>
        <w:rPr>
          <w:lang w:val="en-US"/>
        </w:rPr>
      </w:pPr>
      <w:r w:rsidRPr="00D0078C">
        <w:rPr>
          <w:lang w:val="en-US"/>
        </w:rPr>
        <w:t>BFS</w:t>
      </w:r>
      <w:r w:rsidRPr="00D0078C">
        <w:rPr>
          <w:lang w:val="en-US"/>
        </w:rPr>
        <w:tab/>
        <w:t>Breadth-First Search</w:t>
      </w:r>
      <w:r w:rsidRPr="00D0078C">
        <w:rPr>
          <w:lang w:val="en-US"/>
        </w:rPr>
        <w:tab/>
      </w:r>
    </w:p>
    <w:p w14:paraId="3D839834" w14:textId="344B73E5" w:rsidR="00764643" w:rsidRPr="00D0078C" w:rsidRDefault="00764643" w:rsidP="00764643">
      <w:pPr>
        <w:tabs>
          <w:tab w:val="left" w:pos="2700"/>
        </w:tabs>
        <w:rPr>
          <w:lang w:val="en-US"/>
        </w:rPr>
      </w:pPr>
      <w:r w:rsidRPr="00D0078C">
        <w:rPr>
          <w:lang w:val="en-US"/>
        </w:rPr>
        <w:t xml:space="preserve">SCRM </w:t>
      </w:r>
      <w:r w:rsidRPr="00D0078C">
        <w:rPr>
          <w:lang w:val="en-US"/>
        </w:rPr>
        <w:tab/>
        <w:t>Supply Chain Risk Management</w:t>
      </w:r>
    </w:p>
    <w:p w14:paraId="01B15961" w14:textId="4AEA6CBD" w:rsidR="00764643" w:rsidRPr="00D0078C" w:rsidRDefault="00764643" w:rsidP="00764643">
      <w:pPr>
        <w:tabs>
          <w:tab w:val="left" w:pos="2700"/>
        </w:tabs>
        <w:ind w:left="2700" w:hanging="2700"/>
        <w:rPr>
          <w:lang w:val="en-US"/>
        </w:rPr>
      </w:pPr>
      <w:r w:rsidRPr="00D0078C">
        <w:rPr>
          <w:lang w:val="en-US"/>
        </w:rPr>
        <w:t xml:space="preserve">NAATBatt </w:t>
      </w:r>
      <w:r w:rsidRPr="00D0078C">
        <w:rPr>
          <w:lang w:val="en-US"/>
        </w:rPr>
        <w:tab/>
        <w:t xml:space="preserve">NAATBatt International / North American Battery Supply Chain Database </w:t>
      </w:r>
    </w:p>
    <w:p w14:paraId="408B7BDC" w14:textId="4829ABD1" w:rsidR="00764643" w:rsidRDefault="00764643" w:rsidP="00764643">
      <w:pPr>
        <w:tabs>
          <w:tab w:val="left" w:pos="2700"/>
        </w:tabs>
      </w:pPr>
      <w:r>
        <w:t xml:space="preserve">RAG </w:t>
      </w:r>
      <w:r>
        <w:tab/>
        <w:t>Retrieval-Augmented Generation</w:t>
      </w:r>
    </w:p>
    <w:p w14:paraId="727A19C3" w14:textId="421B7080" w:rsidR="00764643" w:rsidRPr="00AF498D" w:rsidRDefault="00764643" w:rsidP="00764643">
      <w:pPr>
        <w:tabs>
          <w:tab w:val="left" w:pos="2700"/>
        </w:tabs>
        <w:sectPr w:rsidR="00764643" w:rsidRPr="00AF498D" w:rsidSect="00E4309C">
          <w:headerReference w:type="default" r:id="rId14"/>
          <w:pgSz w:w="11907" w:h="16840" w:code="9"/>
          <w:pgMar w:top="1418" w:right="1418" w:bottom="1701" w:left="1418" w:header="720" w:footer="720" w:gutter="0"/>
          <w:pgNumType w:fmt="upperRoman" w:start="1"/>
          <w:cols w:space="720"/>
        </w:sectPr>
      </w:pPr>
    </w:p>
    <w:p w14:paraId="513B4221" w14:textId="77777777" w:rsidR="008D4CEF" w:rsidRPr="00577E58" w:rsidRDefault="00000000" w:rsidP="00577E58">
      <w:pPr>
        <w:pStyle w:val="1"/>
      </w:pPr>
      <w:bookmarkStart w:id="2" w:name="_Toc238658030"/>
      <w:r w:rsidRPr="00577E58">
        <w:lastRenderedPageBreak/>
        <w:t>Einleitung und Zielstellung</w:t>
      </w:r>
      <w:bookmarkEnd w:id="2"/>
    </w:p>
    <w:p w14:paraId="6964C23B" w14:textId="77777777" w:rsidR="008D4CEF" w:rsidRPr="00577E58" w:rsidRDefault="00000000" w:rsidP="00577E58">
      <w:pPr>
        <w:pStyle w:val="2"/>
      </w:pPr>
      <w:bookmarkStart w:id="3" w:name="_Toc238658031"/>
      <w:r w:rsidRPr="00577E58">
        <w:t>Motivation und Problemstellung</w:t>
      </w:r>
      <w:bookmarkEnd w:id="3"/>
    </w:p>
    <w:p w14:paraId="597C2DE5" w14:textId="012D32D9" w:rsidR="008D4CEF" w:rsidRDefault="00000000">
      <w:r>
        <w:t>In einer globalisierten Wirtschaft sind Lieferketten komplexer und zugleich anfälliger geworden. Geopolitis</w:t>
      </w:r>
      <w:r w:rsidRPr="00301066">
        <w:rPr>
          <w:szCs w:val="24"/>
        </w:rPr>
        <w:t xml:space="preserve">che Spannungen, Naturkatastrophen, Pandemien und Arbeitskonflikte unterbrechen Warenströme, die sich über zahlreiche Länder und Lieferstufen erstrecken. </w:t>
      </w:r>
      <w:r w:rsidR="00891D63" w:rsidRPr="00891D63">
        <w:rPr>
          <w:szCs w:val="24"/>
        </w:rPr>
        <w:t>Für das Jahr 2025 registriert eine Branchenanalyse einen Anstieg gemeldeter globaler Lieferkettenunterbrechungen um 38 Prozent gegenüber dem Vorjahr; Arbeitskonflikte lösten dabei mit einem Anstieg von 10 Prozent erstmals Fabrikbrände als häufigste Störungsursache ab</w:t>
      </w:r>
      <w:r>
        <w:t xml:space="preserve"> [1].</w:t>
      </w:r>
    </w:p>
    <w:p w14:paraId="0BF98994" w14:textId="77777777" w:rsidR="008D4CEF" w:rsidRDefault="00000000">
      <w:r>
        <w:t>Besonders betroffen ist die Batterieindustrie. Kritische Rohstoffe wie Lithium, Kobalt und Nickel werden in wenigen Weltregionen gefördert und über mehrstufige Netzwerke zu Zellen, Modulen und Packs verarbeitet [2] [3]. Diese geografische Konzentration erhöht die Anfälligkeit der Branche: Eine Störung in einer einzelnen Region wirkt sich potenziell auf die gesamte nordamerikanische Batterie-Wertschöpfungskette aus.</w:t>
      </w:r>
    </w:p>
    <w:p w14:paraId="7F1FAF01" w14:textId="77777777" w:rsidR="008D4CEF" w:rsidRDefault="00000000">
      <w:r>
        <w:t>Kommerzielle Überwachungsplattformen wie Prewave [4] oder Resilinc [1] beobachten Lieferkettenrisiken auf Basis proprietärer Datenquellen und Bewertungsmethoden. Eine systematische, für Nutzende nachvollziehbare Verknüpfung unstrukturierter Ereignistexte mit strukturierten Lieferkettendaten in einem offen dokumentierten Verfahren stellen diese Plattformen nicht bereit. Wissenschaftliche Studien zeigen, dass Ansätze auf Basis von Large Language Models Nachrichtentexte für die Risikoerkennung nutzen [5]. Ein zentrales Problem bleibt dabei ungelöst: Bestehende Ansätze verbinden Nachrichtendaten, Lieferkettenstruktur und Unternehmensdaten nicht systematisch und überlassen sowohl die Interpretation von Ereignistexten als auch die numerische Risikobewertung demselben, unkontrollierten Sprachmodell. Ohne strukturelle Kontrollmechanismen neigen solche Modelle zu Halluzinationen und liefern schwer nachvollziehbare Ergebnisse.</w:t>
      </w:r>
    </w:p>
    <w:p w14:paraId="7D89BB10" w14:textId="77777777" w:rsidR="008D4CEF" w:rsidRPr="00577E58" w:rsidRDefault="00000000" w:rsidP="00577E58">
      <w:pPr>
        <w:pStyle w:val="2"/>
      </w:pPr>
      <w:bookmarkStart w:id="4" w:name="_Toc238658032"/>
      <w:r w:rsidRPr="00577E58">
        <w:t>Zielsetzung und Forschungsfragen</w:t>
      </w:r>
      <w:bookmarkEnd w:id="4"/>
    </w:p>
    <w:p w14:paraId="27DA3ED6" w14:textId="77777777" w:rsidR="008D4CEF" w:rsidRDefault="00000000">
      <w:r>
        <w:t>Ziel dieser Arbeit ist die Entwicklung und prototypische Implementierung eines LLM-basierten Multi-Agenten-Systems zur automatisierten Risikoerkennung und Risikobewertung in komplexen Lieferketten, untersucht am Beispiel der nordamerikanischen Lithium-Ionen-Batterie-Lieferkette. Als Datenbasis dient die öffentlich zugängliche NAATBatt North American Lithium-Ion Battery Supply Chain Database. Das System nimmt sowohl Nachrichtenartikel als auch direkt formulierte Nutzeranfragen entgegen, identifiziert relevante Risiken sowie die betroffenen Lieferkettenpfade, bewertet die davon betroffenen Anlagen anhand eines quantitativen Risikowerts und erzeugt einen nachvollziehbaren Risikobericht mit Handlungsempfehlungen.</w:t>
      </w:r>
    </w:p>
    <w:p w14:paraId="7AA9727A" w14:textId="77777777" w:rsidR="008D4CEF" w:rsidRDefault="00000000">
      <w:r>
        <w:t>Die zentrale Forschungsfrage dieser Arbeit lautet:</w:t>
      </w:r>
    </w:p>
    <w:p w14:paraId="5199B140" w14:textId="77777777" w:rsidR="008D4CEF" w:rsidRPr="00577E58" w:rsidRDefault="00000000" w:rsidP="00577E58">
      <w:r w:rsidRPr="00577E58">
        <w:lastRenderedPageBreak/>
        <w:t>Wie kann ein Multi-Agenten-System auf Basis von Large Language Models gestaltet werden, das unstrukturierte Nachrichtendaten mit strukturierten Lieferkettendaten zuverlässig verknüpft, um eine erklärbare Erkennung und Bewertung lieferkettenbezogener Risiken zu ermöglichen?</w:t>
      </w:r>
    </w:p>
    <w:p w14:paraId="1031B28E" w14:textId="77777777" w:rsidR="008D4CEF" w:rsidRDefault="00000000">
      <w:r>
        <w:t>Daraus ergeben sich drei Leitfragen:</w:t>
      </w:r>
    </w:p>
    <w:p w14:paraId="5D9B9DF1" w14:textId="77777777" w:rsidR="008D4CEF" w:rsidRDefault="00000000" w:rsidP="00577E58">
      <w:pPr>
        <w:pStyle w:val="a3"/>
        <w:ind w:leftChars="13" w:left="31" w:firstLine="0"/>
      </w:pPr>
      <w:r>
        <w:t>1. Wie müssen die Rollen der einzelnen Agenten aufgeteilt und koordiniert werden, damit das System konsistente Risikoanalysen über mehrere Datenquellen hinweg liefert?</w:t>
      </w:r>
    </w:p>
    <w:p w14:paraId="360714C5" w14:textId="77777777" w:rsidR="008D4CEF" w:rsidRDefault="00000000" w:rsidP="00577E58">
      <w:pPr>
        <w:pStyle w:val="a3"/>
        <w:ind w:leftChars="13" w:left="31" w:firstLine="0"/>
      </w:pPr>
      <w:r>
        <w:t>2. Wie lässt sich ein Validierungsmechanismus zwischen den Agenten implementieren, der zur Reduktion von Halluzinationen sowie zur Erklärbarkeit und Nachvollziehbarkeit der Ergebnisse beiträgt?</w:t>
      </w:r>
    </w:p>
    <w:p w14:paraId="48B4AAD3" w14:textId="77777777" w:rsidR="008D4CEF" w:rsidRDefault="00000000" w:rsidP="00577E58">
      <w:pPr>
        <w:pStyle w:val="a3"/>
        <w:ind w:leftChars="13" w:left="31" w:firstLine="0"/>
      </w:pPr>
      <w:r>
        <w:t>3. Wie lässt sich der entwickelte Prototyp anhand konkreter Szenarien aus der Batterie-Lieferkette demonstrieren und bewerten?</w:t>
      </w:r>
    </w:p>
    <w:p w14:paraId="560A31A6" w14:textId="77777777" w:rsidR="008D4CEF" w:rsidRPr="00577E58" w:rsidRDefault="00000000" w:rsidP="00577E58">
      <w:pPr>
        <w:pStyle w:val="2"/>
      </w:pPr>
      <w:bookmarkStart w:id="5" w:name="_Toc238658033"/>
      <w:r w:rsidRPr="00577E58">
        <w:t>Abgrenzung des Untersuchungsgegenstands</w:t>
      </w:r>
      <w:bookmarkEnd w:id="5"/>
    </w:p>
    <w:p w14:paraId="601F94B4" w14:textId="77777777" w:rsidR="008D4CEF" w:rsidRDefault="00000000">
      <w:r>
        <w:t>Der Untersuchungsgegenstand beschränkt sich auf die Lithium-Ionen-Batterie-Lieferkette Nordamerikas, wie sie die NAATBatt-Datenbank erfasst. Die Arbeit entwickelt einen Prototyp und validiert ihn anhand ausgewählter Szenarien; ein produktiver Dauerbetrieb mit kontinuierlicher Ereignisüberwachung ist nicht Gegenstand der Untersuchung. Transport- und Logistikrisiken bleiben unberücksichtigt, da die verwendete Datenbasis keine Transportroutendaten enthält; diese Einschränkung wird in Kapitel 5 und 6 im Detail begründet und eingeordnet.</w:t>
      </w:r>
    </w:p>
    <w:p w14:paraId="3698B0B5" w14:textId="77777777" w:rsidR="008D4CEF" w:rsidRPr="00577E58" w:rsidRDefault="00000000" w:rsidP="00577E58">
      <w:pPr>
        <w:pStyle w:val="2"/>
      </w:pPr>
      <w:bookmarkStart w:id="6" w:name="_Toc238658034"/>
      <w:r w:rsidRPr="00577E58">
        <w:t>Aufbau der Arbeit</w:t>
      </w:r>
      <w:bookmarkEnd w:id="6"/>
    </w:p>
    <w:p w14:paraId="1ABFD823" w14:textId="77777777" w:rsidR="008D4CEF" w:rsidRDefault="00000000">
      <w:r>
        <w:t>Kapitel 2 stellt die theoretischen Grundlagen und den Stand der Forschung zu Supply Chain Risk Management, Large Language Models in der Lieferkettenanalyse und LLM-basierten Multi-Agenten-Systemen dar und leitet daraus den Handlungsbedarf für die vorliegende Arbeit ab. Kapitel 3 beschreibt das Systemdesign: die Anforderungsanalyse, die Gesamtarchitektur des Multi-Agenten-Systems, die Modellierung der Lieferkette als Graph sowie den Validierungsmechanismus. Kapitel 4 behandelt die konkrete Implementierung, einschließlich des verwendeten Technologie-Stacks, der Datenbasis und der Umsetzung der einzelnen Agenten. Kapitel 5 evaluiert den entwickelten Prototyp anhand vierer Szenarien und diskutiert die dabei gewonnenen Ergebnisse. Kapitel 6 fasst die Ergebnisse zusammen und benennt Grenzen sowie Ansatzpunkte für zukünftige Arbeiten.</w:t>
      </w:r>
    </w:p>
    <w:p w14:paraId="4CD37C06" w14:textId="77777777" w:rsidR="008D4CEF" w:rsidRPr="00577E58" w:rsidRDefault="00000000" w:rsidP="00577E58">
      <w:pPr>
        <w:pStyle w:val="1"/>
      </w:pPr>
      <w:bookmarkStart w:id="7" w:name="_Toc238658035"/>
      <w:r w:rsidRPr="00577E58">
        <w:lastRenderedPageBreak/>
        <w:t>Grundlagen und Stand der Technik</w:t>
      </w:r>
      <w:bookmarkEnd w:id="7"/>
    </w:p>
    <w:p w14:paraId="6849CCB1" w14:textId="77777777" w:rsidR="008D4CEF" w:rsidRPr="00577E58" w:rsidRDefault="00000000" w:rsidP="00577E58">
      <w:pPr>
        <w:pStyle w:val="2"/>
        <w:ind w:left="851" w:hanging="851"/>
      </w:pPr>
      <w:bookmarkStart w:id="8" w:name="_Toc238658036"/>
      <w:r w:rsidRPr="00577E58">
        <w:t>Supply Chain Risk Management</w:t>
      </w:r>
      <w:bookmarkEnd w:id="8"/>
    </w:p>
    <w:p w14:paraId="723E8C52" w14:textId="77777777" w:rsidR="008D4CEF" w:rsidRDefault="00000000">
      <w:r>
        <w:t>Globale Lieferketten bestehen aus einer Vielzahl miteinander verbundener Unternehmen, Standorte und Prozesse. Störungen an einzelnen Stellen können sich auf weitere Teile der Lieferkette auswirken. Heckmann, Comes und Nickel zeigen, dass ein großer Teil der bestehenden Literatur Supply Chain Risk ereignisorientiert über das Auftreten einer Störung sowie deren Eintrittswahrscheinlichkeit und Folgen beschreibt. Für eine umfassendere Betrachtung beziehen die Autoren zusätzlich die Eigenschaften der betroffenen Lieferkette und deren Zielgrößen ein [6]. Entscheidend ist damit nicht allein, ob ein Störungsereignis eintritt, sondern welche Veränderungen es innerhalb der Lieferkette auslösen kann und ob dadurch deren Leistungsfähigkeit beeinträchtigt wird. Ein Ereignis (etwa eine Produktionsunterbrechung, eine Naturkatastrophe oder eine regulatorische Einschränkung) stellt zunächst nur einen möglichen Auslöser dar.</w:t>
      </w:r>
    </w:p>
    <w:p w14:paraId="649A26D0" w14:textId="77777777" w:rsidR="008D4CEF" w:rsidRDefault="00000000">
      <w:r>
        <w:t>Die Literatur zeigt zugleich, dass Supply Chain Risks unterschiedliche Ursachen und Ausprägungen besitzen. Ho et al. untersuchen in ihrer Literaturübersicht unter anderem Risikodefinitionen, Risikotypen und Risikofaktoren und zeigen damit die Vielfalt der im Supply Chain Risk Management betrachteten Risiken [7]. Für die vorliegende Arbeit steht dabei nicht die vollständige Klassifikation aller Supply Chain Risks im Vordergrund. Relevant sind vielmehr solche Ereignisse, die anhand verfügbarer Informationen erkannt und anschließend hinsichtlich ihrer möglichen Auswirkungen auf konkrete Lieferkettenstrukturen bewertet werden können.</w:t>
      </w:r>
    </w:p>
    <w:p w14:paraId="08CFF187" w14:textId="77777777" w:rsidR="008D4CEF" w:rsidRDefault="00000000">
      <w:r>
        <w:t>Der systematische Umgang mit solchen Risiken innerhalb von Lieferketten wird in der Literatur als Supply Chain Risk Management bezeichnet. Fan und Stevenson strukturieren das Forschungsfeld anhand von vier Prozessen: Risk Identification, Risk Assessment, Risk Treatment und Risk Monitoring [8].</w:t>
      </w:r>
    </w:p>
    <w:p w14:paraId="2C71741A" w14:textId="77777777" w:rsidR="008D4CEF" w:rsidRDefault="00000000">
      <w:r>
        <w:t>Die einzelnen Prozessschritte erfüllen unterschiedliche Funktionen. Die Risikoidentifikation dient zunächst dem Erkennen potenzieller Risiken und ihrer Ursachen. Darauf aufbauend untersucht die Risikobewertung, wie relevant ein identifiziertes Risiko für die Lieferkette ist und welche Auswirkungen daraus entstehen können. Risk Treatment umfasst die Auswahl und Umsetzung geeigneter Maßnahmen zur Reduktion oder Bewältigung des Risikos. Risk Monitoring dient der fortlaufenden Beobachtung bestehender Risiken und ihrer Entwicklung.</w:t>
      </w:r>
    </w:p>
    <w:p w14:paraId="177FDBCB" w14:textId="77777777" w:rsidR="008D4CEF" w:rsidRDefault="00000000">
      <w:r>
        <w:t>Die vorliegende Arbeit konzentriert sich innerhalb dieses Prozesses auf Risikoidentifikation und Risikobewertung. Im Mittelpunkt stehen die Verarbeitung unstrukturierter Ereignisinformationen und deren Verknüpfung mit Lieferkettendaten, um mögliche Auswirkungen auf konkrete Anlagen zu untersuchen; Risk Treatment und ein kontinuierlicher produktiver Überwachungsbetrieb sind entsprechend der in Abschnitt 1.3 vorgenommenen Abgrenzung nicht Gegenstand der Arbeit.</w:t>
      </w:r>
    </w:p>
    <w:p w14:paraId="1F1FC620" w14:textId="77777777" w:rsidR="008D4CEF" w:rsidRDefault="00000000">
      <w:r>
        <w:t>Die Risikobewertung setzt dabei ein bereits identifiziertes Risiko voraus und untersucht dessen Relevanz sowie mögliche Auswirkungen für die Lieferkette. Choudhary, Singh, Schoenherr und Ramkumar untersuchen unterschiedliche Verfahren des Supply Chain Risk Assessment und systematisieren dabei unter anderem verwendete Bewertungsparameter, analytische Ansätze und Multi-Criteria-Decision-Making-Verfahren [9]. Für die Bewertung selbst können sowohl erhobene Daten als auch Experteneinschätzungen herangezogen werden; entsprechend kommen sowohl formale als auch informelle sowie quantitative und qualitative Verfahren zum Einsatz [8].</w:t>
      </w:r>
    </w:p>
    <w:p w14:paraId="21008920" w14:textId="77777777" w:rsidR="008D4CEF" w:rsidRDefault="00000000">
      <w:r>
        <w:t>Die Auswirkungen eines Risikoereignisses sind dabei nicht ausschließlich auf ein einzelnes Unternehmen beschränkt. Aufgrund der Abhängigkeiten zwischen verschiedenen Lieferkettenstufen können sich Störungen entlang eines Liefernetzwerks auf nachgelagerte Akteure ausbreiten. Habibi et al. untersuchen solche Ausbreitungsprozesse in mehrstufigen Supply Chain Networks und zeigen, dass sowohl die Position einer Störung innerhalb der Lieferkette als auch die Netzwerkverbindungen deren Ausbreitung und Wiederherstellung beeinflussen [10]. Für die Analyse solcher Abhängigkeiten können Lieferketten als gerichtete Netzwerke modelliert werden, in denen Knoten Lieferkettenakteure oder Produktionsstandorte und Kanten deren Abhängigkeiten repräsentieren.</w:t>
      </w:r>
    </w:p>
    <w:p w14:paraId="2C995FC0" w14:textId="77777777" w:rsidR="008D4CEF" w:rsidRDefault="00000000">
      <w:r>
        <w:t>Risikoidentifikation und Risikobewertung erfüllen damit unterschiedliche Aufgaben: Zunächst muss erkannt werden, ob ein relevantes Ereignis vorliegt, bevor dessen mögliche Bedeutung für die betrachtete Lieferkette anhand definierter Bewertungsparameter und -verfahren beurteilt werden kann. Shahsavari et al. bearbeiten die vorgelagerte Identifikationsaufgabe anhand unstrukturierter Nachrichtentexte mit einem auf Sprachmodellen basierenden Ansatz [5]. Die Verarbeitung frei formulierter Nachrichtentexte stellt dabei besondere Anforderungen an die sprachliche Interpretation. Abschnitt 2.2 betrachtet daher die Möglichkeiten und Grenzen von Large Language Models für diese Aufgabe.</w:t>
      </w:r>
    </w:p>
    <w:p w14:paraId="12FB1B66" w14:textId="77777777" w:rsidR="008D4CEF" w:rsidRPr="00577E58" w:rsidRDefault="00000000" w:rsidP="00577E58">
      <w:pPr>
        <w:pStyle w:val="2"/>
      </w:pPr>
      <w:bookmarkStart w:id="9" w:name="_Toc238658037"/>
      <w:r w:rsidRPr="00577E58">
        <w:t>Large Language Models in der Lieferkettenanalyse</w:t>
      </w:r>
      <w:bookmarkEnd w:id="9"/>
    </w:p>
    <w:p w14:paraId="4656D8F1" w14:textId="77777777" w:rsidR="008D4CEF" w:rsidRDefault="00000000">
      <w:r>
        <w:t>Large Language Models (LLMs) sind universell einsetzbare, auf der Transformer-Architektur basierende Sprachmodelle [11], die auf umfangreichen Textkorpora trainiert werden. Durch ihre Fähigkeit zur Verarbeitung natürlicher Sprache können sie unter anderem Informationen aus Texten extrahieren, Inhalte klassifizieren und kontextabhängige Zusammenhänge interpretieren. Im Unterschied zu klassischen, auf einzelne Aufgaben spezialisierten NLP-Modellen können moderne LLMs viele dieser Aufgaben durch geeignete Instruktionen ohne zusätzliches domänenspezifisches Training bearbeiten [12].</w:t>
      </w:r>
    </w:p>
    <w:p w14:paraId="0CCD7AEF" w14:textId="77777777" w:rsidR="008D4CEF" w:rsidRDefault="00000000">
      <w:r>
        <w:t xml:space="preserve">Für die Analyse von Lieferketten ist diese Fähigkeit insbesondere deshalb relevant, weil ein wesentlicher Teil potenziell risikorelevanter Informationen nicht in strukturierten Unternehmensdatenbanken, sondern in unstrukturierten Quellen wie Nachrichtenartikeln, Unternehmenswebseiten oder öffentlichen Berichten vorliegt. AlMahri et al. </w:t>
      </w:r>
      <w:r>
        <w:t>zeigen, dass LLMs mittels Zero-Shot Prompting Unternehmen, Produkte, Standorte und Beziehungen aus öffentlich verfügbaren Textquellen extrahieren können. Auf diese Weise lassen sich unstrukturierte Informationen in strukturierte Repräsentationen überführen, ohne für jede Extraktionsaufgabe zunächst umfangreiche domänenspezifische Trainingsdaten erstellen zu müssen [13].</w:t>
      </w:r>
    </w:p>
    <w:p w14:paraId="41F1CD16" w14:textId="77777777" w:rsidR="008D4CEF" w:rsidRDefault="00000000">
      <w:r>
        <w:t>Für das Supply Chain Risk Management ist insbesondere die automatisierte Analyse von Nachrichten relevant. Shahsavari et al. entwickeln mit dem LUEI-Framework einen Ansatz zur Identifikation von Risikoereignissen in Nachrichtenquellen. Ausgehend von einem zu beobachtenden Ereignis werden verwandte Begriffe ermittelt und Nachrichten anschließend hinsichtlich ihrer Relevanz für dieses Ereignis bewertet. Ziel ist es, sogenannte Contributing Events frühzeitig in großen Nachrichtenmengen zu erkennen und damit die Risikoidentifikation zu unterstützen [5]. Der Ansatz verdeutlicht damit, dass LLM-basierte Verfahren insbesondere für den semantischen Verarbeitungsschritt zwischen einem unstrukturierten Nachrichtentext und einer strukturierten Beschreibung eines Lieferkettenereignisses eingesetzt werden können.</w:t>
      </w:r>
    </w:p>
    <w:p w14:paraId="7455898C" w14:textId="77777777" w:rsidR="008D4CEF" w:rsidRDefault="00000000">
      <w:r>
        <w:t>Eine weitergehende Herausforderung besteht in der Verbindung solcher Textinformationen mit strukturierten Lieferkettendaten. Strukturierte Tabellen und Datenbanken besitzen ein festes Schema und ermöglichen über formale Verfahren wie SQL oder Python eine präzise und reproduzierbare Datenabfrage. Für die direkte Verarbeitung durch ein LLM müssen tabellarische Informationen dagegen zunächst in eine lineare Textrepräsentation überführt werden. Bei großen Tabellen stoßen solche Ansätze zudem an Kontext- und Skalierungsgrenzen, weshalb in der Literatur Retrieval- und Selektionsmechanismen vorgeschlagen werden, bei denen dem Sprachmodell nur ein relevanter Ausschnitt der strukturierten Daten bereitgestellt wird [14]. Für Lieferkettenanalysen ergibt sich daraus eine grundsätzliche Aufgabenteilung: LLMs bieten Vorteile bei der semantischen Interpretation unstrukturierter Informationen, während strukturierte Daten weiterhin mit deterministischen Verfahren verarbeitet werden können.</w:t>
      </w:r>
    </w:p>
    <w:p w14:paraId="108AC7C8" w14:textId="77777777" w:rsidR="008D4CEF" w:rsidRDefault="00000000">
      <w:r>
        <w:t>Eine zentrale Einschränkung des Einsatzes von LLMs ist die Möglichkeit sogenannter Halluzinationen. Darunter fallen Ausgaben, die plausibel formuliert erscheinen, ohne durch überprüfbare Fakten oder den bereitgestellten Kontext gedeckt zu sein. Huang et al. unterscheiden dabei unter anderem zwischen Factuality Hallucinations, bei denen Aussagen von überprüfbaren Fakten abweichen, und Faithfulness Hallucinations, bei denen die Ausgabe nicht mit dem bereitgestellten Kontext oder den Instruktionen übereinstimmt [15]. Gerade bei der Lieferkettenrisikoanalyse ist dies relevant, da erzeugte Angaben über betroffene Unternehmen, Ereignisse oder Risikofaktoren unmittelbar in eine Bewertung einfließen können. Aktuelle Ansätze beschränken den Einsatz von LLMs deshalb zunehmend auf klar definierte Teilaufgaben und kombinieren sprachbasierte Verarbeitung mit strukturierten Datenquellen, deterministischen Berechnungen oder zusätzlichen Prüfmechanismen. Eine Möglichkeit zur organisatorischen Umsetzung einer solchen Aufgabenteilung stellen LLM-basierte Multi-Agenten-Systeme dar, die im folgenden Abschnitt betrachtet werden.</w:t>
      </w:r>
    </w:p>
    <w:p w14:paraId="371F0A2A" w14:textId="77777777" w:rsidR="008D4CEF" w:rsidRPr="00577E58" w:rsidRDefault="00000000" w:rsidP="00577E58">
      <w:pPr>
        <w:pStyle w:val="2"/>
      </w:pPr>
      <w:bookmarkStart w:id="10" w:name="_Toc238658038"/>
      <w:r w:rsidRPr="00577E58">
        <w:lastRenderedPageBreak/>
        <w:t>LLM-basierte Multi-Agenten-Systeme</w:t>
      </w:r>
      <w:bookmarkEnd w:id="10"/>
    </w:p>
    <w:p w14:paraId="3CD5C42D" w14:textId="77777777" w:rsidR="008D4CEF" w:rsidRDefault="00000000">
      <w:r>
        <w:t>Mit der zunehmenden Nutzung von Large Language Models entstehen neben einzelnen LLM-Anwendungen zunehmend Systeme, in denen mehrere spezialisierte Verarbeitungseinheiten gemeinsam eine übergeordnete Aufgabe bearbeiten. In LLM-basierten Multi-Agenten-Systemen werden Teilaufgaben unterschiedlichen Agenten beziehungsweise Rollen zugeordnet und deren Ergebnisse über definierte Interaktions- und Ablaufstrukturen miteinander verknüpft. Die einzelnen Agenten müssen dabei nicht notwendigerweise autonom miteinander verhandeln. Je nach Aufgabenstellung kann die Koordination auch durch einen vorgegebenen Workflow erfolgen, in dem Rollen, Abhängigkeiten und Ausführungsreihenfolge bereits vor der Laufzeit festgelegt sind [16].</w:t>
      </w:r>
    </w:p>
    <w:p w14:paraId="6FD3C0CC" w14:textId="77777777" w:rsidR="008D4CEF" w:rsidRDefault="00000000">
      <w:r>
        <w:t>Ein zentrales Gestaltungsprinzip solcher Systeme ist die Zerlegung komplexer Aufgaben in kleinere, funktional abgegrenzte Teilaufgaben. Hossain et al. beschreiben diese Task Decomposition als gerichteten Aufgabengraphen, dessen Knoten einzelne Teilaufgaben und dessen Kanten deren Abhängigkeiten repräsentieren. Jedem Verarbeitungsschritt kann dabei ein Modul entsprechend einer bestimmten funktionalen Rolle zugeordnet werden; die Rollenverteilung kann dynamisch erfolgen oder bereits statisch festgelegt sein [16]. Für Aufgaben, deren Verarbeitungsschritte und Abhängigkeiten bereits im Voraus bekannt sind, bietet sich eine statische Rollenzuweisung an. Dadurch lässt sich ein mehrstufiger Analyseprozess modular strukturieren, wobei die Ausgabe eines Verarbeitungsschritts als Eingabe für nachfolgende Schritte dienen kann.</w:t>
      </w:r>
    </w:p>
    <w:p w14:paraId="299832C5" w14:textId="77777777" w:rsidR="008D4CEF" w:rsidRDefault="00000000">
      <w:r>
        <w:t>Eine solche sequenzielle Verarbeitung ermöglicht eine klare Trennung unterschiedlicher Verantwortlichkeiten, bringt zugleich aber neue Abhängigkeiten zwischen den einzelnen Schritten mit sich. Fehler oder unvollständige Ergebnisse eines frühen Verarbeitungsschritts können an nachfolgende Komponenten weitergegeben werden und sich dadurch auf das Gesamtergebnis auswirken. Hossain et al. weisen deshalb bei mehrstufigen Agenten-Workflows ausdrücklich auf die Gefahr einer Fehlerfortpflanzung zwischen voneinander abhängigen Teilaufgaben hin [16]. Neben der eigentlichen Aufgabenzerlegung sind daher Mechanismen erforderlich, mit denen Zwischenergebnisse oder Endergebnisse geprüft und bei Bedarf erneut verarbeitet werden können.</w:t>
      </w:r>
    </w:p>
    <w:p w14:paraId="4EE06F2E" w14:textId="77777777" w:rsidR="008D4CEF" w:rsidRDefault="00000000">
      <w:r>
        <w:t xml:space="preserve">Ein entsprechender Ansatz findet sich im Supply Chain Risk Management bei Quan et al. Das dort entwickelte MARS-Framework kombiniert strukturierte Risikofaktoren mit unstrukturierten Beschreibungen von Extremwetterereignissen. Für die Interpretation der unstrukturierten Informationen werden drei spezialisierte LLM-Agenten eingesetzt: Ein RiskAgent erzeugt zunächst eine Risikoeinschätzung, ein FeedbackAgent bewertet diese Einschätzung und ein RevisionAgent überarbeitet sie auf Grundlage des erzeugten Feedbacks. Die Agenten sind damit in einen definierten Feedback-Revision-Workflow eingebettet, bevor die resultierende Risikobewertung mit den strukturierten </w:t>
      </w:r>
      <w:r>
        <w:t>Indikatoren zusammengeführt wird [17]. Das Beispiel zeigt, dass Multi-Agenten-Architekturen in der Lieferkettenanalyse nicht ausschließlich für dezentrale Verhandlungen eingesetzt werden, sondern auch zur funktionalen Aufteilung und iterativen Prüfung eines mehrstufigen Analyseprozesses dienen können.</w:t>
      </w:r>
    </w:p>
    <w:p w14:paraId="131619B8" w14:textId="77777777" w:rsidR="008D4CEF" w:rsidRDefault="00000000">
      <w:r>
        <w:t>Für die automatisierte Lieferkettenrisikoanalyse ist damit insbesondere die Kombination aus spezialisierten Rollen, klar definierten Übergaben und kontrollierten Prüfmechanismen relevant. Die Zerlegung eines Analyseprozesses kann unterschiedliche Verarbeitungsschritte voneinander abgrenzen und erlaubt es, für einzelne Aufgaben geeignete Methoden einzusetzen. Gleichzeitig bleibt die Qualität des Gesamtergebnisses von den zugrunde liegenden Daten und den Abhängigkeiten zwischen den einzelnen Verarbeitungsschritten abhängig. Für die Analyse konkreter Auswirkungen eines Risikoereignisses ist deshalb zusätzlich eine strukturierte Abbildung der Lieferkettenbeziehungen erforderlich, wie sie bereits in Abschnitt 2.1 als gerichtetes Netzwerk eingeführt wurde. Der folgende Abschnitt ordnet die bislang betrachteten Ansätze zueinander ein und leitet daraus den Handlungsbedarf für die vorliegende Arbeit ab.</w:t>
      </w:r>
    </w:p>
    <w:p w14:paraId="51E571CC" w14:textId="77777777" w:rsidR="008D4CEF" w:rsidRPr="00577E58" w:rsidRDefault="00000000" w:rsidP="00577E58">
      <w:pPr>
        <w:pStyle w:val="2"/>
      </w:pPr>
      <w:bookmarkStart w:id="11" w:name="_Toc238658039"/>
      <w:r w:rsidRPr="00577E58">
        <w:t>Handlungsbedarf und Forschungslücke</w:t>
      </w:r>
      <w:bookmarkEnd w:id="11"/>
    </w:p>
    <w:p w14:paraId="6A4B83A9" w14:textId="77777777" w:rsidR="008D4CEF" w:rsidRDefault="00000000">
      <w:r>
        <w:t>Die vorangegangenen Abschnitte zeigen, dass für einzelne Teilprobleme einer datenbasierten Lieferkettenrisikoanalyse bereits unterschiedliche Ansätze existieren. Dazu gehören die Identifikation von Risikoereignissen aus unstrukturierten Textquellen, die strukturierte Abbildung von Lieferkettenbeziehungen sowie der Einsatz spezialisierter LLM-Agenten zur Verarbeitung heterogener Risikoinformationen. Die betrachteten Arbeiten verfolgen dabei unterschiedliche Zielsetzungen und decken jeweils nur einen Teil des für diese Arbeit relevanten Analyseprozesses ab.</w:t>
      </w:r>
    </w:p>
    <w:p w14:paraId="6E06E174" w14:textId="77777777" w:rsidR="008D4CEF" w:rsidRDefault="00000000">
      <w:r>
        <w:t>Shahsavari et al. konzentrieren sich auf die frühzeitige Identifikation von Lieferkettenrisiken aus Nachrichtendaten. Das entwickelte LUEI-Framework ermittelt zu einem vorgegebenen Risikoereignis verwandte Begriffe, sucht damit relevante Nachrichten und klassifiziert die gefundenen Meldungen hinsichtlich ihrer Relevanz [5]. Im Mittelpunkt steht damit die Phase der Risikoidentifikation. Der Ansatz zeigt, dass LLM-basierte Verfahren unstrukturierte Nachrichten für das Supply Chain Risk Management erschließen können; eine Verknüpfung des erkannten Ereignisses mit einer konkreten Menge betroffener Produktionsanlagen sowie eine Analyse der Weitergabe entlang einer mehrstufigen Lieferkette erfolgen dabei nicht.</w:t>
      </w:r>
    </w:p>
    <w:p w14:paraId="19041109" w14:textId="77777777" w:rsidR="008D4CEF" w:rsidRDefault="00000000">
      <w:r>
        <w:t xml:space="preserve">Einen anderen Schwerpunkt setzen Kosasih et al. sowie AlMahri et al. Beide Arbeiten adressieren die begrenzte Sichtbarkeit komplexer Lieferketten und nutzen graphbasierte Repräsentationen zur Abbildung von Abhängigkeiten. Kosasih et al. verwenden Knowledge Graphs und Graph Neural Networks, um bislang unbekannte Beziehungen zwischen Unternehmen, Produkten, Produktionsfähigkeiten und weiteren Lieferketteninformationen zu inferieren [18]. Der Schwerpunkt liegt damit auf der Vervollständigung unvollständiger Lieferketteninformationen und der Erschließung versteckter Abhängigkeiten. AlMahri et al. kombinieren LLM-basierte Informationsextraktion mit Knowledge </w:t>
      </w:r>
      <w:r>
        <w:t>Graphs und überführen Informationen aus öffentlich verfügbaren Textquellen in eine strukturierte Darstellung mehrstufiger Lieferkettenbeziehungen. Die Fallstudie zur Elektrofahrzeug- und Batterielieferkette zeigt insbesondere die Eignung des Ansatzes zur Erweiterung der Supply Chain Visibility über die zweite Lieferantenebene hinaus [13].</w:t>
      </w:r>
    </w:p>
    <w:p w14:paraId="4C0E3D57" w14:textId="77777777" w:rsidR="008D4CEF" w:rsidRDefault="00000000">
      <w:r>
        <w:t>Damit stellen diese Arbeiten wichtige Grundlagen für die strukturelle Sicht auf Lieferketten bereit und verfolgen zugleich ein anderes Analyseziel als die ereignisbezogene Risikobewertung. Im Mittelpunkt steht die Frage, welche Beziehungen innerhalb einer Lieferkette existieren oder aus öffentlich verfügbaren Informationen erschlossen werden können. Davon zu unterscheiden ist die Frage, welche konkreten Anlagen durch ein neu auftretendes Risikoereignis potenziell betroffen sind, wie sich dessen Auswirkungen über bestehende Abhängigkeiten fortsetzen und wie die relative Gefährdung einzelner Anlagen anschließend bewertet werden kann. Für diese Aufgaben ist nicht zwangsläufig die vollständige semantische Komplexität eines Knowledge Graphs erforderlich; entscheidend ist vielmehr die Verknüpfung eines erkannten Ereignisses mit einer für die Risikoanalyse nutzbaren Netzwerkstruktur.</w:t>
      </w:r>
    </w:p>
    <w:p w14:paraId="59541FDA" w14:textId="77777777" w:rsidR="008D4CEF" w:rsidRDefault="00000000">
      <w:r>
        <w:t>Quan et al. kommen der in dieser Arbeit betrachteten Problemstellung stärker entgegen. Das MARS-Framework kombiniert strukturierte Risikofaktoren mit unstrukturierten Beschreibungen extremer Wetterereignisse und nutzt drei spezialisierte LLM-Agenten in einem Feedback-Revision-Workflow. Während strukturierte Faktoren deterministisch verarbeitet werden, interpretieren die Agenten die unstrukturierten Ereignisbeschreibungen und überführen sie in abgestufte Risikowerte. Anschließend werden beide Informationsarten zu einer gemeinsamen Bewertung aggregiert [17]. Damit zeigt die Arbeit sowohl die funktionale Aufteilung einer Risikobewertung auf mehrere spezialisierte Agenten als auch die Kombination sprachlich interpretierter und strukturiert berechneter Risikofaktoren.</w:t>
      </w:r>
    </w:p>
    <w:p w14:paraId="0B56C198" w14:textId="77777777" w:rsidR="008D4CEF" w:rsidRDefault="00000000">
      <w:r>
        <w:t>Der Anwendungsgegenstand von MARS unterscheidet sich dabei wesentlich von einer ereignisbasierten Analyse bestehender Lieferketten. Ziel des Frameworks ist die risikobewusste Auswahl und Rangbildung potenzieller Logistikstandorte im Südosten der Vereinigten Staaten. Die untersuchten Standorte bilden dabei eine vorgegebene Kandidatenmenge, die anhand verschiedener Risikoindikatoren miteinander verglichen wird. Nicht betrachtet wird dagegen die Zuordnung eines neu auftretenden Ereignisses zu konkreten Produktionsanlagen innerhalb eines bestehenden mehrstufigen Liefernetzwerks sowie die anschließende Weitergabe der Betroffenheit an nachgelagerte Anlagen. Entsprechend dient der Multi-Agenten-Mechanismus primär der Verbesserung der semantischen Risikoeinstufung und nicht der Koordination eines vollständigen Prozesses von der Ereigniserkennung bis zur netzwerkbezogenen Wirkungsanalyse.</w:t>
      </w:r>
    </w:p>
    <w:p w14:paraId="0F8AA12E" w14:textId="77777777" w:rsidR="008D4CEF" w:rsidRDefault="00000000">
      <w:r>
        <w:lastRenderedPageBreak/>
        <w:t>Aus der Gegenüberstellung ergibt sich ein Integrationsbedarf zwischen bislang weitgehend getrennt betrachteten Verarbeitungsschritten. Die Analyse unstrukturierter Ereignisinformationen allein erlaubt noch keine Aussage darüber, welche konkreten Teile einer Lieferkette betroffen sind. Eine strukturierte Lieferkettenrepräsentation stellt wiederum Abhängigkeiten bereit, ohne selbstständig zu erkennen, welches aktuelle Ereignis für welche Knoten relevant ist. Multi-Agenten-Ansätze ermöglichen schließlich eine funktionale Zerlegung komplexer Analyseprozesse und iterative Prüfmechanismen, lösen aber nicht automatisch die Verknüpfung zwischen Ereignistext, realen Anlagendaten und der Ausbreitung einer Störung innerhalb eines Liefernetzwerks.</w:t>
      </w:r>
    </w:p>
    <w:p w14:paraId="545626F2" w14:textId="77777777" w:rsidR="008D4CEF" w:rsidRDefault="00000000">
      <w:r>
        <w:t>Die betrachtete Literatur deckt einzelne Bausteine einer solchen Analysepipeline jeweils für sich ab: die semantische Auswertung unstrukturierter Ereignistexte, die strukturierte Abbildung von Lieferkettenbeziehungen sowie die funktionale Aufteilung einer Risikobewertung auf mehrere LLM-Agenten. Keine der betrachteten Arbeiten verbindet diese Bausteine in dieser Form zu einer durchgängigen, nachvollziehbaren Analysepipeline: die semantische Auswertung eines unstrukturierten Ereignistexts, die Extraktion risikorelevanter Merkmale, die Zuordnung zu konkreten Anlagen einer strukturierten Lieferkettendatenbasis, die Bestimmung potenziell betroffener nachgelagerter Anlagen über eine Netzwerkstruktur, eine reproduzierbare quantitative Priorisierung dieser Anlagen sowie die anschließende Erstellung und Prüfung eines erklärbaren Risikoberichts. Insbesondere die Trennung zwischen semantischer Interpretation durch LLM-Komponenten und deterministisch ausführbaren Operationen ist dabei relevant. LLMs ermöglichen die kontextabhängige Interpretation freier Texte und können zugleich faktisch unbelegte oder vom bereitgestellten Kontext abweichende Inhalte erzeugen [15]. Für berechenbare oder datenbankbasierte Schritte besteht daher ein Bedarf an Verfahren, deren Ergebnisse reproduzierbar und auf die zugrunde liegenden Daten zurückführbar bleiben.</w:t>
      </w:r>
    </w:p>
    <w:p w14:paraId="0820E576" w14:textId="77777777" w:rsidR="008D4CEF" w:rsidRDefault="00000000">
      <w:r>
        <w:t>Hieraus leitet sich der Handlungsbedarf dieser Arbeit ab. Benötigt wird ein System, das die komplementären Stärken sprachbasierter und deterministischer Verarbeitung innerhalb eines kontrollierten Workflows verbindet. LLM-basierte Komponenten sollen dort eingesetzt werden, wo semantisches Textverständnis oder sprachliche Synthese erforderlich sind, während Datenabfragen, Netzwerkoperationen und quantitative Berechnungen auf strukturierten und reproduzierbaren Verfahren beruhen. Eine zusätzliche Validierungsstufe soll überprüfen, ob die erzeugten Ergebnisse mit den zuvor ermittelten Informationen konsistent sind und ob zentrale Aussagen nachvollziehbar begründet werden können. Auf dieser Grundlage untersucht das folgende Kapitel die Gestaltung eines entsprechenden Multi-Agenten-Systems für die Risikoanalyse der nordamerikanischen Batterie-Lieferkette.</w:t>
      </w:r>
    </w:p>
    <w:p w14:paraId="009B6A3F" w14:textId="77777777" w:rsidR="00764643" w:rsidRDefault="00764643"/>
    <w:p w14:paraId="710FA7A5" w14:textId="77777777" w:rsidR="008D4CEF" w:rsidRDefault="00000000" w:rsidP="00577E58">
      <w:pPr>
        <w:pStyle w:val="1"/>
      </w:pPr>
      <w:bookmarkStart w:id="12" w:name="_Toc238658040"/>
      <w:r>
        <w:lastRenderedPageBreak/>
        <w:t>Systemdesign</w:t>
      </w:r>
      <w:bookmarkEnd w:id="12"/>
    </w:p>
    <w:p w14:paraId="009F6599" w14:textId="77777777" w:rsidR="008D4CEF" w:rsidRDefault="00000000">
      <w:r>
        <w:t>Die vorliegende Arbeit orientiert sich am Design-Science-Research-Paradigma nach Hevner et al., da mit dem entwickelten Risikoanalysesystem ein IT-Artefakt entworfen, implementiert und anschließend evaluiert wird [19]. Ausgehend von der in den vorangegangenen Kapiteln beschriebenen Problemstellung werden zunächst Anforderungen an das System abgeleitet und in ein Systemdesign überführt. Anschließend erfolgt die prototypische Implementierung und die Evaluation anhand definierter Anwendungsszenarien.</w:t>
      </w:r>
    </w:p>
    <w:p w14:paraId="7E094D69" w14:textId="77777777" w:rsidR="008D4CEF" w:rsidRPr="00577E58" w:rsidRDefault="00000000" w:rsidP="00577E58">
      <w:pPr>
        <w:pStyle w:val="2"/>
      </w:pPr>
      <w:bookmarkStart w:id="13" w:name="_Toc238658041"/>
      <w:r w:rsidRPr="00577E58">
        <w:t>Anforderungsanalyse</w:t>
      </w:r>
      <w:bookmarkEnd w:id="13"/>
    </w:p>
    <w:p w14:paraId="45EBA324" w14:textId="77777777" w:rsidR="008D4CEF" w:rsidRDefault="00000000">
      <w:r>
        <w:t>Aus der Problemstellung (Kapitel 1) und der in Abschnitt 2.4 beschriebenen Forschungslücke ergeben sich folgende Anforderungen an das System:</w:t>
      </w:r>
    </w:p>
    <w:p w14:paraId="7BDE73F7" w14:textId="77777777" w:rsidR="008D4CEF" w:rsidRPr="00577E58" w:rsidRDefault="00000000">
      <w:pPr>
        <w:rPr>
          <w:bCs/>
        </w:rPr>
      </w:pPr>
      <w:r w:rsidRPr="00577E58">
        <w:rPr>
          <w:bCs/>
        </w:rPr>
        <w:t>Funktionale Anforderungen:</w:t>
      </w:r>
    </w:p>
    <w:p w14:paraId="2013CD68" w14:textId="62FE0B49" w:rsidR="008D4CEF" w:rsidRDefault="00000000" w:rsidP="00577E58">
      <w:r>
        <w:t>Das System muss unstrukturierte Ereignistexte (Nachrichtenartikel oder direkte Nutzeranfragen) entgegennehmen und prüfen, ob sie für die Batterie-Lieferkette relevant sind.</w:t>
      </w:r>
    </w:p>
    <w:p w14:paraId="32BBE03B" w14:textId="05B79D5F" w:rsidR="008D4CEF" w:rsidRDefault="00000000" w:rsidP="00577E58">
      <w:r>
        <w:t>Aus einem relevanten Text muss es die für die Risikobewertung nötigen Merkmale extrahieren: betroffenes Material und betroffene Region, oder alternativ eine namentlich genannte Anlage.</w:t>
      </w:r>
    </w:p>
    <w:p w14:paraId="6C95FBEA" w14:textId="076FBA98" w:rsidR="008D4CEF" w:rsidRDefault="00000000" w:rsidP="00577E58">
      <w:r>
        <w:t>Diese Merkmale muss es mit der NAATBatt-Datenbank (Abschnitt 4.2) und dem daraus abgeleiteten Lieferkettengraphen verknüpfen, um konkrete, potenziell betroffene Unternehmen und Anlagen zu finden.</w:t>
      </w:r>
    </w:p>
    <w:p w14:paraId="50EE40F5" w14:textId="150A0C79" w:rsidR="008D4CEF" w:rsidRDefault="00000000" w:rsidP="00577E58">
      <w:r>
        <w:t>Für die am stärksten betroffenen Anlagen muss es einen nachvollziehbaren, quantitativen Risikowert berechnen und daraus einen strukturierten Risikobericht in natürlicher Sprache erzeugen.</w:t>
      </w:r>
    </w:p>
    <w:p w14:paraId="5F3EE812" w14:textId="0F85444B" w:rsidR="008D4CEF" w:rsidRDefault="00000000" w:rsidP="00577E58">
      <w:r>
        <w:t>Vor der Auslieferung des Berichts muss das System dessen Plausibilität und Konsistenz selbst prüfen, damit der Anwender die Ergebnisqualität einschätzen kann. Die tatsächliche Zuverlässigkeit dieser Prüfung untersucht die Evaluation in Kapitel 5.</w:t>
      </w:r>
    </w:p>
    <w:p w14:paraId="0B59D80E" w14:textId="77777777" w:rsidR="008D4CEF" w:rsidRPr="00577E58" w:rsidRDefault="00000000">
      <w:pPr>
        <w:rPr>
          <w:bCs/>
        </w:rPr>
      </w:pPr>
      <w:r w:rsidRPr="00577E58">
        <w:rPr>
          <w:bCs/>
        </w:rPr>
        <w:t>Nicht-funktionale Anforderungen:</w:t>
      </w:r>
    </w:p>
    <w:p w14:paraId="10C23894" w14:textId="21B6DADE" w:rsidR="008D4CEF" w:rsidRDefault="00000000" w:rsidP="00577E58">
      <w:r w:rsidRPr="00577E58">
        <w:t xml:space="preserve">Erklärbarkeit: </w:t>
      </w:r>
      <w:r>
        <w:t>Jede Risikoaussage im Bericht muss auf eine nachvollziehbare Berechnung oder eine konkrete Textstelle im Ausgangsmaterial zurückführbar sein. Das tatsächliche Erreichen dieses Ziels prüft Kapitel 5 kritisch.</w:t>
      </w:r>
    </w:p>
    <w:p w14:paraId="06012EAE" w14:textId="0C946CE1" w:rsidR="008D4CEF" w:rsidRDefault="00000000" w:rsidP="00577E58">
      <w:r w:rsidRPr="00577E58">
        <w:t xml:space="preserve">Hallucination-Resistenz: </w:t>
      </w:r>
      <w:r>
        <w:t>Large Language Models neigen zur Erzeugung plausibel klingender, durch die Eingabedaten nicht gedeckter Aussagen [15] (vgl. auch Abschnitt 2.2). Die Systemarchitektur muss diesem Risiko strukturell begegnen, nicht nur durch Formulierungsvorgaben im Prompt.</w:t>
      </w:r>
    </w:p>
    <w:p w14:paraId="7668836D" w14:textId="501C7464" w:rsidR="008D4CEF" w:rsidRDefault="00000000" w:rsidP="00577E58">
      <w:r>
        <w:t xml:space="preserve">Nachvollziehbare Datenherkunft: Die NAATBatt-Datenbank enthält selbst keine Lieferbeziehungen, sondern nur ein Verzeichnis von Anlagen. Der Lieferkettengraph muss </w:t>
      </w:r>
      <w:r>
        <w:lastRenderedPageBreak/>
        <w:t>deshalb von diesem System selbst konstruiert werden (Abschnitt 4.2). Für jedes Datenfeld muss dabei erkennbar sein, ob es sich um eine reale Erhebung, eine simulierte Annäherung oder eine bewusste Modellvereinfachung handelt.</w:t>
      </w:r>
    </w:p>
    <w:p w14:paraId="56CB06D0" w14:textId="71F00601" w:rsidR="00E22A34" w:rsidRPr="00E22A34" w:rsidRDefault="00000000" w:rsidP="00E22A34">
      <w:pPr>
        <w:pStyle w:val="2"/>
        <w:rPr>
          <w:lang w:eastAsia="zh-CN"/>
        </w:rPr>
      </w:pPr>
      <w:bookmarkStart w:id="14" w:name="_Toc238658042"/>
      <w:r w:rsidRPr="00577E58">
        <w:t>Gesamtarchitektur des Multi-Agenten-Systems</w:t>
      </w:r>
      <w:bookmarkEnd w:id="14"/>
    </w:p>
    <w:p w14:paraId="2DFD9D39" w14:textId="77777777" w:rsidR="008D4CEF" w:rsidRPr="00674210" w:rsidRDefault="00000000" w:rsidP="00674210">
      <w:pPr>
        <w:pStyle w:val="3"/>
      </w:pPr>
      <w:bookmarkStart w:id="15" w:name="_Toc238658043"/>
      <w:r w:rsidRPr="00674210">
        <w:t>Architekturentscheidung: Multi-Agenten-Ansatz statt Einzel-LLM</w:t>
      </w:r>
      <w:bookmarkEnd w:id="15"/>
    </w:p>
    <w:p w14:paraId="75855D49" w14:textId="77777777" w:rsidR="008D4CEF" w:rsidRDefault="00000000">
      <w:r>
        <w:t>Ein einzelnes LLM erzeugt im Prinzip direkt aus einem Ereignistext einen fertigen Risikobericht. Das Problem dabei: In einem einzigen Modellaufruf muss es gleichzeitig den Text verstehen, die Datenbank abfragen, den Graphen durchsuchen, den Risikowert berechnen und den Bericht formulieren. Diese Teilaufgaben eignen sich nicht gleichermaßen für ein LLM: Textverständnis und Berichtsformulierung beherrscht ein LLM gut; eine exakte, reproduzierbare Rechnung wie die RiskScore-Berechnung dagegen nicht zuverlässig [20].</w:t>
      </w:r>
    </w:p>
    <w:p w14:paraId="1858A199" w14:textId="77777777" w:rsidR="008D4CEF" w:rsidRDefault="00000000">
      <w:r>
        <w:t>Das System löst dieses Problem durch eine Aufteilung der Arbeit auf sechs Agenten, die eine feste Pipeline nacheinander durchlaufen. Jeder Agent übernimmt eine einzige, klar abgegrenzte Aufgabe. Wichtiger als diese Aufteilung selbst ist eine zweite Unterscheidung, die sich konsequent durch die gesamte Pipeline zieht: welche Schritte ein LLM übernimmt und welche eine reine, deterministische Berechnung darstellen.</w:t>
      </w:r>
    </w:p>
    <w:p w14:paraId="1B3C2999" w14:textId="442F6444" w:rsidR="008D4CEF" w:rsidRDefault="00000000">
      <w:r>
        <w:t>Vier Agenten setzen ein LLM ein, jeweils für eine klar begrenzte Aufgabe: Intake Agent und Risk Assessment Agent lesen den Ereignistext und extrahieren daraus strukturierte Merkmale; der Synthesis Agent formuliert aus bereits berechneten Zahlen einen lesbaren Bericht; der Validation Agent prüft dessen Schlüssigkeit und Vollständigkeit. Network Agent und Data Retrieval Agent kommen dagegen ganz ohne LLM aus: Graphtraversierung, Kapazitätsabfrage und die RiskScore-Berechnung (Abschnitt 3.4 und Kapitel 4) sind reiner Python-Code. Ein LLM verändert damit an keiner Stelle der Pipeline einen bereits berechneten Zahlenwert.</w:t>
      </w:r>
    </w:p>
    <w:p w14:paraId="6E14A334" w14:textId="77777777" w:rsidR="008D4CEF" w:rsidRDefault="00000000">
      <w:r>
        <w:t>Die strikte Trennung zwischen sprachlichen LLM-Aufgaben und deterministischen Berechnungen stellt die primäre strukturelle Maßnahme zur Vermeidung von Halluzinationen in diesem System dar. Sie stützt sich auf einen konkreten Befund aus einer vorausgegangenen, kleineren Implementierung mit identischer Aufgabenstellung: Ein einzelner Modellaufruf zur gleichzeitigen Beantwortung von acht unterschiedlichen Fragen (Relevanz, Risikoart, Schlagwörter, Ort, Lieferant, Schweregrad, Zusammenfassung und Begründung) liefert dort kein zuverlässig valides JSON; eine mehrstufige Fallback-Logik aus direktem Parsen, ersatzweiser Regex-Extraktion und einem Leerergebnis als letzter Instanz wird für den Umgang mit den fehlerhaften Ausgaben notwendig. Auch die Verknüpfung mit den Unternehmensdaten beschränkt sich dort auf einen einfachen Keyword-Abgleich ohne Graphstruktur. Dieser Befund, nicht eine vorab feststehende Architektur-Präferenz, begründet die Aufteilung auf mehrere Agenten.</w:t>
      </w:r>
    </w:p>
    <w:p w14:paraId="28C5ECD1" w14:textId="77777777" w:rsidR="008D4CEF" w:rsidRDefault="00000000">
      <w:r>
        <w:lastRenderedPageBreak/>
        <w:t>Aus dieser Aufteilung resultieren zudem drei praktische Vorteile, die eine modulare Zerlegung voraussetzen und mit einem einzigen, undurchsichtigen Modellaufruf nicht erreichbar wären: die Rückführbarkeit eines Fehlers auf den verursachenden Schritt anstelle einer bloßen Feststellung eines falschen Endergebnisses, verbunden mit der separaten Testbarkeit jedes einzelnen Schritts (Kapitel 5); die gezielte Wiederholung nur des betroffenen Schritts durch den in Abschnitt 3.5 beschriebenen Mechanismus anstelle eines vollständigen Neustarts der Pipeline bei einem Validierungsfehler; sowie die Erweiterbarkeit der Pipeline, da sich neue oder veränderte Anforderungen auf den jeweils betroffenen Schritt beschränken lassen, ohne die übrigen Schritte zu berühren.</w:t>
      </w:r>
    </w:p>
    <w:p w14:paraId="4C1AC932" w14:textId="574E845B" w:rsidR="008D4CEF" w:rsidRDefault="00000000">
      <w:r>
        <w:t>Die Erweiterbarkeit dieser Aufteilung zeigt sich bereits in der bisherigen Entwicklung: Eine dritte Strategie zur Bestimmung der vom Ereignis betroffenen Anlagen ergänzt später ausschließlich den Network Agent</w:t>
      </w:r>
      <w:r w:rsidR="00D0078C">
        <w:t>,</w:t>
      </w:r>
      <w:r>
        <w:t xml:space="preserve"> die übrigen fünf Agenten bleiben davon unberührt (Abschnitt 3.4.2). Auch die spätere Erweiterung der erkannten Materialien bleibt auf die jeweils betroffenen Agenten beschränkt.</w:t>
      </w:r>
    </w:p>
    <w:p w14:paraId="3AA550A4" w14:textId="51EA4772" w:rsidR="008D4CEF" w:rsidRDefault="00000000">
      <w:pPr>
        <w:rPr>
          <w:lang w:eastAsia="zh-CN"/>
        </w:rPr>
      </w:pPr>
      <w:r>
        <w:t>Jeder der sechs Schritte besitzt eine eigene, klar abgegrenzte Zuständigkeit und eine feste Schnittstelle zum gemeinsamen Pipeline-Zustand. Vier davon (Intake, Risk Assessment, Synthesis, Validation) treffen eine Entscheidung, die den weiteren Ablauf direkt beeinflusst: Intake entscheidet über die Fortsetzung der Verarbeitung, Validation über Notwendigkeit und Ansatzpunkt einer Wiederholung (Abschnitt 3.5). Die Koordination der Agenten erfolgt dabei nicht über direkte Funktionsaufrufe, sondern über den gemeinsamen Pipeline-Zustand, den jeder Schritt liest und weiterschreibt. Die grundsätzliche Existenz und Funktionsfähigkeit von LLM-Multi-Agenten-Systemen im Supply-Chain-Kontext ist damit belegt [21] [17]; deren konkrete Koordinationsmuster (Verhandlung zwischen Firmen-Agenten beziehungsweise eine Feedback-Revision-Schleife) unterscheiden sich vom hier gewählten, Zustands-basierten Muster und dienen nicht als direktes Vorbild dieser Koordinationsform.</w:t>
      </w:r>
    </w:p>
    <w:p w14:paraId="6FEE7F6E" w14:textId="4F2137D8" w:rsidR="00AA50DD" w:rsidRPr="00AA50DD" w:rsidRDefault="00AA50DD" w:rsidP="00AA50DD">
      <w:pPr>
        <w:rPr>
          <w:lang w:eastAsia="zh-CN"/>
        </w:rPr>
      </w:pPr>
      <w:r>
        <w:fldChar w:fldCharType="begin"/>
      </w:r>
      <w:r>
        <w:instrText xml:space="preserve"> REF _Ref132006743 \h  \* MERGEFORMAT </w:instrText>
      </w:r>
      <w:r>
        <w:fldChar w:fldCharType="separate"/>
      </w:r>
      <w:r w:rsidR="007B3711" w:rsidRPr="00E33741">
        <w:t xml:space="preserve">Abbildung </w:t>
      </w:r>
      <w:r w:rsidR="007B3711">
        <w:rPr>
          <w:noProof/>
        </w:rPr>
        <w:t>1</w:t>
      </w:r>
      <w:r>
        <w:fldChar w:fldCharType="end"/>
      </w:r>
      <w:r>
        <w:t xml:space="preserve"> zeigt </w:t>
      </w:r>
      <w:r w:rsidRPr="005B32FC">
        <w:t>die Analysephasen des Systems</w:t>
      </w:r>
      <w:r>
        <w:t>.</w:t>
      </w:r>
    </w:p>
    <w:p w14:paraId="091F637F" w14:textId="77777777" w:rsidR="00AA50DD" w:rsidRPr="00DC2241" w:rsidRDefault="00AA50DD" w:rsidP="00AA50DD">
      <w:pPr>
        <w:pStyle w:val="Zentriert"/>
      </w:pPr>
      <w:r>
        <w:rPr>
          <w:noProof/>
        </w:rPr>
        <w:drawing>
          <wp:inline distT="0" distB="0" distL="0" distR="0" wp14:anchorId="6133FFA8" wp14:editId="05253408">
            <wp:extent cx="5471032" cy="2246421"/>
            <wp:effectExtent l="0" t="0" r="3175" b="190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488147" cy="2253448"/>
                    </a:xfrm>
                    <a:prstGeom prst="rect">
                      <a:avLst/>
                    </a:prstGeom>
                    <a:noFill/>
                    <a:ln>
                      <a:noFill/>
                    </a:ln>
                  </pic:spPr>
                </pic:pic>
              </a:graphicData>
            </a:graphic>
          </wp:inline>
        </w:drawing>
      </w:r>
    </w:p>
    <w:p w14:paraId="26B844B9" w14:textId="6E74E8FF" w:rsidR="00AA50DD" w:rsidRPr="00AA50DD" w:rsidRDefault="00AA50DD" w:rsidP="00AA50DD">
      <w:pPr>
        <w:pStyle w:val="a6"/>
        <w:rPr>
          <w:lang w:eastAsia="zh-CN"/>
        </w:rPr>
      </w:pPr>
      <w:bookmarkStart w:id="16" w:name="_Ref132006743"/>
      <w:bookmarkStart w:id="17" w:name="_Toc332791518"/>
      <w:bookmarkStart w:id="18" w:name="_Toc50042836"/>
      <w:bookmarkStart w:id="19" w:name="_Toc238658087"/>
      <w:r w:rsidRPr="00E33741">
        <w:t xml:space="preserve">Abbildung </w:t>
      </w:r>
      <w:fldSimple w:instr=" SEQ Abbildung \* ARABIC ">
        <w:r w:rsidR="007B3711">
          <w:rPr>
            <w:noProof/>
          </w:rPr>
          <w:t>1</w:t>
        </w:r>
      </w:fldSimple>
      <w:bookmarkEnd w:id="16"/>
      <w:r w:rsidRPr="00E33741">
        <w:t xml:space="preserve">: </w:t>
      </w:r>
      <w:r w:rsidRPr="005B32FC">
        <w:t>Framework-Übersicht des entwickelten Systems nach Analysephasen</w:t>
      </w:r>
      <w:bookmarkEnd w:id="17"/>
      <w:bookmarkEnd w:id="18"/>
      <w:bookmarkEnd w:id="19"/>
    </w:p>
    <w:p w14:paraId="7313765F" w14:textId="77777777" w:rsidR="008D4CEF" w:rsidRPr="00674210" w:rsidRDefault="00000000" w:rsidP="00674210">
      <w:pPr>
        <w:pStyle w:val="3"/>
      </w:pPr>
      <w:bookmarkStart w:id="20" w:name="_Toc238658044"/>
      <w:r w:rsidRPr="00674210">
        <w:lastRenderedPageBreak/>
        <w:t>Pipeline-Übersicht</w:t>
      </w:r>
      <w:bookmarkEnd w:id="20"/>
    </w:p>
    <w:p w14:paraId="6783D3C5" w14:textId="51BEA5E1" w:rsidR="00D0078C" w:rsidRPr="00AF7A73" w:rsidRDefault="00C902A1" w:rsidP="00AF7A73">
      <w:pPr>
        <w:rPr>
          <w:lang w:eastAsia="zh-CN"/>
        </w:rPr>
      </w:pPr>
      <w:r>
        <w:fldChar w:fldCharType="begin"/>
      </w:r>
      <w:r>
        <w:instrText xml:space="preserve"> REF _Ref238424257 \h </w:instrText>
      </w:r>
      <w:r>
        <w:fldChar w:fldCharType="separate"/>
      </w:r>
      <w:r w:rsidR="007B3711">
        <w:t xml:space="preserve">Abbildung </w:t>
      </w:r>
      <w:r w:rsidR="007B3711">
        <w:rPr>
          <w:noProof/>
        </w:rPr>
        <w:t>2</w:t>
      </w:r>
      <w:r>
        <w:fldChar w:fldCharType="end"/>
      </w:r>
      <w:r>
        <w:rPr>
          <w:rFonts w:hint="eastAsia"/>
          <w:lang w:eastAsia="zh-CN"/>
        </w:rPr>
        <w:t xml:space="preserve"> </w:t>
      </w:r>
      <w:r>
        <w:t>zeigt den Gesamtablauf. Ein Ereignis erreicht das System auf einem von zwei Wegen: als Nachrichtentext oder als direkte Nutzeranfrage. Der Intake Agent behandelt beide Eingabewege gleich und unterscheidet nur zur Wahl der passenden Strategie bei der Merkmalsextraktion.</w:t>
      </w:r>
    </w:p>
    <w:p w14:paraId="33FF6F7B" w14:textId="77777777" w:rsidR="00AA50DD" w:rsidRDefault="00AA50DD" w:rsidP="00AA50DD">
      <w:pPr>
        <w:pStyle w:val="Zentriert"/>
        <w:keepNext/>
      </w:pPr>
      <w:r>
        <w:rPr>
          <w:noProof/>
        </w:rPr>
        <w:drawing>
          <wp:inline distT="0" distB="0" distL="0" distR="0" wp14:anchorId="4A9F5CB3" wp14:editId="7C5458E3">
            <wp:extent cx="3005209" cy="3872753"/>
            <wp:effectExtent l="0" t="0" r="5080" b="1270"/>
            <wp:docPr id="16774556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55650" name="图片 3"/>
                    <pic:cNvPicPr/>
                  </pic:nvPicPr>
                  <pic:blipFill>
                    <a:blip r:embed="rId16" cstate="hqprint">
                      <a:extLst>
                        <a:ext uri="{28A0092B-C50C-407E-A947-70E740481C1C}">
                          <a14:useLocalDpi xmlns:a14="http://schemas.microsoft.com/office/drawing/2010/main" val="0"/>
                        </a:ext>
                      </a:extLst>
                    </a:blip>
                    <a:stretch>
                      <a:fillRect/>
                    </a:stretch>
                  </pic:blipFill>
                  <pic:spPr>
                    <a:xfrm>
                      <a:off x="0" y="0"/>
                      <a:ext cx="3019185" cy="3890763"/>
                    </a:xfrm>
                    <a:prstGeom prst="rect">
                      <a:avLst/>
                    </a:prstGeom>
                  </pic:spPr>
                </pic:pic>
              </a:graphicData>
            </a:graphic>
          </wp:inline>
        </w:drawing>
      </w:r>
    </w:p>
    <w:p w14:paraId="7CB5D3A0" w14:textId="76FC217C" w:rsidR="008D4CEF" w:rsidRPr="00AA50DD" w:rsidRDefault="00AA50DD" w:rsidP="00AA50DD">
      <w:pPr>
        <w:pStyle w:val="a6"/>
        <w:jc w:val="left"/>
      </w:pPr>
      <w:bookmarkStart w:id="21" w:name="_Ref238424257"/>
      <w:bookmarkStart w:id="22" w:name="_Toc238658088"/>
      <w:r>
        <w:t xml:space="preserve">Abbildung </w:t>
      </w:r>
      <w:fldSimple w:instr=" SEQ Abbildung \* ARABIC ">
        <w:r w:rsidR="007B3711">
          <w:rPr>
            <w:noProof/>
          </w:rPr>
          <w:t>2</w:t>
        </w:r>
      </w:fldSimple>
      <w:bookmarkEnd w:id="21"/>
      <w:r w:rsidRPr="00D0078C">
        <w:rPr>
          <w:iCs/>
        </w:rPr>
        <w:t>: Ablaufdiagramm der sechsstufigen Agenten-Pipeline.</w:t>
      </w:r>
      <w:bookmarkEnd w:id="22"/>
    </w:p>
    <w:p w14:paraId="6684AB5E" w14:textId="77777777" w:rsidR="008D4CEF" w:rsidRDefault="00000000">
      <w:r>
        <w:t>Das Framework LangGraph implementiert die Pipeline als gerichteten Zustandsgraphen (Abschnitt 4.1). Alle Agenten teilen einen gemeinsamen Zustand (</w:t>
      </w:r>
      <w:r>
        <w:rPr>
          <w:rFonts w:ascii="Consolas" w:hAnsi="Consolas"/>
        </w:rPr>
        <w:t>PipelineState</w:t>
      </w:r>
      <w:r>
        <w:t>), in den jeder Agent seine Ergebnisse schreibt und aus dem die nachfolgenden Agenten lesen. Zwei Eigenschaften dieser Pipeline erweisen sich für die Ziele dieser Arbeit (Erklärbarkeit und Hallucination-Resistenz) als besonders relevant. Zum einen bricht die Pipeline frühzeitig ab, sobald der Intake Agent einen Text als nicht relevant einstuft oder ein Scheitern aller drei Seed-Strategien aus Abschnitt 3.4.2 absehbar ist; dies vermeidet neben unnötigen LLM-Aufrufen vor allem ein erfundenes Ergebnis für einen nicht sinnvoll auswertbaren Text. Zum anderen stellt der letzte Schritt keinen reinen Ausgabeschritt dar, sondern einen aktiven Prüfschritt mit der Möglichkeit einer Zurückweisung des Berichts und einer Wiederholung durch den Validation Agent; die genaue Funktionsweise beschreibt Abschnitt 3.5.</w:t>
      </w:r>
    </w:p>
    <w:p w14:paraId="0AAF13F0" w14:textId="77777777" w:rsidR="008D4CEF" w:rsidRPr="00577E58" w:rsidRDefault="00000000" w:rsidP="00577E58">
      <w:pPr>
        <w:pStyle w:val="2"/>
      </w:pPr>
      <w:bookmarkStart w:id="23" w:name="_Toc238658045"/>
      <w:r w:rsidRPr="00577E58">
        <w:lastRenderedPageBreak/>
        <w:t>Beschreibung der einzelnen Agenten</w:t>
      </w:r>
      <w:bookmarkEnd w:id="23"/>
    </w:p>
    <w:p w14:paraId="799C890B" w14:textId="77777777" w:rsidR="008D4CEF" w:rsidRDefault="00000000" w:rsidP="00674210">
      <w:pPr>
        <w:pStyle w:val="3"/>
      </w:pPr>
      <w:bookmarkStart w:id="24" w:name="_Toc238658046"/>
      <w:r>
        <w:t>Intake Agent</w:t>
      </w:r>
      <w:bookmarkEnd w:id="24"/>
    </w:p>
    <w:p w14:paraId="0542674E" w14:textId="77777777" w:rsidR="008D4CEF" w:rsidRDefault="00000000">
      <w:r>
        <w:t>Der Intake Agent stellt die einzige Stelle dar, an der unstrukturierter Freitext in die Pipeline gelangt. Er erfüllt zwei Aufgaben in einem LLM-Aufruf: die Entscheidung, ob der Text überhaupt einen Bezug zur Batterie-Lieferkette aufweist (</w:t>
      </w:r>
      <w:r>
        <w:rPr>
          <w:rFonts w:ascii="Consolas" w:hAnsi="Consolas"/>
        </w:rPr>
        <w:t>relevant: bool</w:t>
      </w:r>
      <w:r>
        <w:t>), und im positiven Fall die Extraktion der für die weitere Verarbeitung nötigen Merkmale.</w:t>
      </w:r>
    </w:p>
    <w:p w14:paraId="5F81DBFF" w14:textId="77777777" w:rsidR="008D4CEF" w:rsidRDefault="00000000">
      <w:r>
        <w:t xml:space="preserve">Da nicht jedes Ereignis auf dieselbe Weise beschrieben wird, unterscheidet der Intake Agent zwei Muster, die zu den zwei primären Seed-Strategien aus Abschnitt 3.4.2 passen: Ein Ereignis rund um ein Material und eine Herkunftsregion (etwa eine Exportbeschränkung) liefert </w:t>
      </w:r>
      <w:r>
        <w:rPr>
          <w:rFonts w:ascii="Consolas" w:hAnsi="Consolas"/>
        </w:rPr>
        <w:t>material</w:t>
      </w:r>
      <w:r>
        <w:t xml:space="preserve"> und </w:t>
      </w:r>
      <w:r>
        <w:rPr>
          <w:rFonts w:ascii="Consolas" w:hAnsi="Consolas"/>
        </w:rPr>
        <w:t>region</w:t>
      </w:r>
      <w:r>
        <w:t xml:space="preserve">, ein Ereignis rund um eine konkret genannte Anlage eines Unternehmens (etwa ein Brand in einer namentlich genannten Fabrik) liefert stattdessen </w:t>
      </w:r>
      <w:r>
        <w:rPr>
          <w:rFonts w:ascii="Consolas" w:hAnsi="Consolas"/>
        </w:rPr>
        <w:t>mentioned_company</w:t>
      </w:r>
      <w:r>
        <w:t xml:space="preserve"> und </w:t>
      </w:r>
      <w:r>
        <w:rPr>
          <w:rFonts w:ascii="Consolas" w:hAnsi="Consolas"/>
        </w:rPr>
        <w:t>mentioned_location</w:t>
      </w:r>
      <w:r>
        <w:t>. Beide Felder sind im Datenschema vorgesehen und schließen sich nicht zwingend gegenseitig aus.</w:t>
      </w:r>
    </w:p>
    <w:p w14:paraId="13E1BC7A" w14:textId="77777777" w:rsidR="008D4CEF" w:rsidRDefault="00000000">
      <w:r>
        <w:t>Eine Bewertung von Schwere oder Art des Risikos nimmt der Intake Agent dabei nicht vor. Diese Aufgabe übernimmt erst der nachfolgende Risk Assessment Agent. Diese Trennung ist bewusst gewählt: Ein LLM-Aufruf trifft eine einzige, klar umrissene Entscheidung, statt mehrere Bewertungen gleichzeitig abzuwägen.</w:t>
      </w:r>
    </w:p>
    <w:p w14:paraId="56084AF1" w14:textId="77777777" w:rsidR="008D4CEF" w:rsidRDefault="00000000" w:rsidP="00674210">
      <w:pPr>
        <w:pStyle w:val="3"/>
      </w:pPr>
      <w:bookmarkStart w:id="25" w:name="_Toc238658047"/>
      <w:r>
        <w:t>Risk Assessment Agent</w:t>
      </w:r>
      <w:bookmarkEnd w:id="25"/>
    </w:p>
    <w:p w14:paraId="172FE95A" w14:textId="77777777" w:rsidR="008D4CEF" w:rsidRDefault="00000000">
      <w:r>
        <w:t>Der Risk Assessment Agent liest denselben Text erneut und klassifiziert das Ereignis in drei Dimensionen: Schweregrad (severity, Werteskala eins bis fünf), Risikoart (risk_type, unter anderem Lieferunterbrechung, regulatorisches Risiko, Preisvolatilität; die Kategorien orientieren sich an etablierten Risikoklassifikationsschemata der Literatur [22]) und die Lieferkettenstufe, an der das Ereignis seinen Ursprung hat (origin_tier: Upstream, Midstream-BGM, Midstream-Cell oder Downstream). Alle drei Werte gehen unverändert in die RiskScore-Berechnung des Synthesis Agent ein (Abschnitt 4.3.3).</w:t>
      </w:r>
    </w:p>
    <w:p w14:paraId="2417E775" w14:textId="77777777" w:rsidR="008D4CEF" w:rsidRDefault="00000000">
      <w:r>
        <w:t>Diese drei Werte fließen später direkt in eine Formel ein, ohne erneute inhaltliche Prüfung. Ihre korrekte Ausprägung ist daher entscheidend. Ein vom LLM zurückgegebener Wert außerhalb des gültigen Bereichs, oder ein nicht vorgesehener Bezeichner für die Lieferkettenstufe, führt ohne Absicherung zu einem Laufzeitfehler an einer für den Anwender kaum nachvollziehbaren Stelle oder überschreitet die dokumentierte Wertegrenze des RiskScore (null bis hundert). Der Agent prüft und normiert seine LLM-Ausgabe deshalb unmittelbar nach dem Modellaufruf, vor dem Schreiben in den Pipeline-Zustand (Umsetzung dieser Prüfung in Abschnitt 4.3.1).</w:t>
      </w:r>
    </w:p>
    <w:p w14:paraId="44172B1A" w14:textId="77777777" w:rsidR="008D4CEF" w:rsidRDefault="00000000" w:rsidP="00674210">
      <w:pPr>
        <w:pStyle w:val="3"/>
      </w:pPr>
      <w:bookmarkStart w:id="26" w:name="_Toc238658048"/>
      <w:r>
        <w:t>Network Agent</w:t>
      </w:r>
      <w:bookmarkEnd w:id="26"/>
    </w:p>
    <w:p w14:paraId="47DD55BE" w14:textId="77777777" w:rsidR="008D4CEF" w:rsidRDefault="00000000">
      <w:r>
        <w:t xml:space="preserve">Der Network Agent bildet den ersten von zwei Agenten, die vollständig ohne LLM auskommen. Seine Aufgabe: Ausgehend von den Merkmalen aus Intake und Risk Assessment bestimmt er im Lieferkettengraphen die „Seed-Knoten" (die unmittelbar durch </w:t>
      </w:r>
      <w:r>
        <w:lastRenderedPageBreak/>
        <w:t>das Ereignis betroffenen Anlagen) und ermittelt von dort per Breitensuche (Breadth-First Search, BFS) alle nachgelagerten, potenziell mitbetroffenen Anlagen. Die drei Strategien zur Bestimmung der Seed-Knoten sowie die Graphstruktur selbst beschreibt Abschnitt 3.4 ausführlich.</w:t>
      </w:r>
    </w:p>
    <w:p w14:paraId="112F36F0" w14:textId="77777777" w:rsidR="008D4CEF" w:rsidRDefault="00000000" w:rsidP="00674210">
      <w:pPr>
        <w:pStyle w:val="3"/>
      </w:pPr>
      <w:bookmarkStart w:id="27" w:name="_Toc238658049"/>
      <w:r>
        <w:t>Data Retrieval Agent</w:t>
      </w:r>
      <w:bookmarkEnd w:id="27"/>
    </w:p>
    <w:p w14:paraId="5B5B51A7" w14:textId="77777777" w:rsidR="008D4CEF" w:rsidRDefault="00000000">
      <w:r>
        <w:t>Der Data Retrieval Agent reichert jede vom Network Agent gefundene Anlage mit den für die Risikoberechnung nötigen Kennzahlen aus der NAATBatt-Datenbank an: unter anderem Produktionskapazität, Anzahl direkter Lieferanten und eine Vorlaufzeit-Schätzung. Auch dieser Agent kommt vollständig ohne LLM aus. Entscheidend ist der Umgang mit fehlenden Kapazitätsdaten: Nur etwa sechsunddreißig Prozent der Anlagen in der Datenbank besitzen einen erhobenen Kapazitätswert (Abschnitt 4.2). Bei einem fehlenden Wert markiert der Agent dies explizit als capacity_source="unknown", statt ihn stillschweigend als Null zu behandeln. Diese Unterscheidung hängt direkt mit dem Klassifikationsschema für Datenherkunft aus Abschnitt 4.2.3 zusammen.</w:t>
      </w:r>
    </w:p>
    <w:p w14:paraId="595863E9" w14:textId="77777777" w:rsidR="008D4CEF" w:rsidRDefault="00000000" w:rsidP="00674210">
      <w:pPr>
        <w:pStyle w:val="3"/>
      </w:pPr>
      <w:bookmarkStart w:id="28" w:name="_Toc238658050"/>
      <w:r>
        <w:t>Synthesis Agent</w:t>
      </w:r>
      <w:bookmarkEnd w:id="28"/>
    </w:p>
    <w:p w14:paraId="2EFDBF3B" w14:textId="77777777" w:rsidR="008D4CEF" w:rsidRDefault="00000000">
      <w:r>
        <w:t>Der Synthesis Agent nimmt eine Sonderstellung ein, da er als einziger Agent einen deterministischen und einen LLM-gestützten Teil in strikter Reihenfolge vereint. Zuerst berechnet er für jede betroffene Anlage den RiskScore nach der Formel aus Abschnitt 4.3.3 und bestimmt daraus die drei am stärksten betroffenen Anlagen (Top-3). Erst danach folgt der LLM-Aufruf: Er formuliert aus den bereits fertig berechneten Werten einen zusammenhängenden Berichtstext. Das Modell erhält dabei ausschließlich bereits berechnete Werte und den ursprünglichen Ereignistext. Eine eigenständige Bestimmung oder Veränderung dieser Werte ist an keiner Stelle möglich; das Modell übersetzt sie ausschließlich in lesbaren Text.</w:t>
      </w:r>
    </w:p>
    <w:p w14:paraId="579E0F40" w14:textId="77777777" w:rsidR="008D4CEF" w:rsidRDefault="00000000" w:rsidP="00674210">
      <w:pPr>
        <w:pStyle w:val="3"/>
      </w:pPr>
      <w:bookmarkStart w:id="29" w:name="_Toc238658051"/>
      <w:r>
        <w:t>Validation Agent</w:t>
      </w:r>
      <w:bookmarkEnd w:id="29"/>
    </w:p>
    <w:p w14:paraId="65BBFBC4" w14:textId="77777777" w:rsidR="008D4CEF" w:rsidRDefault="00000000">
      <w:r>
        <w:t>Der Validation Agent bildet den letzten Schritt und prüft den vom Synthesis Agent erzeugten Bericht auf Auslassungen, Widersprüche und unbelegte Behauptungen, bevor der Anwender ihn sieht. Diese Prüfung deckt numerisch-strukturelle und sprachlich-inhaltliche Aspekte gleichermaßen ab. Im Unterschied zu den übrigen fünf Agenten kombiniert dieser Agent deshalb mehrere Prüfmechanismen. Deren Zusammenspiel und die daraus folgende Wiederholungslogik beschreibt Abschnitt 3.5 gesondert, da beides für die Ziele dieser Arbeit (Erklärbarkeit und Hallucination-Resistenz) zentral ist.</w:t>
      </w:r>
    </w:p>
    <w:p w14:paraId="7F410FD5" w14:textId="77777777" w:rsidR="008D4CEF" w:rsidRDefault="00000000">
      <w:r>
        <w:t xml:space="preserve">Ergänzend bewertet der Validation Agent die Qualität des freigegebenen Berichts anhand von vier Dimensionen (Groundedness, Konsistenz, Vollständigkeit und Erklärbarkeit) auf einer fünfstufigen Skala (Abschnitt 4.3.4). Diese Bewertung ist von der Freigabeentscheidung unabhängig: Ein Bericht kann alle harten Prüfungen bestehen und dennoch in einzelnen Dimensionen niedrig bewertet werden, etwa nach Erschöpfung der Wiederholungsgrenze mit weiterhin ungelösten Befunden (Abschnitt 5.6.2). </w:t>
      </w:r>
      <w:r>
        <w:lastRenderedPageBreak/>
        <w:t>Die Validierung liefert damit nicht nur eine binäre Freigabeentscheidung, sondern zusätzlich eine strukturierte Einschätzung der Analysequalität.</w:t>
      </w:r>
    </w:p>
    <w:p w14:paraId="77B66F28" w14:textId="77777777" w:rsidR="008D4CEF" w:rsidRPr="00577E58" w:rsidRDefault="00000000" w:rsidP="00577E58">
      <w:pPr>
        <w:pStyle w:val="2"/>
      </w:pPr>
      <w:bookmarkStart w:id="30" w:name="_Toc238658052"/>
      <w:r w:rsidRPr="00577E58">
        <w:t>Modellierung der Lieferkette als Graph</w:t>
      </w:r>
      <w:bookmarkEnd w:id="30"/>
    </w:p>
    <w:p w14:paraId="2CD35362" w14:textId="77777777" w:rsidR="008D4CEF" w:rsidRDefault="00000000" w:rsidP="00674210">
      <w:pPr>
        <w:pStyle w:val="3"/>
      </w:pPr>
      <w:bookmarkStart w:id="31" w:name="_Toc238658053"/>
      <w:r>
        <w:t>Graphstruktur</w:t>
      </w:r>
      <w:bookmarkEnd w:id="31"/>
    </w:p>
    <w:p w14:paraId="4232A833" w14:textId="77777777" w:rsidR="008D4CEF" w:rsidRDefault="00000000">
      <w:r>
        <w:t>Jede Anlage aus der NAATBatt-Datenbank bildet einen Knoten im Lieferkettengraphen. Die Kanten sind gerichtet und folgen der Richtung des Materialflusses: von Upstream (Rohstoffabbau) über Midstream-BGM (Batteriematerial-Verarbeitung) und Midstream-Cell (Zellfertigung) bis Downstream (Montage). Das Zustandekommen der Kanten (bis auf vier Ausnahmen simuliert, nicht aus der Datenbank) leitet Abschnitt 4.2.2 im Detail her.</w:t>
      </w:r>
    </w:p>
    <w:p w14:paraId="2C6B7EF3" w14:textId="77777777" w:rsidR="008D4CEF" w:rsidRDefault="00000000" w:rsidP="00674210">
      <w:pPr>
        <w:pStyle w:val="3"/>
      </w:pPr>
      <w:bookmarkStart w:id="32" w:name="_Toc238658054"/>
      <w:r>
        <w:t>Seed-Strategien: Vom Ereignistext zu konkreten Startknoten</w:t>
      </w:r>
      <w:bookmarkEnd w:id="32"/>
    </w:p>
    <w:p w14:paraId="32F202A0" w14:textId="77777777" w:rsidR="008D4CEF" w:rsidRDefault="00000000">
      <w:r>
        <w:t>Vor der Ausbreitung eines Risikos im Graphen steht die Bestimmung eines Startpunkts: der Anlagen, die unmittelbar vom Ereignis betroffen sind. Das Finden dieser „Seed-Knoten" stellt keine einheitliche Aufgabe dar, da Ereignisse auf zwei grundsätzlich verschiedene Arten beschrieben werden (Abschnitt 3.3.1): Dafür existieren drei Strategien, die das System der Reihe nach versucht.</w:t>
      </w:r>
    </w:p>
    <w:p w14:paraId="095B7F82" w14:textId="0ECE8FA7" w:rsidR="008D4CEF" w:rsidRDefault="00000000">
      <w:r>
        <w:t>Strategie A: Regelbasiertes Matching. Für Ereignisse mit Material und Region gilt: Eine Anlage ist ein Kandidat, wenn ihre Materialschlüsselwörter zum Ereignis passen (material_match) und ihre Herkunftsregion für dieses Material mit der Ereignisregion übereinstimmt (region_match), wobei die „Herkunftsregion" für Upstream-Anlagen auch der eigene Standort sein kann, da eine Mine ihr Material an sich selbst liefert. Nicht jeder Kandidat zählt als eigener Seed: Ist ein Kandidat im Graphen bereits von einem anderen Kandidaten aus erreichbar, stellt er keinen unabhängigen Startpunkt dar, sondern ist selbst schon Teil von dessen Ausbreitung. Eine doppelte Zählung derselben Anlage unterbleibt dadurch.</w:t>
      </w:r>
    </w:p>
    <w:p w14:paraId="1637475D" w14:textId="63766BF9" w:rsidR="008D4CEF" w:rsidRDefault="00000000">
      <w:r w:rsidRPr="00D0078C">
        <w:rPr>
          <w:bCs/>
        </w:rPr>
        <w:t>Strategie B</w:t>
      </w:r>
      <w:r w:rsidR="00764643" w:rsidRPr="00D0078C">
        <w:rPr>
          <w:bCs/>
        </w:rPr>
        <w:t xml:space="preserve">: </w:t>
      </w:r>
      <w:r w:rsidRPr="00D0078C">
        <w:rPr>
          <w:bCs/>
        </w:rPr>
        <w:t xml:space="preserve">Entity-Matching. </w:t>
      </w:r>
      <w:r>
        <w:t>Für Ereignisse mit Nennung einer konkreten Firma (etwa ein Brand in einer namentlich genannten Fabrik) gleicht ein Fuzzy-Matching den Firmennamen gegen die Firmennamen im Graphen ab. Besitzt die Firma nur eine Anlage, setzt das System diese direkt als Seed. Besitzt sie mehrere Anlagen an unterschiedlichen Standorten, muss die vom Intake Agent mitgelieferte Ortsangabe die Anlage eindeutig bestimmen. Gelingt dies nicht, rät das System nicht: Es meldet die Anlage als mehrdeutig und bricht mit einem entsprechenden Hinweis ab, statt ein Ergebnis zu erfinden.</w:t>
      </w:r>
    </w:p>
    <w:p w14:paraId="61B989E8" w14:textId="01F2A0CF" w:rsidR="008D4CEF" w:rsidRDefault="00000000">
      <w:r>
        <w:t xml:space="preserve">Strategie C: LLM-gestützter Fallback. Für Ereignisse mit vorhandener Region ohne Material-Treffer und ohne genannte Firma (etwa ein regionales Extremwetterereignis ohne namentliche Erwähnung eines Unternehmens) finden die Strategien A und B trotz vorhandener Region nichts. Für diesen Fall existiert ein dritter, LLM-gestützter Weg mit einer für die Hallucination-Resistenz dieser Arbeit wichtigen Einschränkung: Eine rein deterministische Abfrage ohne LLM liefert zuerst eine abgeschlossene Liste </w:t>
      </w:r>
      <w:r>
        <w:t>realer Anlagen, deren Ort zur genannten Region passt. Erst danach erhält das LLM diese Liste und den Ereignistext und wählt daraus die tatsächlich betroffenen Anlagen aus. Eine Auswahl außerhalb dieser Liste ist ausgeschlossen. Jede zurückgegebene Auswahl durchläuft zusätzlich eine Prüfung gegen die ursprüngliche Kandidatenliste, bevor das System sie übernimmt. Dieses Vorgehen (Retrieval zuerst, LLM-Auswahl ausschließlich aus dem bereits geprüften Ergebnis) bindet die Sprachmodellausgabe an zuvor abgerufene, überprüfbare Information, statt sich allein auf im Modell gespeichertes Wissen zu verlassen. Retrieval zählt damit zu den in der Literatur dokumentierten Ansätzen zur Eindämmung von Halluzinationen [15]. Strategie C verwendet dafür einen einfachen deterministischen Abgleich gegen Orts- und Namensfelder der Anlagendaten (Abschnitt 4.3.2), kein trainiertes Retrieval-Modell. Dieses Grundprinzip entspricht zugleich der Trennung zwischen Berechnung und Sprache aus Abschnitt 3.2.1.</w:t>
      </w:r>
    </w:p>
    <w:p w14:paraId="25EC824B" w14:textId="77777777" w:rsidR="008D4CEF" w:rsidRDefault="00000000">
      <w:r>
        <w:t>Strategie C greift nur bei erfolglosen Strategien A und B und nur bei Vorhandensein einer Region. Bleibt danach weiterhin kein Treffer, meldet das System dies ebenfalls offen, statt ein Nullergebnis als „kein Risiko" misszuverstehen zu lassen. Dieser Unterschied zwischen „nichts gefunden" und „kein Risiko" zieht sich als Prinzip durch die gesamte Pipeline.</w:t>
      </w:r>
    </w:p>
    <w:p w14:paraId="7D4F3821" w14:textId="77777777" w:rsidR="008D4CEF" w:rsidRDefault="00000000" w:rsidP="00674210">
      <w:pPr>
        <w:pStyle w:val="3"/>
      </w:pPr>
      <w:bookmarkStart w:id="33" w:name="_Toc238658055"/>
      <w:r>
        <w:t>Ausbreitung: Von den Seed-Knoten zu allen betroffenen Anlagen</w:t>
      </w:r>
      <w:bookmarkEnd w:id="33"/>
    </w:p>
    <w:p w14:paraId="632955BA" w14:textId="77777777" w:rsidR="008D4CEF" w:rsidRDefault="00000000">
      <w:r>
        <w:t>Nach Feststehen der Seed-Knoten sucht der Network Agent per Breitensuche (BFS, siehe Abschnitt 3.3.3) entlang der gerichteten Kanten alle von dort aus erreichbaren, nachgelagerten Anlagen. Für jede so gefundene Anlage hält das System zusätzlich den Pfad fest, über den sie erreicht wurde: den ursprünglichen Seed-Knoten und die durchlaufenen Zwischenstationen. Dieser Pfad stellt kein Nebenprodukt dar: Er wird dem Anwender über die in Abschnitt 4.4 beschriebene Detailansicht der Benutzeroberfläche als Begründung dafür zugänglich gemacht, warum eine bestimmte Anlage als betroffen gilt. Er bildet damit einen direkten Baustein der Erklärbarkeit, nicht nur der Berechnung. Ob und in welchem Umfang der Berichtstext selbst diesen Pfad zusätzlich in Prosaform nachzeichnet, untersucht Kapitel 5 kritisch (Abschnitt 5.6.3).</w:t>
      </w:r>
    </w:p>
    <w:p w14:paraId="43CAB7A2" w14:textId="77777777" w:rsidR="008D4CEF" w:rsidRPr="00577E58" w:rsidRDefault="00000000" w:rsidP="00577E58">
      <w:pPr>
        <w:pStyle w:val="2"/>
      </w:pPr>
      <w:bookmarkStart w:id="34" w:name="_Toc238658056"/>
      <w:r w:rsidRPr="00577E58">
        <w:t>Feedback- und Validierungsmechanismus</w:t>
      </w:r>
      <w:bookmarkEnd w:id="34"/>
    </w:p>
    <w:p w14:paraId="52F38D61" w14:textId="77777777" w:rsidR="008D4CEF" w:rsidRDefault="00000000" w:rsidP="00674210">
      <w:pPr>
        <w:pStyle w:val="3"/>
      </w:pPr>
      <w:bookmarkStart w:id="35" w:name="_Toc238658057"/>
      <w:r>
        <w:t>Drei Prüfebenen statt einer</w:t>
      </w:r>
      <w:bookmarkEnd w:id="35"/>
    </w:p>
    <w:p w14:paraId="64839FAC" w14:textId="77777777" w:rsidR="008D4CEF" w:rsidRDefault="00000000">
      <w:r>
        <w:t>Der Validation Agent prüft den fertigen Bericht auf drei bewusst getrennte Arten: deterministische Prüfungen (reine Lookups, etwa die Kontrolle, ob eine Top-3-Anlage tatsächlich in der Liste der betroffenen Anlagen vorkommt), strukturelle Prüfungen (der Bericht folgt für die Top-3-Sektion einem festen Format, aus dem sich Firmenname, RiskScore und weitere Werte per Textmuster extrahieren und mit den berechneten Werten vergleichen lassen) und eine LLM-Prüfung für alles, was echtes Leseverständnis erfordert, etwa die Schlüssigkeit der Argumentation im Bericht.</w:t>
      </w:r>
    </w:p>
    <w:p w14:paraId="289176BB" w14:textId="77777777" w:rsidR="008D4CEF" w:rsidRDefault="00000000">
      <w:r>
        <w:lastRenderedPageBreak/>
        <w:t>Diese Dreiteilung ergibt sich aus einem konkreten Befund und nicht aus einer vorab feststehenden Struktur: Ein einzelnes LLM, das auch numerische und strukturelle Aspekte mitprüft, markiert einen korrekt berechneten Wert wiederholt fälschlich als Fehler, da es diesen Wert selbst nachzurechnen versucht, statt ihn zu übernehmen. Für alle eindeutig regelbasiert prüfbaren Aspekte übernimmt seitdem Code diese Aufgabe; das LLM bleibt auf Fragen beschränkt, die tatsächlich Textverständnis erfordern, nicht Arithmetik. Diese Aufgabenteilung folgt demselben Prinzip wie die gesamte Pipeline-Architektur aus Abschnitt 3.2.1.</w:t>
      </w:r>
    </w:p>
    <w:p w14:paraId="6F84B754" w14:textId="77777777" w:rsidR="008D4CEF" w:rsidRDefault="00000000">
      <w:r>
        <w:t>Innerhalb der LLM-Prüfung besteht eine weitere wichtige Unterscheidung zwischen zwei Referenzquellen: Die Angaben zu den Top-3-Anlagen (Kapazität, Produkt, Firmenprofil) stammen aus der NAATBatt-Datenbank oder der eigenen Berechnung. Ihr Fehlen im Ereignistext stellt keinen Mangel dar. Aussagen über das Ereignis selbst (was geschehen ist, welche Dauer die Störung voraussichtlich hat) müssen sich dagegen tatsächlich im Ereignistext wiederfinden. Eine LLM-Prüfung ohne saubere Trennung dieser beiden Referenzquellen markiert sonst korrekte Fakten aus der Datenbank fälschlich als unbelegt (Diskussion eines konkreten Falls in Abschnitt 5.6.2).</w:t>
      </w:r>
    </w:p>
    <w:p w14:paraId="5179F1B9" w14:textId="77777777" w:rsidR="008D4CEF" w:rsidRDefault="00000000" w:rsidP="00674210">
      <w:pPr>
        <w:pStyle w:val="3"/>
      </w:pPr>
      <w:bookmarkStart w:id="36" w:name="_Toc238658058"/>
      <w:r>
        <w:t>Wiederholungslogik</w:t>
      </w:r>
      <w:bookmarkEnd w:id="36"/>
    </w:p>
    <w:p w14:paraId="4E3B28BD" w14:textId="77777777" w:rsidR="008D4CEF" w:rsidRDefault="00000000">
      <w:r>
        <w:t>Bei einem festgestellten Problem unterscheidet das System zwei Schweregrade mit unterschiedlicher Konsequenz. Ein leichter Fehler (minor, etwa eine schwache oder generische Begründung) löst eine Wiederholung ab dem Synthesis Agent aus: Nur der Berichtstext entsteht neu, die bereits berechneten Werte bleiben unverändert. Ein schwerwiegender Fehler (severe, etwa eine Halluzination oder ein grundlegend falsch zugeordnetes Material) setzt weiter vorne an: Die Pipeline durchläuft ab dem Risk Assessment Agent erneut. Diese Unterscheidung stellt ein direktes Beispiel für den in Abschnitt 3.2.1 genannten Vorteil der modularen Aufteilung dar: Je nach Lage des Problems entfällt ein vollständiger Neustart der Pipeline.</w:t>
      </w:r>
    </w:p>
    <w:p w14:paraId="4E96AF07" w14:textId="77777777" w:rsidR="008D4CEF" w:rsidRDefault="00000000">
      <w:r>
        <w:t>Die Anzahl der Wiederholungen ist auf zwei begrenzt. Bleibt der Bericht auch nach zwei Durchläufen ungültig, liefert das System ihn dennoch aus, zusammen mit den zuletzt festgestellten, konkreten Problemen, nicht stillschweigend und nicht nur mit einem allgemeinen Hinweis auf einen Mangel. Für den Anwender bleibt damit nachvollziehbar, was die Prüfung abdeckt und was offenbleibt, selbst bei einem vom System nicht selbst behebbaren Problem. Die tatsächliche Zuverlässigkeit dieses gesamten Mechanismus in der Praxis prüft Kapitel 5 anhand konkreter Testfälle.</w:t>
      </w:r>
    </w:p>
    <w:p w14:paraId="05C58D9E" w14:textId="77777777" w:rsidR="008D4CEF" w:rsidRDefault="00000000" w:rsidP="00577E58">
      <w:pPr>
        <w:pStyle w:val="1"/>
      </w:pPr>
      <w:bookmarkStart w:id="37" w:name="_Toc238658059"/>
      <w:r>
        <w:lastRenderedPageBreak/>
        <w:t>Implementierung</w:t>
      </w:r>
      <w:bookmarkEnd w:id="37"/>
    </w:p>
    <w:p w14:paraId="06D6935C" w14:textId="77777777" w:rsidR="008D4CEF" w:rsidRPr="00577E58" w:rsidRDefault="00000000" w:rsidP="00577E58">
      <w:pPr>
        <w:pStyle w:val="2"/>
      </w:pPr>
      <w:bookmarkStart w:id="38" w:name="_Toc238658060"/>
      <w:r w:rsidRPr="00577E58">
        <w:t>Technologie-Stack und Werkzeuge</w:t>
      </w:r>
      <w:bookmarkEnd w:id="38"/>
    </w:p>
    <w:p w14:paraId="70DFE34C" w14:textId="77777777" w:rsidR="008D4CEF" w:rsidRDefault="00000000">
      <w:r>
        <w:t>Die Implementierung erfolgt vollständig in Python. Für die Orchestrierung der sechs Agenten aus Kapitel 3 kommt das Framework LangGraph zum Einsatz, das die Pipeline als gerichteten Zustandsgraphen mit bedingten Übergängen abbildet. Insbesondere die in Abschnitt 3.5.2 beschriebene Wiederholungslogik mit unterschiedlichem Wiedereinstiegspunkt je nach Fehlerart benötigt genau diese Art bedingter Verzweigung. Eine vorangehende, anhand einer prototypischen Drei-Agenten-Pipeline durchgeführte Bewertung stellt LangGraph den Alternativen CrewAI und Google ADK gegenüber; für die vorliegende Aufgabenstellung mit ihrer festen, gerichteten Abfolge von Schritten und dem expliziten, gemeinsam genutzten Pipeline-Zustand bietet die graphbasierte Ablaufsteuerung von LangGraph die präzisere Kontrolle über bedingte Rücksprünge.</w:t>
      </w:r>
    </w:p>
    <w:p w14:paraId="581FC143" w14:textId="77777777" w:rsidR="008D4CEF" w:rsidRDefault="00000000">
      <w:r>
        <w:t>Für die Graphtraversierung im Network Agent (Abschnitt 3.4) verwendet die Implementierung die Bibliothek NetworkX, für die LLM-Anbindung LangChain. Data Retrieval Agent und die Datenaufbereitung (Abschnitt 4.2) nutzen Pandas zur tabellarischen Verarbeitung der NAATBatt-Daten. Die Benutzeroberfläche (Abschnitt 4.4) basiert auf Streamlit.</w:t>
      </w:r>
    </w:p>
    <w:p w14:paraId="78C7DD78" w14:textId="750E2CE4" w:rsidR="008D4CEF" w:rsidRDefault="00000000">
      <w:r>
        <w:t>Als Sprachmodell dient ein über das Hochleistungsrechenzentrum der Friedrich-Alexander-Universität bereitgestelltes, OpenAI-kompatibles Gateway mit dem Modell Mistral-Small-3.2-24B-Instruct. Sämtliche vier LLM-gestützten Agenten (Abschnitt 3.2.1) rufen ein und dasselbe, austauschbar konfigurierte Sprachmodell über eine gemeinsame Hilfsfunktion auf; ein Wechsel des Anbieters betrifft dadurch die Implementierung an genau einer Stelle.</w:t>
      </w:r>
      <w:r w:rsidR="007424EE">
        <w:rPr>
          <w:rFonts w:hint="eastAsia"/>
          <w:lang w:eastAsia="zh-CN"/>
        </w:rPr>
        <w:t xml:space="preserve"> </w:t>
      </w:r>
      <w:r w:rsidR="00F32081">
        <w:rPr>
          <w:lang w:eastAsia="zh-CN"/>
        </w:rPr>
        <w:fldChar w:fldCharType="begin"/>
      </w:r>
      <w:r w:rsidR="00F32081">
        <w:rPr>
          <w:lang w:eastAsia="zh-CN"/>
        </w:rPr>
        <w:instrText xml:space="preserve"> </w:instrText>
      </w:r>
      <w:r w:rsidR="00F32081">
        <w:rPr>
          <w:rFonts w:hint="eastAsia"/>
          <w:lang w:eastAsia="zh-CN"/>
        </w:rPr>
        <w:instrText>REF _Ref238424249 \h</w:instrText>
      </w:r>
      <w:r w:rsidR="00F32081">
        <w:rPr>
          <w:lang w:eastAsia="zh-CN"/>
        </w:rPr>
        <w:instrText xml:space="preserve"> </w:instrText>
      </w:r>
      <w:r w:rsidR="00F32081">
        <w:rPr>
          <w:lang w:eastAsia="zh-CN"/>
        </w:rPr>
      </w:r>
      <w:r w:rsidR="00F32081">
        <w:rPr>
          <w:lang w:eastAsia="zh-CN"/>
        </w:rPr>
        <w:fldChar w:fldCharType="separate"/>
      </w:r>
      <w:r w:rsidR="007B3711">
        <w:t xml:space="preserve">Tabelle </w:t>
      </w:r>
      <w:r w:rsidR="007B3711">
        <w:rPr>
          <w:noProof/>
        </w:rPr>
        <w:t>1</w:t>
      </w:r>
      <w:r w:rsidR="00F32081">
        <w:rPr>
          <w:lang w:eastAsia="zh-CN"/>
        </w:rPr>
        <w:fldChar w:fldCharType="end"/>
      </w:r>
      <w:r w:rsidR="007424EE">
        <w:rPr>
          <w:rFonts w:hint="eastAsia"/>
          <w:lang w:eastAsia="zh-CN"/>
        </w:rPr>
        <w:t xml:space="preserve"> </w:t>
      </w:r>
      <w:r>
        <w:t>fasst die eingesetzten Werkzeuge zusammen.</w:t>
      </w:r>
    </w:p>
    <w:p w14:paraId="077D1F65" w14:textId="325996BE" w:rsidR="007424EE" w:rsidRDefault="007424EE" w:rsidP="007424EE">
      <w:pPr>
        <w:pStyle w:val="a6"/>
        <w:keepNext/>
        <w:rPr>
          <w:lang w:eastAsia="zh-CN"/>
        </w:rPr>
      </w:pPr>
      <w:bookmarkStart w:id="39" w:name="_Ref238424249"/>
      <w:bookmarkStart w:id="40" w:name="_Toc238658089"/>
      <w:r>
        <w:t xml:space="preserve">Tabelle </w:t>
      </w:r>
      <w:fldSimple w:instr=" SEQ Tabelle \* ARABIC ">
        <w:r w:rsidR="007B3711">
          <w:rPr>
            <w:noProof/>
          </w:rPr>
          <w:t>1</w:t>
        </w:r>
      </w:fldSimple>
      <w:bookmarkEnd w:id="39"/>
      <w:r w:rsidRPr="007424EE">
        <w:t>: Technologie-Stack der Implementierung</w:t>
      </w:r>
      <w:bookmarkEnd w:id="40"/>
    </w:p>
    <w:tbl>
      <w:tblPr>
        <w:tblStyle w:val="af4"/>
        <w:tblW w:w="0" w:type="auto"/>
        <w:tblLook w:val="04A0" w:firstRow="1" w:lastRow="0" w:firstColumn="1" w:lastColumn="0" w:noHBand="0" w:noVBand="1"/>
      </w:tblPr>
      <w:tblGrid>
        <w:gridCol w:w="1962"/>
        <w:gridCol w:w="1975"/>
        <w:gridCol w:w="1303"/>
        <w:gridCol w:w="3821"/>
      </w:tblGrid>
      <w:tr w:rsidR="008D4CEF" w14:paraId="0FE87F6C" w14:textId="77777777" w:rsidTr="00674210">
        <w:tc>
          <w:tcPr>
            <w:tcW w:w="1962" w:type="dxa"/>
          </w:tcPr>
          <w:p w14:paraId="5120C1C2" w14:textId="77777777" w:rsidR="008D4CEF" w:rsidRDefault="00000000">
            <w:r>
              <w:rPr>
                <w:b/>
              </w:rPr>
              <w:t>Komponente</w:t>
            </w:r>
          </w:p>
        </w:tc>
        <w:tc>
          <w:tcPr>
            <w:tcW w:w="1975" w:type="dxa"/>
          </w:tcPr>
          <w:p w14:paraId="70B60857" w14:textId="77777777" w:rsidR="008D4CEF" w:rsidRDefault="00000000">
            <w:r>
              <w:rPr>
                <w:b/>
              </w:rPr>
              <w:t>Werkzeug/Bibliothek</w:t>
            </w:r>
          </w:p>
        </w:tc>
        <w:tc>
          <w:tcPr>
            <w:tcW w:w="1303" w:type="dxa"/>
          </w:tcPr>
          <w:p w14:paraId="126ADBC8" w14:textId="77777777" w:rsidR="008D4CEF" w:rsidRDefault="00000000">
            <w:r>
              <w:rPr>
                <w:b/>
              </w:rPr>
              <w:t>Version</w:t>
            </w:r>
          </w:p>
        </w:tc>
        <w:tc>
          <w:tcPr>
            <w:tcW w:w="3821" w:type="dxa"/>
          </w:tcPr>
          <w:p w14:paraId="287E49F8" w14:textId="77777777" w:rsidR="008D4CEF" w:rsidRDefault="00000000">
            <w:r>
              <w:rPr>
                <w:b/>
              </w:rPr>
              <w:t>Funktion</w:t>
            </w:r>
          </w:p>
        </w:tc>
      </w:tr>
      <w:tr w:rsidR="008D4CEF" w14:paraId="32E90D26" w14:textId="77777777" w:rsidTr="00674210">
        <w:tc>
          <w:tcPr>
            <w:tcW w:w="1962" w:type="dxa"/>
          </w:tcPr>
          <w:p w14:paraId="656CFAEB" w14:textId="77777777" w:rsidR="008D4CEF" w:rsidRDefault="00000000">
            <w:r>
              <w:t>Programmiersprache</w:t>
            </w:r>
          </w:p>
        </w:tc>
        <w:tc>
          <w:tcPr>
            <w:tcW w:w="1975" w:type="dxa"/>
          </w:tcPr>
          <w:p w14:paraId="20E2FB6A" w14:textId="77777777" w:rsidR="008D4CEF" w:rsidRDefault="00000000">
            <w:r>
              <w:t>Python</w:t>
            </w:r>
          </w:p>
        </w:tc>
        <w:tc>
          <w:tcPr>
            <w:tcW w:w="1303" w:type="dxa"/>
          </w:tcPr>
          <w:p w14:paraId="3ED3D684" w14:textId="77777777" w:rsidR="008D4CEF" w:rsidRDefault="00000000">
            <w:r>
              <w:t>3.9</w:t>
            </w:r>
          </w:p>
        </w:tc>
        <w:tc>
          <w:tcPr>
            <w:tcW w:w="3821" w:type="dxa"/>
          </w:tcPr>
          <w:p w14:paraId="5FD96AF4" w14:textId="77777777" w:rsidR="008D4CEF" w:rsidRDefault="00000000">
            <w:r>
              <w:t>Implementierungssprache</w:t>
            </w:r>
          </w:p>
        </w:tc>
      </w:tr>
      <w:tr w:rsidR="008D4CEF" w14:paraId="516D2A15" w14:textId="77777777" w:rsidTr="00674210">
        <w:tc>
          <w:tcPr>
            <w:tcW w:w="1962" w:type="dxa"/>
          </w:tcPr>
          <w:p w14:paraId="31AA43F8" w14:textId="77777777" w:rsidR="008D4CEF" w:rsidRDefault="00000000">
            <w:r>
              <w:t>Agent-Orchestrierung</w:t>
            </w:r>
          </w:p>
        </w:tc>
        <w:tc>
          <w:tcPr>
            <w:tcW w:w="1975" w:type="dxa"/>
          </w:tcPr>
          <w:p w14:paraId="6BFE60C6" w14:textId="77777777" w:rsidR="008D4CEF" w:rsidRDefault="00000000">
            <w:r>
              <w:t>LangGraph</w:t>
            </w:r>
          </w:p>
        </w:tc>
        <w:tc>
          <w:tcPr>
            <w:tcW w:w="1303" w:type="dxa"/>
          </w:tcPr>
          <w:p w14:paraId="18D38A69" w14:textId="77777777" w:rsidR="008D4CEF" w:rsidRDefault="00000000">
            <w:r>
              <w:t>0.6.11</w:t>
            </w:r>
          </w:p>
        </w:tc>
        <w:tc>
          <w:tcPr>
            <w:tcW w:w="3821" w:type="dxa"/>
          </w:tcPr>
          <w:p w14:paraId="0671A900" w14:textId="77777777" w:rsidR="008D4CEF" w:rsidRDefault="00000000">
            <w:r>
              <w:t>Zustandsgraph-basierte Pipeline-Steuerung mit bedingten Übergängen</w:t>
            </w:r>
          </w:p>
        </w:tc>
      </w:tr>
      <w:tr w:rsidR="008D4CEF" w14:paraId="7020A0F6" w14:textId="77777777" w:rsidTr="00674210">
        <w:tc>
          <w:tcPr>
            <w:tcW w:w="1962" w:type="dxa"/>
          </w:tcPr>
          <w:p w14:paraId="63F45399" w14:textId="77777777" w:rsidR="008D4CEF" w:rsidRDefault="00000000">
            <w:r>
              <w:t>LLM-Anbindung</w:t>
            </w:r>
          </w:p>
        </w:tc>
        <w:tc>
          <w:tcPr>
            <w:tcW w:w="1975" w:type="dxa"/>
          </w:tcPr>
          <w:p w14:paraId="2F380AF8" w14:textId="77777777" w:rsidR="008D4CEF" w:rsidRPr="00301066" w:rsidRDefault="00000000">
            <w:pPr>
              <w:rPr>
                <w:lang w:val="en-US"/>
              </w:rPr>
            </w:pPr>
            <w:r w:rsidRPr="00301066">
              <w:rPr>
                <w:lang w:val="en-US"/>
              </w:rPr>
              <w:t>LangChain (langchain-core, langchain-openai)</w:t>
            </w:r>
          </w:p>
        </w:tc>
        <w:tc>
          <w:tcPr>
            <w:tcW w:w="1303" w:type="dxa"/>
          </w:tcPr>
          <w:p w14:paraId="1409A5A3" w14:textId="77777777" w:rsidR="008D4CEF" w:rsidRDefault="00000000">
            <w:r>
              <w:t>0.3.86 / 0.3.28</w:t>
            </w:r>
          </w:p>
        </w:tc>
        <w:tc>
          <w:tcPr>
            <w:tcW w:w="3821" w:type="dxa"/>
          </w:tcPr>
          <w:p w14:paraId="51241403" w14:textId="77777777" w:rsidR="008D4CEF" w:rsidRDefault="00000000">
            <w:r>
              <w:t>Schnittstelle zum Sprachmodell</w:t>
            </w:r>
          </w:p>
        </w:tc>
      </w:tr>
      <w:tr w:rsidR="008D4CEF" w14:paraId="0B30D753" w14:textId="77777777" w:rsidTr="00674210">
        <w:tc>
          <w:tcPr>
            <w:tcW w:w="1962" w:type="dxa"/>
          </w:tcPr>
          <w:p w14:paraId="2ECBF075" w14:textId="77777777" w:rsidR="008D4CEF" w:rsidRDefault="00000000">
            <w:r>
              <w:lastRenderedPageBreak/>
              <w:t>Graphtraversierung</w:t>
            </w:r>
          </w:p>
        </w:tc>
        <w:tc>
          <w:tcPr>
            <w:tcW w:w="1975" w:type="dxa"/>
          </w:tcPr>
          <w:p w14:paraId="60D49257" w14:textId="77777777" w:rsidR="008D4CEF" w:rsidRDefault="00000000">
            <w:r>
              <w:t>NetworkX</w:t>
            </w:r>
          </w:p>
        </w:tc>
        <w:tc>
          <w:tcPr>
            <w:tcW w:w="1303" w:type="dxa"/>
          </w:tcPr>
          <w:p w14:paraId="55FF0BA4" w14:textId="77777777" w:rsidR="008D4CEF" w:rsidRDefault="00000000">
            <w:r>
              <w:t>3.2.1</w:t>
            </w:r>
          </w:p>
        </w:tc>
        <w:tc>
          <w:tcPr>
            <w:tcW w:w="3821" w:type="dxa"/>
          </w:tcPr>
          <w:p w14:paraId="346E6BF8" w14:textId="77777777" w:rsidR="008D4CEF" w:rsidRDefault="00000000">
            <w:r>
              <w:t>BFS-Ausbreitung im Lieferkettengraphen (Abschnitt 3.4)</w:t>
            </w:r>
          </w:p>
        </w:tc>
      </w:tr>
      <w:tr w:rsidR="008D4CEF" w14:paraId="37CFEDB7" w14:textId="77777777" w:rsidTr="00674210">
        <w:tc>
          <w:tcPr>
            <w:tcW w:w="1962" w:type="dxa"/>
          </w:tcPr>
          <w:p w14:paraId="6BC1308A" w14:textId="77777777" w:rsidR="008D4CEF" w:rsidRDefault="00000000">
            <w:r>
              <w:t>Datenverarbeitung</w:t>
            </w:r>
          </w:p>
        </w:tc>
        <w:tc>
          <w:tcPr>
            <w:tcW w:w="1975" w:type="dxa"/>
          </w:tcPr>
          <w:p w14:paraId="6D701079" w14:textId="77777777" w:rsidR="008D4CEF" w:rsidRDefault="00000000">
            <w:r>
              <w:t>Pandas</w:t>
            </w:r>
          </w:p>
        </w:tc>
        <w:tc>
          <w:tcPr>
            <w:tcW w:w="1303" w:type="dxa"/>
          </w:tcPr>
          <w:p w14:paraId="7F34D2D6" w14:textId="77777777" w:rsidR="008D4CEF" w:rsidRDefault="00000000">
            <w:r>
              <w:t>2.3.3</w:t>
            </w:r>
          </w:p>
        </w:tc>
        <w:tc>
          <w:tcPr>
            <w:tcW w:w="3821" w:type="dxa"/>
          </w:tcPr>
          <w:p w14:paraId="288956B4" w14:textId="77777777" w:rsidR="008D4CEF" w:rsidRDefault="00000000">
            <w:r>
              <w:t>Tabellarische Verarbeitung der NAATBatt-Daten (Abschnitt 4.2)</w:t>
            </w:r>
          </w:p>
        </w:tc>
      </w:tr>
      <w:tr w:rsidR="008D4CEF" w14:paraId="79655AF8" w14:textId="77777777" w:rsidTr="00674210">
        <w:tc>
          <w:tcPr>
            <w:tcW w:w="1962" w:type="dxa"/>
          </w:tcPr>
          <w:p w14:paraId="3EDF5368" w14:textId="77777777" w:rsidR="008D4CEF" w:rsidRDefault="00000000">
            <w:r>
              <w:t>Benutzeroberfläche</w:t>
            </w:r>
          </w:p>
        </w:tc>
        <w:tc>
          <w:tcPr>
            <w:tcW w:w="1975" w:type="dxa"/>
          </w:tcPr>
          <w:p w14:paraId="188F9307" w14:textId="77777777" w:rsidR="008D4CEF" w:rsidRDefault="00000000">
            <w:r>
              <w:t>Streamlit</w:t>
            </w:r>
          </w:p>
        </w:tc>
        <w:tc>
          <w:tcPr>
            <w:tcW w:w="1303" w:type="dxa"/>
          </w:tcPr>
          <w:p w14:paraId="570829A4" w14:textId="77777777" w:rsidR="008D4CEF" w:rsidRDefault="00000000">
            <w:r>
              <w:t>1.50.0</w:t>
            </w:r>
          </w:p>
        </w:tc>
        <w:tc>
          <w:tcPr>
            <w:tcW w:w="3821" w:type="dxa"/>
          </w:tcPr>
          <w:p w14:paraId="6F3257F6" w14:textId="77777777" w:rsidR="008D4CEF" w:rsidRDefault="00000000">
            <w:r>
              <w:t>Interaktive Weboberfläche (Abschnitt 4.4)</w:t>
            </w:r>
          </w:p>
        </w:tc>
      </w:tr>
      <w:tr w:rsidR="008D4CEF" w14:paraId="1796E055" w14:textId="77777777" w:rsidTr="00674210">
        <w:tc>
          <w:tcPr>
            <w:tcW w:w="1962" w:type="dxa"/>
          </w:tcPr>
          <w:p w14:paraId="405FDDCC" w14:textId="77777777" w:rsidR="008D4CEF" w:rsidRDefault="00000000">
            <w:r>
              <w:t>Sprachmodell</w:t>
            </w:r>
          </w:p>
        </w:tc>
        <w:tc>
          <w:tcPr>
            <w:tcW w:w="1975" w:type="dxa"/>
          </w:tcPr>
          <w:p w14:paraId="38CC9EC5" w14:textId="77777777" w:rsidR="008D4CEF" w:rsidRDefault="00000000">
            <w:r>
              <w:t>Mistral-Small-3.2-24B-Instruct</w:t>
            </w:r>
          </w:p>
        </w:tc>
        <w:tc>
          <w:tcPr>
            <w:tcW w:w="1303" w:type="dxa"/>
          </w:tcPr>
          <w:p w14:paraId="1CF3C63B" w14:textId="77777777" w:rsidR="008D4CEF" w:rsidRDefault="00000000">
            <w:r>
              <w:t>—</w:t>
            </w:r>
          </w:p>
        </w:tc>
        <w:tc>
          <w:tcPr>
            <w:tcW w:w="3821" w:type="dxa"/>
          </w:tcPr>
          <w:p w14:paraId="4F089708" w14:textId="77777777" w:rsidR="008D4CEF" w:rsidRDefault="00000000">
            <w:r>
              <w:t>Sprachliche Verarbeitung in Intake, Risk Assessment, Synthesis und Validation, bereitgestellt über das FAU-Hochleistungsrechenzentrum</w:t>
            </w:r>
          </w:p>
        </w:tc>
      </w:tr>
    </w:tbl>
    <w:p w14:paraId="1228C8DD" w14:textId="77777777" w:rsidR="008D4CEF" w:rsidRPr="00577E58" w:rsidRDefault="00000000" w:rsidP="00577E58">
      <w:pPr>
        <w:pStyle w:val="2"/>
      </w:pPr>
      <w:bookmarkStart w:id="41" w:name="_Toc238658061"/>
      <w:r w:rsidRPr="00577E58">
        <w:t>Datenbasis: NAATBatt-Datenbank</w:t>
      </w:r>
      <w:bookmarkEnd w:id="41"/>
    </w:p>
    <w:p w14:paraId="41AE91AA" w14:textId="77777777" w:rsidR="008D4CEF" w:rsidRDefault="00000000" w:rsidP="00674210">
      <w:pPr>
        <w:pStyle w:val="3"/>
      </w:pPr>
      <w:bookmarkStart w:id="42" w:name="_Toc238658062"/>
      <w:r>
        <w:t>Ausgangsdaten und Aufbereitung</w:t>
      </w:r>
      <w:bookmarkEnd w:id="42"/>
    </w:p>
    <w:p w14:paraId="6116F641" w14:textId="77777777" w:rsidR="008D4CEF" w:rsidRDefault="00000000">
      <w:r>
        <w:t>Als Datenbasis dient die NAATBatt North American Lithium-Ion Battery Supply Chain Database (Stand März 2026) [23], ein von NREL und NAATBatt International gepflegtes Verzeichnis nordamerikanischer Anlagen der Batterie-Lieferkette. Die Datenbank enthält Angaben zu Unternehmen, Standort, Lieferkettenstufe, Produkttyp und, für einen Teil der Anlagen, Produktionskapazität; Lieferbeziehungen zwischen den Anlagen enthält sie nicht, wie in Abschnitt 3.1 dargelegt.</w:t>
      </w:r>
    </w:p>
    <w:p w14:paraId="48F2111A" w14:textId="77777777" w:rsidR="008D4CEF" w:rsidRDefault="00000000">
      <w:r>
        <w:t>Aus den ursprünglich 1280 Datensätzen entsteht durch eine dreistufige Filterung die Grundlage dieser Arbeit: Der Status „Commercial" (Ausschluss geplanter, im Bau befindlicher oder eingestellter Anlagen), die geografische Begrenzung auf die Vereinigten Staaten, Kanada und Mexiko sowie das Vorliegen einer gültigen Positionsangabe. Übrig bleiben 386 Anlagen. Die Datenbank unterteilt die Lieferkettenstufe „Midstream" nicht weiter; die in Abschnitt 3.4.1 eingeführte Modellierung unterscheidet an dieser Stelle zwischen Batteriematerial-Verarbeitung (Midstream-BGM) und Zellfertigung (Midstream-Cell). Diese Aufteilung erfolgt anhand von Schlüsselwörtern im Produkttyp-Feld.</w:t>
      </w:r>
    </w:p>
    <w:p w14:paraId="0986E518" w14:textId="77777777" w:rsidR="008D4CEF" w:rsidRDefault="00000000">
      <w:r>
        <w:t>Mehrere Felder, die in die spätere Risikoberechnung eingehen, sind in der Rohdatenbank nicht enthalten und werden bei der Aufbereitung ergänzt: Materialschlüsselwörter aus dem Produktfeld, eine binäre Einstufung der Importabhängigkeit und der Lieferantenkonzentration je Material auf Basis von Literaturschwellenwerten [2] [3], sowie eine gewichtete, materialspezifische Herkunftsregion. Für Letztere zieht die Implementierung für jede Anlage und jedes zugeordnete Material unabhängig eine Zufallsstichprobe aus einer literaturbasierten Verteilung der Länderanteile an der weltweiten Förderung, mit festem, aus Anlagen-ID und Material abgeleitetem Zufallssaat zur Reproduzierbarkeit. Diese Verteilung ist für die fünf ursprünglich modellierten Rohstoffe differenziert nach einzelnen Ländern hinterlegt, darunter für Lithium vier benannte Herkunftsländer (Australien, Chile, China, Argentinien) an Stelle einer zuvor undifferenzierten Sammelkategorie.</w:t>
      </w:r>
      <w:r/>
    </w:p>
    <w:p w14:paraId="170F8A9C" w14:textId="77777777" w:rsidR="008D4CEF" w:rsidRDefault="00000000" w:rsidP="00674210">
      <w:pPr>
        <w:pStyle w:val="3"/>
      </w:pPr>
      <w:bookmarkStart w:id="43" w:name="_Toc238658063"/>
      <w:r>
        <w:t>Konstruktion des Lieferkettengraphen</w:t>
      </w:r>
      <w:bookmarkEnd w:id="43"/>
    </w:p>
    <w:p w14:paraId="4A4541B0" w14:textId="77777777" w:rsidR="008D4CEF" w:rsidRDefault="00000000">
      <w:r>
        <w:t>Der in Abschnitt 3.4.1 beschriebene Graph mit 386 Knoten und 1020 Kanten entsteht in drei Schichten entlang der Lieferkettenstufen. Von Upstream- zu Midstream-BGM-Anlagen sowie von Midstream-BGM- zu Midstream-Cell-Anlagen erfolgt die Kantenbildung über einen kombinierten Materialschlüsselwort- und Entfernungsabgleich: Eine Kante entsteht zwischen einer Anlage und den sechs geografisch nächsten Anlagen der jeweils nachgelagerten Stufe, deren Materialprofil zum eigenen passt. Von Midstream-Cell- zu Downstream-Anlagen erfolgt die Kantenbildung rein geografisch, ergänzt um eine reproduzierbare Zufallsstichprobe entfernterer Anlagen zur Abbildung überregionaler Lieferbeziehungen. Vier zusätzliche Kanten beruhen nicht auf dieser Simulation, sondern auf eigens recherchierten, öffentlich belegten realen Lieferbeziehungen und tragen im Graphen eine gesonderte Kennzeichnung.</w:t>
      </w:r>
    </w:p>
    <w:p w14:paraId="5DF5CD8F" w14:textId="77777777" w:rsidR="008D4CEF" w:rsidRDefault="00000000" w:rsidP="00674210">
      <w:pPr>
        <w:pStyle w:val="3"/>
      </w:pPr>
      <w:bookmarkStart w:id="44" w:name="_Toc238658064"/>
      <w:r>
        <w:t>Klassifikation der Datenherkunft</w:t>
      </w:r>
      <w:bookmarkEnd w:id="44"/>
    </w:p>
    <w:p w14:paraId="410F3992" w14:textId="1EFE0906" w:rsidR="008D4CEF" w:rsidRPr="007424EE" w:rsidRDefault="00000000" w:rsidP="007424EE">
      <w:pPr>
        <w:rPr>
          <w:lang w:eastAsia="zh-CN"/>
        </w:rPr>
      </w:pPr>
      <w:r>
        <w:t xml:space="preserve">Der in Abschnitt 3.1 als nicht-funktionale Anforderung festgelegten Nachvollziehbarkeit der Datenherkunft entspricht die Implementierung durch eine durchgängige Klassifikation jedes abgeleiteten Datenfelds in eine von drei Kategorien: reale, unverändert aus der NAATBatt-Datenbank übernommene Erhebung; simulierte Annäherung an eine real existierende, in der Datenbank nicht erfasste Größe (etwa die Lieferbeziehungen selbst); sowie bewusste Modellvereinfachung durch eine regelbasierte Näherung an Stelle einer anlagenspezifischen Messung (etwa die Einstufung der Importabhängigkeit). Nur etwa sechsunddreißig Prozent der Anlagen besitzen einen erhobenen Kapazitätswert; für die übrigen kennzeichnet die Implementierung diesen Wert explizit als unbekannt, statt ihn als Null zu behandeln. Diese Unterscheidung wirkt sich direkt auf die in Abschnitt 4.3.3 hergeleitete RiskScore-Berechnung aus. </w:t>
      </w:r>
      <w:r w:rsidR="00F32081">
        <w:fldChar w:fldCharType="begin"/>
      </w:r>
      <w:r w:rsidR="00F32081">
        <w:instrText xml:space="preserve"> REF _Ref238424250 \h </w:instrText>
      </w:r>
      <w:r w:rsidR="00F32081">
        <w:fldChar w:fldCharType="separate"/>
      </w:r>
      <w:r w:rsidR="007B3711">
        <w:t xml:space="preserve">Tabelle </w:t>
      </w:r>
      <w:r w:rsidR="007B3711">
        <w:rPr>
          <w:noProof/>
        </w:rPr>
        <w:t>2</w:t>
      </w:r>
      <w:r w:rsidR="00F32081">
        <w:fldChar w:fldCharType="end"/>
      </w:r>
      <w:r>
        <w:t xml:space="preserve"> ordnet die zentralen Datenfelder den drei Kategorien zu.</w:t>
      </w:r>
    </w:p>
    <w:p w14:paraId="569597CA" w14:textId="489B16FF" w:rsidR="007424EE" w:rsidRDefault="007424EE" w:rsidP="007424EE">
      <w:pPr>
        <w:pStyle w:val="a6"/>
        <w:keepNext/>
      </w:pPr>
      <w:bookmarkStart w:id="45" w:name="_Ref238424250"/>
      <w:bookmarkStart w:id="46" w:name="_Toc238658090"/>
      <w:r>
        <w:t xml:space="preserve">Tabelle </w:t>
      </w:r>
      <w:fldSimple w:instr=" SEQ Tabelle \* ARABIC ">
        <w:r w:rsidR="007B3711">
          <w:rPr>
            <w:noProof/>
          </w:rPr>
          <w:t>2</w:t>
        </w:r>
      </w:fldSimple>
      <w:bookmarkEnd w:id="45"/>
      <w:r w:rsidRPr="00674210">
        <w:rPr>
          <w:iCs/>
        </w:rPr>
        <w:t>: Klassifikation zentraler Datenfelder nach Datenherkunft.</w:t>
      </w:r>
      <w:bookmarkEnd w:id="46"/>
    </w:p>
    <w:tbl>
      <w:tblPr>
        <w:tblStyle w:val="af4"/>
        <w:tblW w:w="0" w:type="auto"/>
        <w:tblLook w:val="04A0" w:firstRow="1" w:lastRow="0" w:firstColumn="1" w:lastColumn="0" w:noHBand="0" w:noVBand="1"/>
      </w:tblPr>
      <w:tblGrid>
        <w:gridCol w:w="1980"/>
        <w:gridCol w:w="3402"/>
        <w:gridCol w:w="3679"/>
      </w:tblGrid>
      <w:tr w:rsidR="008D4CEF" w14:paraId="1DC16CFF" w14:textId="77777777" w:rsidTr="00674210">
        <w:tc>
          <w:tcPr>
            <w:tcW w:w="1980" w:type="dxa"/>
          </w:tcPr>
          <w:p w14:paraId="00205C8D" w14:textId="77777777" w:rsidR="008D4CEF" w:rsidRDefault="00000000">
            <w:r>
              <w:rPr>
                <w:b/>
              </w:rPr>
              <w:t>Kategorie</w:t>
            </w:r>
          </w:p>
        </w:tc>
        <w:tc>
          <w:tcPr>
            <w:tcW w:w="3402" w:type="dxa"/>
          </w:tcPr>
          <w:p w14:paraId="748B3DC6" w14:textId="77777777" w:rsidR="008D4CEF" w:rsidRDefault="00000000">
            <w:r>
              <w:rPr>
                <w:b/>
              </w:rPr>
              <w:t>Beispielhafte Felder</w:t>
            </w:r>
          </w:p>
        </w:tc>
        <w:tc>
          <w:tcPr>
            <w:tcW w:w="3679" w:type="dxa"/>
          </w:tcPr>
          <w:p w14:paraId="1CCDC9BF" w14:textId="77777777" w:rsidR="008D4CEF" w:rsidRDefault="00000000">
            <w:r>
              <w:rPr>
                <w:b/>
              </w:rPr>
              <w:t>Grundlage</w:t>
            </w:r>
          </w:p>
        </w:tc>
      </w:tr>
      <w:tr w:rsidR="008D4CEF" w14:paraId="24D4332F" w14:textId="77777777" w:rsidTr="00674210">
        <w:tc>
          <w:tcPr>
            <w:tcW w:w="1980" w:type="dxa"/>
          </w:tcPr>
          <w:p w14:paraId="207F267D" w14:textId="77777777" w:rsidR="008D4CEF" w:rsidRDefault="00000000">
            <w:r>
              <w:t>Reale Daten</w:t>
            </w:r>
          </w:p>
        </w:tc>
        <w:tc>
          <w:tcPr>
            <w:tcW w:w="3402" w:type="dxa"/>
          </w:tcPr>
          <w:p w14:paraId="48F4578F" w14:textId="77777777" w:rsidR="008D4CEF" w:rsidRDefault="00000000">
            <w:r>
              <w:t>Lieferkettenstufe, Standort, Unternehmensname, Produktionskapazität (36 % der Anlagen), 4 von 1020 Graphkanten</w:t>
            </w:r>
          </w:p>
        </w:tc>
        <w:tc>
          <w:tcPr>
            <w:tcW w:w="3679" w:type="dxa"/>
          </w:tcPr>
          <w:p w14:paraId="60CFF418" w14:textId="77777777" w:rsidR="008D4CEF" w:rsidRDefault="00000000">
            <w:r>
              <w:t>Unverändert aus der NAATBatt-Datenbank übernommen bzw. extern recherchiert und verifiziert</w:t>
            </w:r>
          </w:p>
        </w:tc>
      </w:tr>
      <w:tr w:rsidR="008D4CEF" w14:paraId="6BF28145" w14:textId="77777777" w:rsidTr="00674210">
        <w:tc>
          <w:tcPr>
            <w:tcW w:w="1980" w:type="dxa"/>
          </w:tcPr>
          <w:p w14:paraId="7BBC4C37" w14:textId="77777777" w:rsidR="008D4CEF" w:rsidRDefault="00000000">
            <w:r>
              <w:lastRenderedPageBreak/>
              <w:t>Simulierte Annäherung</w:t>
            </w:r>
          </w:p>
        </w:tc>
        <w:tc>
          <w:tcPr>
            <w:tcW w:w="3402" w:type="dxa"/>
          </w:tcPr>
          <w:p w14:paraId="01C4D863" w14:textId="77777777" w:rsidR="008D4CEF" w:rsidRDefault="00000000">
            <w:r>
              <w:t>1016 von 1020 Graphkanten, materialspezifische Herkunftsregion</w:t>
            </w:r>
          </w:p>
        </w:tc>
        <w:tc>
          <w:tcPr>
            <w:tcW w:w="3679" w:type="dxa"/>
          </w:tcPr>
          <w:p w14:paraId="77AE11EC" w14:textId="77777777" w:rsidR="008D4CEF" w:rsidRDefault="00000000">
            <w:r>
              <w:t>Materialschlüsselwort- und Entfernungsabgleich (Abschnitt 4.2.2) bzw. literaturbasierte Länderverteilung</w:t>
            </w:r>
          </w:p>
        </w:tc>
      </w:tr>
      <w:tr w:rsidR="008D4CEF" w14:paraId="35B00DF9" w14:textId="77777777" w:rsidTr="00674210">
        <w:tc>
          <w:tcPr>
            <w:tcW w:w="1980" w:type="dxa"/>
          </w:tcPr>
          <w:p w14:paraId="51563278" w14:textId="77777777" w:rsidR="008D4CEF" w:rsidRDefault="00000000">
            <w:r>
              <w:t>Modellvereinfachung</w:t>
            </w:r>
          </w:p>
        </w:tc>
        <w:tc>
          <w:tcPr>
            <w:tcW w:w="3402" w:type="dxa"/>
          </w:tcPr>
          <w:p w14:paraId="72DB0FEA" w14:textId="77777777" w:rsidR="008D4CEF" w:rsidRDefault="00000000">
            <w:r>
              <w:t>Importabhängigkeit, Lieferantenkonzentration, LeadTimeNorm, SingleSourceDependency, CapacityShare-Standardwert</w:t>
            </w:r>
          </w:p>
        </w:tc>
        <w:tc>
          <w:tcPr>
            <w:tcW w:w="3679" w:type="dxa"/>
          </w:tcPr>
          <w:p w14:paraId="58FE7A8B" w14:textId="77777777" w:rsidR="008D4CEF" w:rsidRDefault="00000000">
            <w:r>
              <w:t>Regelbasierte Näherung an Stelle einer anlagenspezifischen Messung, auf Basis von Literaturschwellenwerten [2] [3]</w:t>
            </w:r>
          </w:p>
        </w:tc>
      </w:tr>
    </w:tbl>
    <w:p w14:paraId="3E14DD61" w14:textId="77777777" w:rsidR="008D4CEF" w:rsidRPr="00577E58" w:rsidRDefault="00000000" w:rsidP="00577E58">
      <w:pPr>
        <w:pStyle w:val="2"/>
      </w:pPr>
      <w:bookmarkStart w:id="47" w:name="_Toc238658065"/>
      <w:r w:rsidRPr="00577E58">
        <w:t>Implementierung der Agenten</w:t>
      </w:r>
      <w:bookmarkEnd w:id="47"/>
    </w:p>
    <w:p w14:paraId="417D9680" w14:textId="77777777" w:rsidR="008D4CEF" w:rsidRDefault="00000000" w:rsidP="00674210">
      <w:pPr>
        <w:pStyle w:val="3"/>
      </w:pPr>
      <w:bookmarkStart w:id="48" w:name="_Toc238658066"/>
      <w:r>
        <w:t>Merkmalsextraktion und Klassifikation (Intake, Risk Assessment)</w:t>
      </w:r>
      <w:bookmarkEnd w:id="48"/>
    </w:p>
    <w:p w14:paraId="0A037230" w14:textId="77777777" w:rsidR="008D4CEF" w:rsidRDefault="00000000">
      <w:r>
        <w:t>Intake Agent und Risk Assessment Agent erhalten denselben Ereignistext und formulieren ihre jeweilige Aufgabe als strukturierte JSON-Ausgabe eines einzelnen Modellaufrufs. Für die Materialbezeichnung gilt dabei eine feste, im Prompt vorgegebene Kanonisierung: Die Implementierung erwartet stets die vollständige, offizielle Länderbezeichnung an Stelle gängiger Kurzformen, da der nachfolgende Abgleich gegen die Herkunftsdaten aus Abschnitt 4.2 auf exakter Übereinstimmung beruht. Für Ereignisse innerhalb Nordamerikas gilt die Bundesstaats- oder Provinzebene als erforderliche Granularität, für Ereignisse außerhalb Nordamerikas die Länderebene. Diese Unterscheidung ergibt sich aus der jeweils vorliegenden Granularität der jeweils verglichenen Daten: Die eigenen Anlagenstandorte sind innerhalb Nordamerikas bundesstaatsgenau erfasst, die Herkunftsdaten aus Abschnitt 4.2 dagegen ausschließlich ländergenau.</w:t>
      </w:r>
    </w:p>
    <w:p w14:paraId="41404C11" w14:textId="77777777" w:rsidR="008D4CEF" w:rsidRDefault="00000000">
      <w:r>
        <w:t>Die drei Ausgaben des Risk Assessment Agent (Schweregrad, Risikoart, Lieferkettenstufe des Ursprungs) durchlaufen unmittelbar nach dem Modellaufruf eine Prüfung gegen den jeweils zulässigen Wertebereich (Abschnitt 3.3.2): Der Schweregrad erfährt eine Begrenzung auf die Werteskala eins bis fünf, ein nicht vorgesehener Bezeichner für die Lieferkettenstufe eine Ersetzung durch einen dokumentierten Standardwert.</w:t>
      </w:r>
    </w:p>
    <w:p w14:paraId="5AB2FD98" w14:textId="77777777" w:rsidR="008D4CEF" w:rsidRDefault="00000000" w:rsidP="00674210">
      <w:pPr>
        <w:pStyle w:val="3"/>
      </w:pPr>
      <w:bookmarkStart w:id="49" w:name="_Toc238658067"/>
      <w:r>
        <w:t>Bestimmung der betroffenen Anlagen (Network, Data Retrieval)</w:t>
      </w:r>
      <w:bookmarkEnd w:id="49"/>
    </w:p>
    <w:p w14:paraId="1FB78CC2" w14:textId="77777777" w:rsidR="008D4CEF" w:rsidRDefault="00000000">
      <w:r>
        <w:t>Die drei Seed-Strategien und der Ausbreitungsmechanismus des Network Agent entsprechen der Beschreibung in Abschnitt 3.4. Für Strategie C erfolgt der deterministische Abgleich der genannten Region gegen Stadt-, Bundesstaats- und Landesfeld der Anlagen mit bidirektionaler Auflösung gängiger Abkürzungen (etwa zwischen „QC" und „Quebec"), da ein einfacher Teilstring-Vergleich für die Mehrzahl solcher Fälle keine Übereinstimmung liefert. Der Data Retrieval Agent reichert jede so gefundene Anlage anschließend mit den für die folgende Berechnung nötigen Kennzahlen an.</w:t>
      </w:r>
    </w:p>
    <w:p w14:paraId="5F9FAE77" w14:textId="77777777" w:rsidR="008D4CEF" w:rsidRDefault="00000000" w:rsidP="00674210">
      <w:pPr>
        <w:pStyle w:val="3"/>
      </w:pPr>
      <w:bookmarkStart w:id="50" w:name="_Toc238658068"/>
      <w:r>
        <w:lastRenderedPageBreak/>
        <w:t>RiskScore-Berechnung</w:t>
      </w:r>
      <w:bookmarkEnd w:id="50"/>
    </w:p>
    <w:p w14:paraId="62660F36" w14:textId="751FDE52" w:rsidR="00BC5F33" w:rsidRDefault="00000000">
      <w:pPr>
        <w:rPr>
          <w:lang w:eastAsia="zh-CN"/>
        </w:rPr>
      </w:pPr>
      <w:r>
        <w:t>Für jede betroffene Anlage berechnet der Synthesis Agent im deterministischen Teil seiner Aufgabe (Abschnitt 3.3.5) einen Risikowert nach folgender Formel:</w:t>
      </w:r>
    </w:p>
    <w:tbl>
      <w:tblPr>
        <w:tblStyle w:val="Tabellengitternetz"/>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6996"/>
        <w:gridCol w:w="1021"/>
      </w:tblGrid>
      <w:tr w:rsidR="00BC5F33" w:rsidRPr="00570598" w14:paraId="673B83FA" w14:textId="77777777" w:rsidTr="00BC5F33">
        <w:tc>
          <w:tcPr>
            <w:tcW w:w="959" w:type="dxa"/>
          </w:tcPr>
          <w:p w14:paraId="775CE180" w14:textId="77777777" w:rsidR="00BC5F33" w:rsidRPr="00570598" w:rsidRDefault="00BC5F33" w:rsidP="00277BD7">
            <w:pPr>
              <w:keepNext/>
            </w:pPr>
          </w:p>
        </w:tc>
        <w:tc>
          <w:tcPr>
            <w:tcW w:w="7229" w:type="dxa"/>
          </w:tcPr>
          <w:p w14:paraId="7C9A16D7" w14:textId="77777777" w:rsidR="00BC5F33" w:rsidRPr="00BC5F33" w:rsidRDefault="00BC5F33" w:rsidP="00BC5F33">
            <w:pPr>
              <w:rPr>
                <w:rFonts w:ascii="Cambria Math" w:hAnsi="Cambria Math"/>
                <w:lang w:eastAsia="zh-CN"/>
                <w:oMath/>
              </w:rPr>
            </w:pPr>
            <m:oMathPara>
              <m:oMathParaPr>
                <m:jc m:val="left"/>
              </m:oMathParaPr>
              <m:oMath>
                <m:r>
                  <w:rPr>
                    <w:rFonts w:ascii="Cambria Math" w:hAnsi="Cambria Math"/>
                    <w:lang w:eastAsia="zh-CN"/>
                  </w:rPr>
                  <m:t>RiskScor</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roh</m:t>
                    </m:r>
                  </m:sub>
                </m:sSub>
                <m:r>
                  <w:rPr>
                    <w:rFonts w:ascii="Cambria Math" w:hAnsi="Cambria Math"/>
                    <w:lang w:eastAsia="zh-CN"/>
                  </w:rPr>
                  <m:t xml:space="preserve">= Severity · TierWeight · Vulnerability · </m:t>
                </m:r>
                <m:d>
                  <m:dPr>
                    <m:ctrlPr>
                      <w:rPr>
                        <w:rFonts w:ascii="Cambria Math" w:hAnsi="Cambria Math"/>
                        <w:i/>
                        <w:lang w:eastAsia="zh-CN"/>
                      </w:rPr>
                    </m:ctrlPr>
                  </m:dPr>
                  <m:e>
                    <m:r>
                      <w:rPr>
                        <w:rFonts w:ascii="Cambria Math" w:hAnsi="Cambria Math"/>
                        <w:lang w:eastAsia="zh-CN"/>
                      </w:rPr>
                      <m:t>1 - ResilienceDiscount</m:t>
                    </m:r>
                  </m:e>
                </m:d>
                <m:r>
                  <w:rPr>
                    <w:rFonts w:ascii="Cambria Math" w:hAnsi="Cambria Math"/>
                    <w:lang w:eastAsia="zh-CN"/>
                  </w:rPr>
                  <m:t xml:space="preserve">  </m:t>
                </m:r>
              </m:oMath>
            </m:oMathPara>
          </w:p>
          <w:p w14:paraId="4143EC74" w14:textId="06AB07E6" w:rsidR="00BC5F33" w:rsidRPr="00BC5F33" w:rsidRDefault="00BC5F33" w:rsidP="00BC5F33">
            <w:pPr>
              <w:rPr>
                <w:i/>
                <w:lang w:eastAsia="zh-CN"/>
              </w:rPr>
            </w:pPr>
            <m:oMathPara>
              <m:oMathParaPr>
                <m:jc m:val="left"/>
              </m:oMathParaPr>
              <m:oMath>
                <m:r>
                  <w:rPr>
                    <w:rFonts w:ascii="Cambria Math" w:hAnsi="Cambria Math"/>
                    <w:lang w:eastAsia="zh-CN"/>
                  </w:rPr>
                  <m:t>RiskScore =</m:t>
                </m:r>
                <m:f>
                  <m:fPr>
                    <m:ctrlPr>
                      <w:rPr>
                        <w:rFonts w:ascii="Cambria Math" w:hAnsi="Cambria Math"/>
                        <w:i/>
                        <w:lang w:eastAsia="zh-CN"/>
                      </w:rPr>
                    </m:ctrlPr>
                  </m:fPr>
                  <m:num>
                    <m:r>
                      <w:rPr>
                        <w:rFonts w:ascii="Cambria Math" w:hAnsi="Cambria Math"/>
                        <w:lang w:eastAsia="zh-CN"/>
                      </w:rPr>
                      <m:t xml:space="preserve"> RiskScor</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roh</m:t>
                        </m:r>
                      </m:sub>
                    </m:sSub>
                  </m:num>
                  <m:den>
                    <m:r>
                      <w:rPr>
                        <w:rFonts w:ascii="Cambria Math" w:hAnsi="Cambria Math"/>
                        <w:lang w:eastAsia="zh-CN"/>
                      </w:rPr>
                      <m:t>5,0</m:t>
                    </m:r>
                  </m:den>
                </m:f>
                <m:r>
                  <w:rPr>
                    <w:rFonts w:ascii="Cambria Math" w:hAnsi="Cambria Math"/>
                    <w:lang w:eastAsia="zh-CN"/>
                  </w:rPr>
                  <m:t xml:space="preserve"> × 100</m:t>
                </m:r>
              </m:oMath>
            </m:oMathPara>
          </w:p>
        </w:tc>
        <w:tc>
          <w:tcPr>
            <w:tcW w:w="1023" w:type="dxa"/>
          </w:tcPr>
          <w:p w14:paraId="65D2E8D8" w14:textId="46215E54" w:rsidR="00BC5F33" w:rsidRPr="007B3711" w:rsidRDefault="007B3711" w:rsidP="00277BD7">
            <w:pPr>
              <w:keepNext/>
              <w:spacing w:before="360" w:after="240"/>
              <w:ind w:right="284"/>
              <w:jc w:val="right"/>
              <w:rPr>
                <w:i/>
                <w:lang w:val="en-US" w:eastAsia="zh-CN"/>
              </w:rPr>
            </w:pPr>
            <w:bookmarkStart w:id="51" w:name="_Ref442024644"/>
            <w:r>
              <w:rPr>
                <w:i/>
                <w:lang w:val="en-US"/>
              </w:rPr>
              <w:t>(</w:t>
            </w:r>
            <w:r w:rsidR="00BC5F33" w:rsidRPr="00570598">
              <w:rPr>
                <w:i/>
              </w:rPr>
              <w:fldChar w:fldCharType="begin"/>
            </w:r>
            <w:r w:rsidR="00BC5F33" w:rsidRPr="00570598">
              <w:rPr>
                <w:i/>
              </w:rPr>
              <w:instrText xml:space="preserve"> STYLEREF 1 \s </w:instrText>
            </w:r>
            <w:r w:rsidR="00BC5F33" w:rsidRPr="00570598">
              <w:rPr>
                <w:i/>
              </w:rPr>
              <w:fldChar w:fldCharType="separate"/>
            </w:r>
            <w:r>
              <w:rPr>
                <w:i/>
                <w:noProof/>
              </w:rPr>
              <w:t>4</w:t>
            </w:r>
            <w:r w:rsidR="00BC5F33" w:rsidRPr="00570598">
              <w:rPr>
                <w:i/>
                <w:noProof/>
              </w:rPr>
              <w:fldChar w:fldCharType="end"/>
            </w:r>
            <w:r w:rsidR="00BC5F33" w:rsidRPr="00570598">
              <w:rPr>
                <w:i/>
              </w:rPr>
              <w:t>.</w:t>
            </w:r>
            <w:r w:rsidR="00BC5F33" w:rsidRPr="00570598">
              <w:rPr>
                <w:i/>
              </w:rPr>
              <w:fldChar w:fldCharType="begin"/>
            </w:r>
            <w:r w:rsidR="00BC5F33" w:rsidRPr="00570598">
              <w:rPr>
                <w:i/>
              </w:rPr>
              <w:instrText xml:space="preserve"> SEQ Formel \* ARABIC \s 1 </w:instrText>
            </w:r>
            <w:r w:rsidR="00BC5F33" w:rsidRPr="00570598">
              <w:rPr>
                <w:i/>
              </w:rPr>
              <w:fldChar w:fldCharType="separate"/>
            </w:r>
            <w:r>
              <w:rPr>
                <w:i/>
                <w:noProof/>
              </w:rPr>
              <w:t>1</w:t>
            </w:r>
            <w:r w:rsidR="00BC5F33" w:rsidRPr="00570598">
              <w:rPr>
                <w:i/>
                <w:noProof/>
              </w:rPr>
              <w:fldChar w:fldCharType="end"/>
            </w:r>
            <w:bookmarkEnd w:id="51"/>
            <w:r>
              <w:rPr>
                <w:i/>
                <w:noProof/>
              </w:rPr>
              <w:t>)</w:t>
            </w:r>
          </w:p>
        </w:tc>
      </w:tr>
      <w:tr w:rsidR="00BC5F33" w:rsidRPr="00570598" w14:paraId="36B11147" w14:textId="77777777" w:rsidTr="00BC5F33">
        <w:tc>
          <w:tcPr>
            <w:tcW w:w="959" w:type="dxa"/>
          </w:tcPr>
          <w:p w14:paraId="71430208" w14:textId="77777777" w:rsidR="00BC5F33" w:rsidRPr="00570598" w:rsidRDefault="00BC5F33" w:rsidP="00277BD7">
            <w:pPr>
              <w:tabs>
                <w:tab w:val="left" w:pos="1701"/>
              </w:tabs>
              <w:spacing w:after="240" w:line="240" w:lineRule="auto"/>
              <w:jc w:val="right"/>
            </w:pPr>
            <w:r w:rsidRPr="00570598">
              <w:t>mit:</w:t>
            </w:r>
          </w:p>
        </w:tc>
        <w:tc>
          <w:tcPr>
            <w:tcW w:w="7229" w:type="dxa"/>
          </w:tcPr>
          <w:p w14:paraId="21467EB9" w14:textId="041DB0DF" w:rsidR="00BC5F33" w:rsidRPr="00BC5F33" w:rsidRDefault="00BC5F33" w:rsidP="00BC5F33">
            <w:pPr>
              <w:rPr>
                <w:iCs/>
                <w:lang w:eastAsia="zh-CN"/>
              </w:rPr>
            </w:pPr>
            <m:oMath>
              <m:r>
                <w:rPr>
                  <w:rFonts w:ascii="Cambria Math" w:hAnsi="Cambria Math" w:hint="eastAsia"/>
                  <w:lang w:eastAsia="zh-CN"/>
                </w:rPr>
                <m:t>Severity</m:t>
              </m:r>
            </m:oMath>
            <w:r w:rsidRPr="00BC5F33">
              <w:rPr>
                <w:rFonts w:hint="eastAsia"/>
                <w:i/>
                <w:lang w:eastAsia="zh-CN"/>
              </w:rPr>
              <w:t xml:space="preserve">　</w:t>
            </w:r>
            <w:r w:rsidRPr="00BC5F33">
              <w:rPr>
                <w:rFonts w:hint="eastAsia"/>
                <w:iCs/>
                <w:lang w:eastAsia="zh-CN"/>
              </w:rPr>
              <w:t xml:space="preserve">　　　</w:t>
            </w:r>
            <w:r>
              <w:rPr>
                <w:rFonts w:hint="eastAsia"/>
                <w:iCs/>
                <w:lang w:eastAsia="zh-CN"/>
              </w:rPr>
              <w:t xml:space="preserve"> </w:t>
            </w:r>
            <w:r w:rsidRPr="00BC5F33">
              <w:rPr>
                <w:rFonts w:hint="eastAsia"/>
                <w:iCs/>
                <w:lang w:eastAsia="zh-CN"/>
              </w:rPr>
              <w:t>Schweregrad des Ereignisses</w:t>
            </w:r>
          </w:p>
          <w:p w14:paraId="28783FCC" w14:textId="18FB8EA2" w:rsidR="00BC5F33" w:rsidRPr="00BC5F33" w:rsidRDefault="00BC5F33" w:rsidP="00BC5F33">
            <w:pPr>
              <w:rPr>
                <w:iCs/>
                <w:lang w:eastAsia="zh-CN"/>
              </w:rPr>
            </w:pPr>
            <m:oMath>
              <m:r>
                <w:rPr>
                  <w:rFonts w:ascii="Cambria Math" w:hAnsi="Cambria Math" w:hint="eastAsia"/>
                  <w:lang w:eastAsia="zh-CN"/>
                </w:rPr>
                <m:t>TierWeig</m:t>
              </m:r>
              <m:r>
                <w:rPr>
                  <w:rFonts w:ascii="Cambria Math" w:hAnsi="Cambria Math" w:cs="Cambria Math"/>
                  <w:lang w:eastAsia="zh-CN"/>
                </w:rPr>
                <m:t>h</m:t>
              </m:r>
              <m:r>
                <w:rPr>
                  <w:rFonts w:ascii="Cambria Math" w:hAnsi="Cambria Math" w:hint="eastAsia"/>
                  <w:lang w:eastAsia="zh-CN"/>
                </w:rPr>
                <m:t>t</m:t>
              </m:r>
            </m:oMath>
            <w:r w:rsidRPr="00BC5F33">
              <w:rPr>
                <w:rFonts w:hint="eastAsia"/>
                <w:iCs/>
                <w:lang w:eastAsia="zh-CN"/>
              </w:rPr>
              <w:t xml:space="preserve">　　　</w:t>
            </w:r>
            <w:r>
              <w:rPr>
                <w:rFonts w:hint="eastAsia"/>
                <w:iCs/>
                <w:lang w:eastAsia="zh-CN"/>
              </w:rPr>
              <w:t xml:space="preserve"> </w:t>
            </w:r>
            <w:r w:rsidRPr="00BC5F33">
              <w:rPr>
                <w:rFonts w:hint="eastAsia"/>
                <w:iCs/>
                <w:lang w:eastAsia="zh-CN"/>
              </w:rPr>
              <w:t>Gewichtung nach Abstand zur Ursprung</w:t>
            </w:r>
            <w:r>
              <w:rPr>
                <w:rFonts w:hint="eastAsia"/>
                <w:iCs/>
                <w:lang w:eastAsia="zh-CN"/>
              </w:rPr>
              <w:t>s</w:t>
            </w:r>
            <w:r w:rsidRPr="00BC5F33">
              <w:rPr>
                <w:rFonts w:hint="eastAsia"/>
                <w:iCs/>
                <w:lang w:eastAsia="zh-CN"/>
              </w:rPr>
              <w:t>stufe</w:t>
            </w:r>
          </w:p>
          <w:p w14:paraId="28343E9E" w14:textId="42040BC0" w:rsidR="00BC5F33" w:rsidRPr="00BC5F33" w:rsidRDefault="00BC5F33" w:rsidP="00BC5F33">
            <w:pPr>
              <w:rPr>
                <w:iCs/>
                <w:lang w:eastAsia="zh-CN"/>
              </w:rPr>
            </w:pPr>
            <m:oMath>
              <m:r>
                <w:rPr>
                  <w:rFonts w:ascii="Cambria Math" w:hAnsi="Cambria Math" w:hint="eastAsia"/>
                  <w:lang w:eastAsia="zh-CN"/>
                </w:rPr>
                <m:t>Vulnerability</m:t>
              </m:r>
            </m:oMath>
            <w:r w:rsidRPr="00BC5F33">
              <w:rPr>
                <w:rFonts w:hint="eastAsia"/>
                <w:iCs/>
                <w:lang w:eastAsia="zh-CN"/>
              </w:rPr>
              <w:t xml:space="preserve">　　</w:t>
            </w:r>
            <w:r>
              <w:rPr>
                <w:rFonts w:hint="eastAsia"/>
                <w:iCs/>
                <w:lang w:eastAsia="zh-CN"/>
              </w:rPr>
              <w:t xml:space="preserve">   </w:t>
            </w:r>
            <w:r w:rsidRPr="00BC5F33">
              <w:rPr>
                <w:rFonts w:hint="eastAsia"/>
                <w:iCs/>
                <w:lang w:eastAsia="zh-CN"/>
              </w:rPr>
              <w:t>gewichtete Verwundbarkeit der Anlage</w:t>
            </w:r>
          </w:p>
          <w:p w14:paraId="32B1E28B" w14:textId="4C9C6FD9" w:rsidR="00BC5F33" w:rsidRPr="00BC5F33" w:rsidRDefault="00BC5F33" w:rsidP="00BC5F33">
            <w:pPr>
              <w:rPr>
                <w:i/>
                <w:lang w:eastAsia="zh-CN"/>
              </w:rPr>
            </w:pPr>
            <m:oMath>
              <m:r>
                <w:rPr>
                  <w:rFonts w:ascii="Cambria Math" w:hAnsi="Cambria Math" w:hint="eastAsia"/>
                  <w:lang w:eastAsia="zh-CN"/>
                </w:rPr>
                <m:t>ResilienceDiscount</m:t>
              </m:r>
            </m:oMath>
            <w:r w:rsidRPr="00BC5F33">
              <w:rPr>
                <w:rFonts w:hint="eastAsia"/>
                <w:iCs/>
                <w:lang w:eastAsia="zh-CN"/>
              </w:rPr>
              <w:t xml:space="preserve">　</w:t>
            </w:r>
            <w:r w:rsidRPr="00BC5F33">
              <w:rPr>
                <w:rFonts w:hint="eastAsia"/>
                <w:iCs/>
                <w:lang w:eastAsia="zh-CN"/>
              </w:rPr>
              <w:t>kapazitätsbasierter Resilienz-Abschlag</w:t>
            </w:r>
          </w:p>
        </w:tc>
        <w:tc>
          <w:tcPr>
            <w:tcW w:w="1023" w:type="dxa"/>
          </w:tcPr>
          <w:p w14:paraId="6D4CCF14" w14:textId="77777777" w:rsidR="00BC5F33" w:rsidRPr="00570598" w:rsidRDefault="00BC5F33" w:rsidP="00277BD7">
            <w:pPr>
              <w:spacing w:before="360" w:after="240" w:line="240" w:lineRule="auto"/>
              <w:ind w:right="284"/>
              <w:jc w:val="right"/>
              <w:rPr>
                <w:i/>
              </w:rPr>
            </w:pPr>
          </w:p>
        </w:tc>
      </w:tr>
    </w:tbl>
    <w:p w14:paraId="7A3C9094" w14:textId="28E64E59" w:rsidR="008D4CEF" w:rsidRDefault="00000000">
      <w:pPr>
        <w:rPr>
          <w:lang w:eastAsia="zh-CN"/>
        </w:rPr>
      </w:pPr>
      <w:r>
        <w:t>Der Schweregrad (Severity) entstammt unmittelbar der Einstufung durch den Risk Assessment Agent und ist für alle Anlagen desselben Ereignisses identisch; er beeinflusst damit nicht die Rangfolge innerhalb eines Ereignisses, sondern ausschließlich den absoluten Vergleich zwischen unterschiedlichen Ereignissen. Das Stufengewicht (TierWeight) bildet die strukturelle Entfernung einer Anlage von der Ursprungsstufe des Ereignisses auf einen Wert zwischen null Komma fünfzehn und eins ab, mit dem größten Gewicht bei Übereinstimmung der Stufe. Diese stufenabhängige Gewichtung setzt den empirischen Befund um, dass sich die Auswirkungen einer Störung zwischen den Lieferkettenstufen eines mehrstufigen Netzwerks deutlich und systematisch unterscheiden, statt sich gleichmäßig über alle Stufen zu verteilen [10]; die konkrete Abnahme des Gewichts mit wachsender Entfernung zur Ursprungsstufe stellt dabei eine vereinfachende Modellannahme dieser Arbeit dar, die von der in der zitierten Studie beobachteten, netzwerkpositionsabhängigen Konzentration der Störungsdauer in späteren Stufen abweicht. Die Vulnerabilität (Vulnerability) ergibt sich als gewichtete Summe aus vier Teiltermen:</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
        <w:gridCol w:w="7099"/>
        <w:gridCol w:w="1022"/>
      </w:tblGrid>
      <w:tr w:rsidR="00BC5F33" w:rsidRPr="00570598" w14:paraId="78718DF6" w14:textId="77777777" w:rsidTr="00277BD7">
        <w:trPr>
          <w:cantSplit/>
        </w:trPr>
        <w:tc>
          <w:tcPr>
            <w:tcW w:w="959" w:type="dxa"/>
            <w:vAlign w:val="center"/>
          </w:tcPr>
          <w:p w14:paraId="456AE567" w14:textId="77777777" w:rsidR="00BC5F33" w:rsidRPr="00570598" w:rsidRDefault="00BC5F33" w:rsidP="00BC5F33">
            <w:pPr>
              <w:keepNext/>
              <w:jc w:val="left"/>
            </w:pPr>
          </w:p>
        </w:tc>
        <w:tc>
          <w:tcPr>
            <w:tcW w:w="7229" w:type="dxa"/>
            <w:vAlign w:val="center"/>
          </w:tcPr>
          <w:p w14:paraId="4C140EB4" w14:textId="77777777" w:rsidR="00BC5F33" w:rsidRPr="00BC5F33" w:rsidRDefault="00BC5F33" w:rsidP="00BC5F33">
            <w:pPr>
              <w:keepNext/>
              <w:jc w:val="left"/>
              <w:rPr>
                <w:rFonts w:cs="Arial"/>
                <w:lang w:eastAsia="zh-CN"/>
              </w:rPr>
            </w:pPr>
            <m:oMathPara>
              <m:oMath>
                <m:r>
                  <w:rPr>
                    <w:rFonts w:ascii="Cambria Math" w:hAnsi="Cambria Math" w:cs="Arial"/>
                    <w:lang w:eastAsia="zh-CN"/>
                  </w:rPr>
                  <m:t xml:space="preserve">Vulnerability= 0,30 · ImportDep +0,30 · SupplierConc </m:t>
                </m:r>
              </m:oMath>
            </m:oMathPara>
          </w:p>
          <w:p w14:paraId="30EF85B9" w14:textId="2ABF67D6" w:rsidR="00BC5F33" w:rsidRPr="00BC5F33" w:rsidRDefault="00BC5F33" w:rsidP="00BC5F33">
            <w:pPr>
              <w:keepNext/>
              <w:jc w:val="left"/>
              <w:rPr>
                <w:lang w:eastAsia="zh-CN"/>
              </w:rPr>
            </w:pPr>
            <m:oMathPara>
              <m:oMath>
                <m:r>
                  <w:rPr>
                    <w:rFonts w:ascii="Cambria Math" w:hAnsi="Cambria Math" w:cs="Arial"/>
                    <w:lang w:eastAsia="zh-CN"/>
                  </w:rPr>
                  <m:t>+ 0,25 · SingleSourceDep + 0,15 · LeadTimeNorm</m:t>
                </m:r>
              </m:oMath>
            </m:oMathPara>
          </w:p>
        </w:tc>
        <w:tc>
          <w:tcPr>
            <w:tcW w:w="1023" w:type="dxa"/>
            <w:vAlign w:val="center"/>
          </w:tcPr>
          <w:p w14:paraId="6FE9D3DC" w14:textId="54A3B044" w:rsidR="00BC5F33" w:rsidRPr="00570598" w:rsidRDefault="007B3711" w:rsidP="00277BD7">
            <w:pPr>
              <w:keepNext/>
              <w:spacing w:before="360" w:after="240"/>
              <w:ind w:right="284"/>
              <w:jc w:val="right"/>
              <w:rPr>
                <w:i/>
              </w:rPr>
            </w:pPr>
            <w:r>
              <w:rPr>
                <w:i/>
              </w:rPr>
              <w:t>(</w:t>
            </w:r>
            <w:r w:rsidR="00BC5F33" w:rsidRPr="00570598">
              <w:rPr>
                <w:i/>
              </w:rPr>
              <w:fldChar w:fldCharType="begin"/>
            </w:r>
            <w:r w:rsidR="00BC5F33" w:rsidRPr="00570598">
              <w:rPr>
                <w:i/>
              </w:rPr>
              <w:instrText xml:space="preserve"> STYLEREF 1 \s </w:instrText>
            </w:r>
            <w:r w:rsidR="00BC5F33" w:rsidRPr="00570598">
              <w:rPr>
                <w:i/>
              </w:rPr>
              <w:fldChar w:fldCharType="separate"/>
            </w:r>
            <w:r>
              <w:rPr>
                <w:i/>
                <w:noProof/>
              </w:rPr>
              <w:t>4</w:t>
            </w:r>
            <w:r w:rsidR="00BC5F33" w:rsidRPr="00570598">
              <w:rPr>
                <w:i/>
                <w:noProof/>
              </w:rPr>
              <w:fldChar w:fldCharType="end"/>
            </w:r>
            <w:r w:rsidR="00BC5F33" w:rsidRPr="00570598">
              <w:rPr>
                <w:i/>
              </w:rPr>
              <w:t>.</w:t>
            </w:r>
            <w:r w:rsidR="00BC5F33" w:rsidRPr="00570598">
              <w:rPr>
                <w:i/>
              </w:rPr>
              <w:fldChar w:fldCharType="begin"/>
            </w:r>
            <w:r w:rsidR="00BC5F33" w:rsidRPr="00570598">
              <w:rPr>
                <w:i/>
              </w:rPr>
              <w:instrText xml:space="preserve"> SEQ Formel \* ARABIC \s 1 </w:instrText>
            </w:r>
            <w:r w:rsidR="00BC5F33" w:rsidRPr="00570598">
              <w:rPr>
                <w:i/>
              </w:rPr>
              <w:fldChar w:fldCharType="separate"/>
            </w:r>
            <w:r>
              <w:rPr>
                <w:i/>
                <w:noProof/>
              </w:rPr>
              <w:t>2</w:t>
            </w:r>
            <w:r w:rsidR="00BC5F33" w:rsidRPr="00570598">
              <w:rPr>
                <w:i/>
                <w:noProof/>
              </w:rPr>
              <w:fldChar w:fldCharType="end"/>
            </w:r>
            <w:r>
              <w:rPr>
                <w:i/>
                <w:noProof/>
              </w:rPr>
              <w:t>)</w:t>
            </w:r>
          </w:p>
        </w:tc>
      </w:tr>
      <w:tr w:rsidR="00BC5F33" w:rsidRPr="00570598" w14:paraId="2082DA37" w14:textId="77777777" w:rsidTr="00277BD7">
        <w:trPr>
          <w:cantSplit/>
        </w:trPr>
        <w:tc>
          <w:tcPr>
            <w:tcW w:w="959" w:type="dxa"/>
          </w:tcPr>
          <w:p w14:paraId="37601DEA" w14:textId="77777777" w:rsidR="00BC5F33" w:rsidRPr="00570598" w:rsidRDefault="00BC5F33" w:rsidP="00277BD7">
            <w:pPr>
              <w:tabs>
                <w:tab w:val="left" w:pos="1701"/>
              </w:tabs>
              <w:spacing w:after="240" w:line="240" w:lineRule="auto"/>
              <w:jc w:val="right"/>
            </w:pPr>
            <w:r w:rsidRPr="00570598">
              <w:t>mit:</w:t>
            </w:r>
          </w:p>
        </w:tc>
        <w:tc>
          <w:tcPr>
            <w:tcW w:w="7229" w:type="dxa"/>
          </w:tcPr>
          <w:p w14:paraId="437F58FB" w14:textId="1047B3A1" w:rsidR="00BC5F33" w:rsidRPr="00BC5F33" w:rsidRDefault="00BC5F33" w:rsidP="00BC5F33">
            <w:pPr>
              <w:rPr>
                <w:rFonts w:cs="Arial"/>
                <w:i/>
              </w:rPr>
            </w:pPr>
            <m:oMath>
              <m:r>
                <w:rPr>
                  <w:rFonts w:ascii="Cambria Math" w:hAnsi="Cambria Math" w:hint="eastAsia"/>
                  <w:lang w:eastAsia="zh-CN"/>
                </w:rPr>
                <m:t>I</m:t>
              </m:r>
              <m:r>
                <w:rPr>
                  <w:rFonts w:ascii="Cambria Math" w:hAnsi="Cambria Math"/>
                  <w:lang w:eastAsia="zh-CN"/>
                </w:rPr>
                <m:t>mport</m:t>
              </m:r>
              <m:r>
                <w:rPr>
                  <w:rFonts w:ascii="Cambria Math" w:hAnsi="Cambria Math" w:cs="Arial"/>
                </w:rPr>
                <m:t>Dep</m:t>
              </m:r>
            </m:oMath>
            <w:r w:rsidRPr="00BC5F33">
              <w:rPr>
                <w:rFonts w:cs="Arial"/>
                <w:i/>
              </w:rPr>
              <w:t xml:space="preserve">　　　</w:t>
            </w:r>
            <w:r w:rsidRPr="00BC5F33">
              <w:rPr>
                <w:rFonts w:cs="Arial"/>
                <w:i/>
              </w:rPr>
              <w:t xml:space="preserve"> </w:t>
            </w:r>
            <w:r w:rsidRPr="00BC5F33">
              <w:rPr>
                <w:rFonts w:cs="Arial"/>
                <w:iCs/>
              </w:rPr>
              <w:t>Importabhängigkeit des Materials</w:t>
            </w:r>
          </w:p>
          <w:p w14:paraId="07857698" w14:textId="2D32D160" w:rsidR="00BC5F33" w:rsidRPr="00BC5F33" w:rsidRDefault="00BC5F33" w:rsidP="00BC5F33">
            <w:pPr>
              <w:rPr>
                <w:rFonts w:cs="Arial"/>
                <w:i/>
              </w:rPr>
            </w:pPr>
            <m:oMath>
              <m:r>
                <w:rPr>
                  <w:rFonts w:ascii="Cambria Math" w:hAnsi="Cambria Math" w:cs="Arial"/>
                </w:rPr>
                <m:t>SupplierConc</m:t>
              </m:r>
            </m:oMath>
            <w:r w:rsidRPr="00BC5F33">
              <w:rPr>
                <w:rFonts w:cs="Arial"/>
                <w:i/>
              </w:rPr>
              <w:t xml:space="preserve">　　</w:t>
            </w:r>
            <w:r w:rsidRPr="00BC5F33">
              <w:rPr>
                <w:rFonts w:cs="Arial"/>
                <w:iCs/>
              </w:rPr>
              <w:t>Lieferanten- bzw. Marktkonzentration</w:t>
            </w:r>
          </w:p>
          <w:p w14:paraId="26235DCB" w14:textId="0965B6F2" w:rsidR="00BC5F33" w:rsidRPr="00BC5F33" w:rsidRDefault="00BC5F33" w:rsidP="00BC5F33">
            <w:pPr>
              <w:rPr>
                <w:rFonts w:cs="Arial"/>
                <w:i/>
              </w:rPr>
            </w:pPr>
            <m:oMath>
              <m:r>
                <w:rPr>
                  <w:rFonts w:ascii="Cambria Math" w:hAnsi="Cambria Math" w:cs="Arial"/>
                </w:rPr>
                <m:t>SingleSourceDep</m:t>
              </m:r>
            </m:oMath>
            <w:r w:rsidRPr="00BC5F33">
              <w:rPr>
                <w:rFonts w:cs="Arial"/>
                <w:i/>
              </w:rPr>
              <w:t xml:space="preserve"> </w:t>
            </w:r>
            <w:r w:rsidRPr="00BC5F33">
              <w:rPr>
                <w:rFonts w:cs="Arial"/>
                <w:iCs/>
              </w:rPr>
              <w:t>Abhängigkeit von wenigen direkten Lieferanten</w:t>
            </w:r>
          </w:p>
          <w:p w14:paraId="7D68641C" w14:textId="74C8A7F3" w:rsidR="00BC5F33" w:rsidRPr="00BC5F33" w:rsidRDefault="00BC5F33" w:rsidP="00BC5F33">
            <w:pPr>
              <w:rPr>
                <w:iCs/>
                <w:lang w:eastAsia="zh-CN"/>
              </w:rPr>
            </w:pPr>
            <m:oMath>
              <m:r>
                <w:rPr>
                  <w:rFonts w:ascii="Cambria Math" w:hAnsi="Cambria Math" w:cs="Arial"/>
                </w:rPr>
                <m:t>LeadTimeNorm</m:t>
              </m:r>
            </m:oMath>
            <w:r w:rsidRPr="00BC5F33">
              <w:rPr>
                <w:rFonts w:cs="Arial"/>
                <w:i/>
              </w:rPr>
              <w:t xml:space="preserve">　</w:t>
            </w:r>
            <w:r w:rsidRPr="00BC5F33">
              <w:rPr>
                <w:rFonts w:cs="Arial"/>
                <w:i/>
              </w:rPr>
              <w:t xml:space="preserve"> </w:t>
            </w:r>
            <w:r w:rsidRPr="00BC5F33">
              <w:rPr>
                <w:rFonts w:cs="Arial"/>
                <w:iCs/>
              </w:rPr>
              <w:t>normierte Vorlaufzeit</w:t>
            </w:r>
          </w:p>
        </w:tc>
        <w:tc>
          <w:tcPr>
            <w:tcW w:w="1023" w:type="dxa"/>
            <w:vAlign w:val="center"/>
          </w:tcPr>
          <w:p w14:paraId="28D578AA" w14:textId="77777777" w:rsidR="00BC5F33" w:rsidRPr="00570598" w:rsidRDefault="00BC5F33" w:rsidP="00277BD7">
            <w:pPr>
              <w:spacing w:before="360" w:after="240" w:line="240" w:lineRule="auto"/>
              <w:ind w:right="284"/>
              <w:jc w:val="right"/>
              <w:rPr>
                <w:i/>
              </w:rPr>
            </w:pPr>
          </w:p>
        </w:tc>
      </w:tr>
    </w:tbl>
    <w:p w14:paraId="56A61086" w14:textId="0FB92A70" w:rsidR="00BC5F33" w:rsidRDefault="00000000">
      <w:pPr>
        <w:rPr>
          <w:lang w:eastAsia="zh-CN"/>
        </w:rPr>
      </w:pPr>
      <w:r>
        <w:t>wobei ImportDep und SupplierConc die in Abschnitt 4.2.1 beschriebenen, literaturbasierten Einstufungen darstellen, SingleSourceDep den Kehrwert der Anzahl direkter Lieferanten einer Anlage im Graphen abbildet und LeadTimeNorm eine normierte Vor</w:t>
      </w:r>
      <w:r>
        <w:t>laufzeit-Schätzung auf Basis von Stufe, Material, Region und Datenverfügbarkeit darstellt. Die Auswahl von ImportDep, SupplierConc und SingleSourceDep greift eine großangelegte Befragung von Führungskräften auf, die strukturelle Merkmale von Lieferbeziehungen (darunter die Konzentration auf wenige Bezugsquellen und den Anteil importierter Vorleistungen) unabhängig voneinander als bedeutsam für die Risikoexposition eines Unternehmens identifiziert [24]. Die Einbeziehung der Vorlaufzeit als vierter Teilterm folgt dem empirischen Befund, dass sich die Auswirkungen einer Störung mit zunehmender Vorlaufzeit verschärfen [25]. Der Resilienz-Abschlag (ResilienceDiscount)</w:t>
      </w:r>
      <w:r w:rsidR="009148CD">
        <w:rPr>
          <w:rFonts w:hint="eastAsia"/>
          <w:lang w:eastAsia="zh-CN"/>
        </w:rPr>
        <w:t xml:space="preserve"> wird</w:t>
      </w:r>
      <w:r w:rsidR="00FD61DA" w:rsidRPr="00FD61DA">
        <w:rPr>
          <w:rFonts w:hint="eastAsia"/>
          <w:lang w:eastAsia="zh-CN"/>
        </w:rPr>
        <w:t>,</w:t>
      </w:r>
      <w:r>
        <w:t xml:space="preserve"> </w:t>
      </w:r>
      <w:r w:rsidR="00BC5F33" w:rsidRPr="00BC5F33">
        <w:t>sofern vergleichbare Kapazitätsdaten vorliegen</w:t>
      </w:r>
      <w:r w:rsidR="00BC5F33" w:rsidRPr="00BC5F33">
        <w:rPr>
          <w:lang w:eastAsia="zh-CN"/>
        </w:rPr>
        <w:t>,</w:t>
      </w:r>
      <w:r>
        <w:t xml:space="preserve"> aus dem Marktanteil einer Anlage am Gesamtvolumen des betroffenen Materials und derselben Stufe (CapacityShare)</w:t>
      </w:r>
      <w:r w:rsidR="00E86AF9">
        <w:rPr>
          <w:lang w:eastAsia="zh-CN"/>
        </w:rPr>
        <w:t xml:space="preserve"> </w:t>
      </w:r>
      <w:r w:rsidR="00E86AF9" w:rsidRPr="00E86AF9">
        <w:rPr>
          <w:lang w:eastAsia="zh-CN"/>
        </w:rPr>
        <w:t>abgel</w:t>
      </w:r>
      <w:r w:rsidR="00E86AF9">
        <w:rPr>
          <w:lang w:eastAsia="zh-CN"/>
        </w:rPr>
        <w:t>eitet</w:t>
      </w:r>
      <w:r>
        <w:t>:</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
        <w:gridCol w:w="7103"/>
        <w:gridCol w:w="1018"/>
      </w:tblGrid>
      <w:tr w:rsidR="00BC5F33" w:rsidRPr="00570598" w14:paraId="6A1FA0E4" w14:textId="77777777" w:rsidTr="00BC5F33">
        <w:trPr>
          <w:cantSplit/>
        </w:trPr>
        <w:tc>
          <w:tcPr>
            <w:tcW w:w="950" w:type="dxa"/>
            <w:vAlign w:val="center"/>
          </w:tcPr>
          <w:p w14:paraId="3CD52C3E" w14:textId="77777777" w:rsidR="00BC5F33" w:rsidRPr="00570598" w:rsidRDefault="00BC5F33" w:rsidP="00277BD7">
            <w:pPr>
              <w:keepNext/>
            </w:pPr>
          </w:p>
        </w:tc>
        <w:tc>
          <w:tcPr>
            <w:tcW w:w="7103" w:type="dxa"/>
            <w:vAlign w:val="center"/>
          </w:tcPr>
          <w:p w14:paraId="590F1768" w14:textId="081FE195" w:rsidR="00BC5F33" w:rsidRPr="00BC5F33" w:rsidRDefault="00BC5F33" w:rsidP="00277BD7">
            <w:pPr>
              <w:keepNext/>
              <w:jc w:val="center"/>
              <w:rPr>
                <w:rFonts w:ascii="Cambria Math" w:hAnsi="Cambria Math"/>
                <w:i/>
                <w:lang w:eastAsia="zh-CN"/>
              </w:rPr>
            </w:pPr>
            <m:oMathPara>
              <m:oMath>
                <m:r>
                  <w:rPr>
                    <w:rFonts w:ascii="Cambria Math" w:hAnsi="Cambria Math"/>
                  </w:rPr>
                  <m:t>ResilienceDiscount = (1 - CapacityShare) / 2</m:t>
                </m:r>
              </m:oMath>
            </m:oMathPara>
          </w:p>
        </w:tc>
        <w:tc>
          <w:tcPr>
            <w:tcW w:w="1018" w:type="dxa"/>
            <w:vAlign w:val="center"/>
          </w:tcPr>
          <w:p w14:paraId="3301E0F3" w14:textId="57526558" w:rsidR="00BC5F33" w:rsidRPr="00570598" w:rsidRDefault="007B3711" w:rsidP="00277BD7">
            <w:pPr>
              <w:keepNext/>
              <w:spacing w:before="360" w:after="240"/>
              <w:ind w:right="284"/>
              <w:jc w:val="right"/>
              <w:rPr>
                <w:i/>
              </w:rPr>
            </w:pPr>
            <w:r>
              <w:rPr>
                <w:i/>
              </w:rPr>
              <w:t>(</w:t>
            </w:r>
            <w:r w:rsidR="00BC5F33" w:rsidRPr="00570598">
              <w:rPr>
                <w:i/>
              </w:rPr>
              <w:fldChar w:fldCharType="begin"/>
            </w:r>
            <w:r w:rsidR="00BC5F33" w:rsidRPr="00570598">
              <w:rPr>
                <w:i/>
              </w:rPr>
              <w:instrText xml:space="preserve"> STYLEREF 1 \s </w:instrText>
            </w:r>
            <w:r w:rsidR="00BC5F33" w:rsidRPr="00570598">
              <w:rPr>
                <w:i/>
              </w:rPr>
              <w:fldChar w:fldCharType="separate"/>
            </w:r>
            <w:r>
              <w:rPr>
                <w:i/>
                <w:noProof/>
              </w:rPr>
              <w:t>4</w:t>
            </w:r>
            <w:r w:rsidR="00BC5F33" w:rsidRPr="00570598">
              <w:rPr>
                <w:i/>
                <w:noProof/>
              </w:rPr>
              <w:fldChar w:fldCharType="end"/>
            </w:r>
            <w:r w:rsidR="00BC5F33" w:rsidRPr="00570598">
              <w:rPr>
                <w:i/>
              </w:rPr>
              <w:t>.</w:t>
            </w:r>
            <w:r w:rsidR="00BC5F33" w:rsidRPr="00570598">
              <w:rPr>
                <w:i/>
              </w:rPr>
              <w:fldChar w:fldCharType="begin"/>
            </w:r>
            <w:r w:rsidR="00BC5F33" w:rsidRPr="00570598">
              <w:rPr>
                <w:i/>
              </w:rPr>
              <w:instrText xml:space="preserve"> SEQ Formel \* ARABIC \s 1 </w:instrText>
            </w:r>
            <w:r w:rsidR="00BC5F33" w:rsidRPr="00570598">
              <w:rPr>
                <w:i/>
              </w:rPr>
              <w:fldChar w:fldCharType="separate"/>
            </w:r>
            <w:r>
              <w:rPr>
                <w:i/>
                <w:noProof/>
              </w:rPr>
              <w:t>3</w:t>
            </w:r>
            <w:r w:rsidR="00BC5F33" w:rsidRPr="00570598">
              <w:rPr>
                <w:i/>
                <w:noProof/>
              </w:rPr>
              <w:fldChar w:fldCharType="end"/>
            </w:r>
            <w:r>
              <w:rPr>
                <w:i/>
                <w:noProof/>
              </w:rPr>
              <w:t>)</w:t>
            </w:r>
          </w:p>
        </w:tc>
      </w:tr>
      <w:tr w:rsidR="00BC5F33" w:rsidRPr="00570598" w14:paraId="44ED3053" w14:textId="77777777" w:rsidTr="00BC5F33">
        <w:trPr>
          <w:cantSplit/>
        </w:trPr>
        <w:tc>
          <w:tcPr>
            <w:tcW w:w="950" w:type="dxa"/>
          </w:tcPr>
          <w:p w14:paraId="5A6C4A21" w14:textId="77777777" w:rsidR="00BC5F33" w:rsidRPr="00570598" w:rsidRDefault="00BC5F33" w:rsidP="00277BD7">
            <w:pPr>
              <w:tabs>
                <w:tab w:val="left" w:pos="1701"/>
              </w:tabs>
              <w:spacing w:after="240" w:line="240" w:lineRule="auto"/>
              <w:jc w:val="right"/>
            </w:pPr>
            <w:r w:rsidRPr="00570598">
              <w:t>mit:</w:t>
            </w:r>
          </w:p>
        </w:tc>
        <w:tc>
          <w:tcPr>
            <w:tcW w:w="7103" w:type="dxa"/>
          </w:tcPr>
          <w:p w14:paraId="0764C522" w14:textId="77537386" w:rsidR="00BC5F33" w:rsidRPr="00570598" w:rsidRDefault="00BC5F33" w:rsidP="00277BD7">
            <w:pPr>
              <w:spacing w:after="240" w:line="240" w:lineRule="auto"/>
              <w:jc w:val="left"/>
            </w:pPr>
            <m:oMath>
              <m:r>
                <w:rPr>
                  <w:rFonts w:ascii="Cambria Math" w:hAnsi="Cambria Math"/>
                  <w:lang w:eastAsia="zh-CN"/>
                </w:rPr>
                <m:t>CapacityShare</m:t>
              </m:r>
              <m:r>
                <w:rPr>
                  <w:rFonts w:ascii="Cambria Math" w:hAnsi="Cambria Math" w:hint="eastAsia"/>
                  <w:lang w:eastAsia="zh-CN"/>
                </w:rPr>
                <m:t xml:space="preserve"> </m:t>
              </m:r>
            </m:oMath>
            <w:r>
              <w:rPr>
                <w:rFonts w:hint="eastAsia"/>
                <w:i/>
                <w:lang w:eastAsia="zh-CN"/>
              </w:rPr>
              <w:t xml:space="preserve"> </w:t>
            </w:r>
            <w:r w:rsidRPr="00BC5F33">
              <w:rPr>
                <w:i/>
                <w:lang w:eastAsia="zh-CN"/>
              </w:rPr>
              <w:t>Kapazitätsanteil einer Anlage innerhalb der betrachteten Stufe</w:t>
            </w:r>
            <w:r w:rsidRPr="00570598">
              <w:t xml:space="preserve"> </w:t>
            </w:r>
          </w:p>
        </w:tc>
        <w:tc>
          <w:tcPr>
            <w:tcW w:w="1018" w:type="dxa"/>
            <w:vAlign w:val="center"/>
          </w:tcPr>
          <w:p w14:paraId="3FEB6778" w14:textId="77777777" w:rsidR="00BC5F33" w:rsidRPr="00570598" w:rsidRDefault="00BC5F33" w:rsidP="00277BD7">
            <w:pPr>
              <w:spacing w:before="360" w:after="240" w:line="240" w:lineRule="auto"/>
              <w:ind w:right="284"/>
              <w:jc w:val="right"/>
              <w:rPr>
                <w:i/>
              </w:rPr>
            </w:pPr>
          </w:p>
        </w:tc>
      </w:tr>
    </w:tbl>
    <w:p w14:paraId="734E5166" w14:textId="54A63ECF" w:rsidR="008D4CEF" w:rsidRDefault="00000000">
      <w:r>
        <w:t xml:space="preserve">Diese Konstruktion überträgt den in der Literatur beschriebenen Zusammenhang zwischen redundanter, andernorts verfügbarer Kapazität und der Widerstandsfähigkeit einer Lieferkette gegenüber Störungen auf eine einzelne Kennzahl: Je größer der Anteil verfügbarer Ausweichkapazität, desto geringer der Abschlag [26]. </w:t>
      </w:r>
      <w:r w:rsidR="00BC5F33" w:rsidRPr="00BC5F33">
        <w:t>Vergleichbare Kapazitätsdaten liegen nur für Upstream- und Midstream-Cell-Anlagen vor, deren Kapazitäten in einheitlichen Mengeneinheiten vorliegen; für nicht vergleichbare Stufen (Midstream-BGM, Downstream) oder wenn der Nenner dieses Anteils strukturell nicht bestimmbar ist (etwa bei einem über Strategie B geseedeten Ereignis ohne zugeordnetes Material), verwendet das System den konservativen Standardwert CapacityShare = 1,0, was einem Resilienz-Abschlag von null entspricht: Eine unklare oder strukturell nicht vergleichbare Datenlage führt damit zu keiner Verringerung des berechneten Risikowerts</w:t>
      </w:r>
      <w:r>
        <w:t>.</w:t>
      </w:r>
    </w:p>
    <w:p w14:paraId="1E95ABEB" w14:textId="77777777" w:rsidR="008D4CEF" w:rsidRDefault="00000000">
      <w:r>
        <w:t>Die Formel führt damit drei in der Literatur getrennt untersuchte Konzepte (stufenabhängige Ausbreitung, faktorbasierte Verwundbarkeit und kapazitätsbasierte Resilienz) in einer einzigen, für dieses System entwickelten Kennzahl zusammen; sie stellt keine Übernahme eines einzelnen publizierten Berechnungsmodells dar.</w:t>
      </w:r>
    </w:p>
    <w:p w14:paraId="6EF12591" w14:textId="64F8EF13" w:rsidR="008D4CEF" w:rsidRDefault="00F32081">
      <w:r>
        <w:fldChar w:fldCharType="begin"/>
      </w:r>
      <w:r>
        <w:instrText xml:space="preserve"> REF _Ref238424252 \h </w:instrText>
      </w:r>
      <w:r>
        <w:fldChar w:fldCharType="separate"/>
      </w:r>
      <w:r w:rsidR="007B3711" w:rsidRPr="007B3711">
        <w:t xml:space="preserve">Tabelle </w:t>
      </w:r>
      <w:r w:rsidR="007B3711" w:rsidRPr="007B3711">
        <w:rPr>
          <w:noProof/>
        </w:rPr>
        <w:t>3</w:t>
      </w:r>
      <w:r>
        <w:fldChar w:fldCharType="end"/>
      </w:r>
      <w:r>
        <w:rPr>
          <w:rFonts w:hint="eastAsia"/>
          <w:lang w:eastAsia="zh-CN"/>
        </w:rPr>
        <w:t xml:space="preserve"> z</w:t>
      </w:r>
      <w:r>
        <w:t>eigt die vollständige Berechnung am Beispiel der am stärksten betroffenen Anlage aus Szenario S1 (Abschnitt 5.2).</w:t>
      </w:r>
    </w:p>
    <w:p w14:paraId="7B533F1B" w14:textId="4BB03C89" w:rsidR="00F32081" w:rsidRPr="00F32081" w:rsidRDefault="00F32081" w:rsidP="00F32081">
      <w:pPr>
        <w:pStyle w:val="a6"/>
        <w:keepNext/>
        <w:rPr>
          <w:lang w:val="en-US" w:eastAsia="zh-CN"/>
        </w:rPr>
      </w:pPr>
      <w:bookmarkStart w:id="52" w:name="_Ref238424252"/>
      <w:bookmarkStart w:id="53" w:name="_Toc238658091"/>
      <w:r w:rsidRPr="00F32081">
        <w:rPr>
          <w:lang w:val="en-US"/>
        </w:rPr>
        <w:t xml:space="preserve">Tabelle </w:t>
      </w:r>
      <w:r>
        <w:fldChar w:fldCharType="begin"/>
      </w:r>
      <w:r w:rsidRPr="00F32081">
        <w:rPr>
          <w:lang w:val="en-US"/>
        </w:rPr>
        <w:instrText xml:space="preserve"> SEQ Tabelle \* ARABIC </w:instrText>
      </w:r>
      <w:r>
        <w:fldChar w:fldCharType="separate"/>
      </w:r>
      <w:r w:rsidR="007B3711">
        <w:rPr>
          <w:noProof/>
          <w:lang w:val="en-US"/>
        </w:rPr>
        <w:t>3</w:t>
      </w:r>
      <w:r>
        <w:fldChar w:fldCharType="end"/>
      </w:r>
      <w:bookmarkEnd w:id="52"/>
      <w:r w:rsidRPr="00674210">
        <w:rPr>
          <w:iCs/>
          <w:lang w:val="en-US"/>
        </w:rPr>
        <w:t>: RiskScore-Berechnung der Long Harbour Processing Plant (Vale Canada Ltd</w:t>
      </w:r>
      <w:r w:rsidR="00FD61DA">
        <w:rPr>
          <w:rFonts w:hint="eastAsia"/>
          <w:iCs/>
          <w:lang w:val="en-US" w:eastAsia="zh-CN"/>
        </w:rPr>
        <w:t>)</w:t>
      </w:r>
      <w:bookmarkEnd w:id="53"/>
    </w:p>
    <w:tbl>
      <w:tblPr>
        <w:tblStyle w:val="af4"/>
        <w:tblW w:w="0" w:type="auto"/>
        <w:tblLook w:val="04A0" w:firstRow="1" w:lastRow="0" w:firstColumn="1" w:lastColumn="0" w:noHBand="0" w:noVBand="1"/>
      </w:tblPr>
      <w:tblGrid>
        <w:gridCol w:w="3021"/>
        <w:gridCol w:w="1085"/>
        <w:gridCol w:w="4955"/>
      </w:tblGrid>
      <w:tr w:rsidR="008D4CEF" w14:paraId="04082249" w14:textId="77777777" w:rsidTr="00674210">
        <w:tc>
          <w:tcPr>
            <w:tcW w:w="3021" w:type="dxa"/>
          </w:tcPr>
          <w:p w14:paraId="5D0688CC" w14:textId="77777777" w:rsidR="008D4CEF" w:rsidRDefault="00000000">
            <w:r>
              <w:rPr>
                <w:b/>
              </w:rPr>
              <w:t>Faktor</w:t>
            </w:r>
          </w:p>
        </w:tc>
        <w:tc>
          <w:tcPr>
            <w:tcW w:w="1085" w:type="dxa"/>
          </w:tcPr>
          <w:p w14:paraId="5EBADFDC" w14:textId="77777777" w:rsidR="008D4CEF" w:rsidRDefault="00000000">
            <w:r>
              <w:rPr>
                <w:b/>
              </w:rPr>
              <w:t>Wert</w:t>
            </w:r>
          </w:p>
        </w:tc>
        <w:tc>
          <w:tcPr>
            <w:tcW w:w="4955" w:type="dxa"/>
          </w:tcPr>
          <w:p w14:paraId="422AEE63" w14:textId="77777777" w:rsidR="008D4CEF" w:rsidRDefault="00000000">
            <w:r>
              <w:rPr>
                <w:b/>
              </w:rPr>
              <w:t>Herkunft</w:t>
            </w:r>
          </w:p>
        </w:tc>
      </w:tr>
      <w:tr w:rsidR="008D4CEF" w14:paraId="6B69839B" w14:textId="77777777" w:rsidTr="00674210">
        <w:tc>
          <w:tcPr>
            <w:tcW w:w="3021" w:type="dxa"/>
          </w:tcPr>
          <w:p w14:paraId="47180796" w14:textId="77777777" w:rsidR="008D4CEF" w:rsidRDefault="00000000">
            <w:r>
              <w:lastRenderedPageBreak/>
              <w:t>Severity</w:t>
            </w:r>
          </w:p>
        </w:tc>
        <w:tc>
          <w:tcPr>
            <w:tcW w:w="1085" w:type="dxa"/>
          </w:tcPr>
          <w:p w14:paraId="7FE7E0C0" w14:textId="77777777" w:rsidR="008D4CEF" w:rsidRDefault="00000000">
            <w:r>
              <w:t>4</w:t>
            </w:r>
          </w:p>
        </w:tc>
        <w:tc>
          <w:tcPr>
            <w:tcW w:w="4955" w:type="dxa"/>
          </w:tcPr>
          <w:p w14:paraId="7DA62F17" w14:textId="77777777" w:rsidR="008D4CEF" w:rsidRDefault="00000000">
            <w:r>
              <w:t>Einstufung durch Risk Assessment Agent</w:t>
            </w:r>
          </w:p>
        </w:tc>
      </w:tr>
      <w:tr w:rsidR="008D4CEF" w14:paraId="6CD3BBF1" w14:textId="77777777" w:rsidTr="00674210">
        <w:tc>
          <w:tcPr>
            <w:tcW w:w="3021" w:type="dxa"/>
          </w:tcPr>
          <w:p w14:paraId="49EAD40F" w14:textId="77777777" w:rsidR="008D4CEF" w:rsidRDefault="00000000">
            <w:r>
              <w:t>TierWeight</w:t>
            </w:r>
          </w:p>
        </w:tc>
        <w:tc>
          <w:tcPr>
            <w:tcW w:w="1085" w:type="dxa"/>
          </w:tcPr>
          <w:p w14:paraId="50D61BF0" w14:textId="77777777" w:rsidR="008D4CEF" w:rsidRDefault="00000000">
            <w:r>
              <w:t>0,6</w:t>
            </w:r>
          </w:p>
        </w:tc>
        <w:tc>
          <w:tcPr>
            <w:tcW w:w="4955" w:type="dxa"/>
          </w:tcPr>
          <w:p w14:paraId="40FAB3E2" w14:textId="77777777" w:rsidR="008D4CEF" w:rsidRDefault="00000000">
            <w:r>
              <w:t>Midstream-BGM liegt eine Stufe von Upstream (Ursprungsstufe) entfernt</w:t>
            </w:r>
          </w:p>
        </w:tc>
      </w:tr>
      <w:tr w:rsidR="008D4CEF" w14:paraId="108481B2" w14:textId="77777777" w:rsidTr="00674210">
        <w:tc>
          <w:tcPr>
            <w:tcW w:w="3021" w:type="dxa"/>
          </w:tcPr>
          <w:p w14:paraId="11DDFA66" w14:textId="77777777" w:rsidR="008D4CEF" w:rsidRDefault="00000000">
            <w:r>
              <w:t>ImportDep</w:t>
            </w:r>
          </w:p>
        </w:tc>
        <w:tc>
          <w:tcPr>
            <w:tcW w:w="1085" w:type="dxa"/>
          </w:tcPr>
          <w:p w14:paraId="0BDBD979" w14:textId="77777777" w:rsidR="008D4CEF" w:rsidRDefault="00000000">
            <w:r>
              <w:t>1,0</w:t>
            </w:r>
          </w:p>
        </w:tc>
        <w:tc>
          <w:tcPr>
            <w:tcW w:w="4955" w:type="dxa"/>
          </w:tcPr>
          <w:p w14:paraId="0C32B633" w14:textId="77777777" w:rsidR="008D4CEF" w:rsidRDefault="00000000">
            <w:r>
              <w:t>Kobalt gilt als importabhängig (Abschnitt 4.2.1)</w:t>
            </w:r>
          </w:p>
        </w:tc>
      </w:tr>
      <w:tr w:rsidR="008D4CEF" w14:paraId="4A964A14" w14:textId="77777777" w:rsidTr="00674210">
        <w:tc>
          <w:tcPr>
            <w:tcW w:w="3021" w:type="dxa"/>
          </w:tcPr>
          <w:p w14:paraId="467041DC" w14:textId="77777777" w:rsidR="008D4CEF" w:rsidRDefault="00000000">
            <w:r>
              <w:t>SupplierConc</w:t>
            </w:r>
          </w:p>
        </w:tc>
        <w:tc>
          <w:tcPr>
            <w:tcW w:w="1085" w:type="dxa"/>
          </w:tcPr>
          <w:p w14:paraId="5B9B779A" w14:textId="77777777" w:rsidR="008D4CEF" w:rsidRDefault="00000000">
            <w:r>
              <w:t>1,0</w:t>
            </w:r>
          </w:p>
        </w:tc>
        <w:tc>
          <w:tcPr>
            <w:tcW w:w="4955" w:type="dxa"/>
          </w:tcPr>
          <w:p w14:paraId="76483140" w14:textId="77777777" w:rsidR="008D4CEF" w:rsidRDefault="00000000">
            <w:r>
              <w:t>Kobalt gilt als hochkonzentriert (Abschnitt 4.2.1)</w:t>
            </w:r>
          </w:p>
        </w:tc>
      </w:tr>
      <w:tr w:rsidR="008D4CEF" w14:paraId="162B42B8" w14:textId="77777777" w:rsidTr="00674210">
        <w:tc>
          <w:tcPr>
            <w:tcW w:w="3021" w:type="dxa"/>
          </w:tcPr>
          <w:p w14:paraId="02A4B56A" w14:textId="77777777" w:rsidR="008D4CEF" w:rsidRDefault="00000000">
            <w:r>
              <w:t>SingleSourceDependency</w:t>
            </w:r>
          </w:p>
        </w:tc>
        <w:tc>
          <w:tcPr>
            <w:tcW w:w="1085" w:type="dxa"/>
          </w:tcPr>
          <w:p w14:paraId="03D05650" w14:textId="77777777" w:rsidR="008D4CEF" w:rsidRDefault="00000000">
            <w:r>
              <w:t>0,5</w:t>
            </w:r>
          </w:p>
        </w:tc>
        <w:tc>
          <w:tcPr>
            <w:tcW w:w="4955" w:type="dxa"/>
          </w:tcPr>
          <w:p w14:paraId="6A8BF462" w14:textId="77777777" w:rsidR="008D4CEF" w:rsidRDefault="00000000">
            <w:r>
              <w:t>Zwei direkte Lieferanten im Graphen (1 / 2)</w:t>
            </w:r>
          </w:p>
        </w:tc>
      </w:tr>
      <w:tr w:rsidR="008D4CEF" w14:paraId="08E36F40" w14:textId="77777777" w:rsidTr="00674210">
        <w:tc>
          <w:tcPr>
            <w:tcW w:w="3021" w:type="dxa"/>
          </w:tcPr>
          <w:p w14:paraId="14AB46FE" w14:textId="77777777" w:rsidR="008D4CEF" w:rsidRDefault="00000000">
            <w:r>
              <w:t>LeadTimeNorm</w:t>
            </w:r>
          </w:p>
        </w:tc>
        <w:tc>
          <w:tcPr>
            <w:tcW w:w="1085" w:type="dxa"/>
          </w:tcPr>
          <w:p w14:paraId="09CF2FF4" w14:textId="77777777" w:rsidR="008D4CEF" w:rsidRDefault="00000000">
            <w:r>
              <w:t>0,7143</w:t>
            </w:r>
          </w:p>
        </w:tc>
        <w:tc>
          <w:tcPr>
            <w:tcW w:w="4955" w:type="dxa"/>
          </w:tcPr>
          <w:p w14:paraId="6C6F6786" w14:textId="77777777" w:rsidR="008D4CEF" w:rsidRDefault="00000000">
            <w:r>
              <w:t>Normierte Vorlaufzeit-Schätzung (Abschnitt 4.2.1)</w:t>
            </w:r>
          </w:p>
        </w:tc>
      </w:tr>
      <w:tr w:rsidR="008D4CEF" w14:paraId="4B953091" w14:textId="77777777" w:rsidTr="00674210">
        <w:tc>
          <w:tcPr>
            <w:tcW w:w="3021" w:type="dxa"/>
          </w:tcPr>
          <w:p w14:paraId="182FAF90" w14:textId="77777777" w:rsidR="008D4CEF" w:rsidRPr="00674210" w:rsidRDefault="00000000">
            <w:pPr>
              <w:rPr>
                <w:bCs/>
              </w:rPr>
            </w:pPr>
            <w:r w:rsidRPr="00674210">
              <w:rPr>
                <w:bCs/>
              </w:rPr>
              <w:t>Vulnerability</w:t>
            </w:r>
          </w:p>
        </w:tc>
        <w:tc>
          <w:tcPr>
            <w:tcW w:w="1085" w:type="dxa"/>
          </w:tcPr>
          <w:p w14:paraId="786EDB76" w14:textId="77777777" w:rsidR="008D4CEF" w:rsidRPr="00674210" w:rsidRDefault="00000000">
            <w:pPr>
              <w:rPr>
                <w:bCs/>
              </w:rPr>
            </w:pPr>
            <w:r w:rsidRPr="00674210">
              <w:rPr>
                <w:bCs/>
              </w:rPr>
              <w:t>0,8321</w:t>
            </w:r>
          </w:p>
        </w:tc>
        <w:tc>
          <w:tcPr>
            <w:tcW w:w="4955" w:type="dxa"/>
          </w:tcPr>
          <w:p w14:paraId="4FE627E4" w14:textId="77777777" w:rsidR="008D4CEF" w:rsidRDefault="00000000">
            <w:r>
              <w:t>0,30 × 1,0 + 0,30 × 1,0 + 0,25 × 0,5 + 0,15 × 0,7143</w:t>
            </w:r>
          </w:p>
        </w:tc>
      </w:tr>
      <w:tr w:rsidR="008D4CEF" w14:paraId="7DB81EBA" w14:textId="77777777" w:rsidTr="00674210">
        <w:tc>
          <w:tcPr>
            <w:tcW w:w="3021" w:type="dxa"/>
          </w:tcPr>
          <w:p w14:paraId="3575033E" w14:textId="77777777" w:rsidR="008D4CEF" w:rsidRPr="00674210" w:rsidRDefault="00000000">
            <w:pPr>
              <w:rPr>
                <w:bCs/>
              </w:rPr>
            </w:pPr>
            <w:r w:rsidRPr="00674210">
              <w:rPr>
                <w:bCs/>
              </w:rPr>
              <w:t>CapacityShare</w:t>
            </w:r>
          </w:p>
        </w:tc>
        <w:tc>
          <w:tcPr>
            <w:tcW w:w="1085" w:type="dxa"/>
          </w:tcPr>
          <w:p w14:paraId="650A2FD2" w14:textId="77777777" w:rsidR="008D4CEF" w:rsidRPr="00674210" w:rsidRDefault="00000000">
            <w:pPr>
              <w:rPr>
                <w:bCs/>
              </w:rPr>
            </w:pPr>
            <w:r w:rsidRPr="00674210">
              <w:rPr>
                <w:bCs/>
              </w:rPr>
              <w:t>1,0</w:t>
            </w:r>
          </w:p>
        </w:tc>
        <w:tc>
          <w:tcPr>
            <w:tcW w:w="4955" w:type="dxa"/>
          </w:tcPr>
          <w:p w14:paraId="52D9845F" w14:textId="77777777" w:rsidR="008D4CEF" w:rsidRDefault="00000000">
            <w:r>
              <w:t>Midstream-BGM strukturell nicht vergleichbar, konservativer Standardwert</w:t>
            </w:r>
          </w:p>
        </w:tc>
      </w:tr>
      <w:tr w:rsidR="008D4CEF" w14:paraId="42E3CC8B" w14:textId="77777777" w:rsidTr="00674210">
        <w:tc>
          <w:tcPr>
            <w:tcW w:w="3021" w:type="dxa"/>
          </w:tcPr>
          <w:p w14:paraId="1B7FCD31" w14:textId="77777777" w:rsidR="008D4CEF" w:rsidRPr="00674210" w:rsidRDefault="00000000">
            <w:pPr>
              <w:rPr>
                <w:bCs/>
              </w:rPr>
            </w:pPr>
            <w:r w:rsidRPr="00674210">
              <w:rPr>
                <w:bCs/>
              </w:rPr>
              <w:t>ResilienceDiscount</w:t>
            </w:r>
          </w:p>
        </w:tc>
        <w:tc>
          <w:tcPr>
            <w:tcW w:w="1085" w:type="dxa"/>
          </w:tcPr>
          <w:p w14:paraId="10EFA1CD" w14:textId="77777777" w:rsidR="008D4CEF" w:rsidRPr="00674210" w:rsidRDefault="00000000">
            <w:pPr>
              <w:rPr>
                <w:bCs/>
              </w:rPr>
            </w:pPr>
            <w:r w:rsidRPr="00674210">
              <w:rPr>
                <w:bCs/>
              </w:rPr>
              <w:t>0,0</w:t>
            </w:r>
          </w:p>
        </w:tc>
        <w:tc>
          <w:tcPr>
            <w:tcW w:w="4955" w:type="dxa"/>
          </w:tcPr>
          <w:p w14:paraId="541EF682" w14:textId="77777777" w:rsidR="008D4CEF" w:rsidRDefault="00000000">
            <w:r>
              <w:t>(1 − 1,0) / 2</w:t>
            </w:r>
          </w:p>
        </w:tc>
      </w:tr>
      <w:tr w:rsidR="008D4CEF" w14:paraId="29836009" w14:textId="77777777" w:rsidTr="00674210">
        <w:tc>
          <w:tcPr>
            <w:tcW w:w="3021" w:type="dxa"/>
          </w:tcPr>
          <w:p w14:paraId="382AB8E1" w14:textId="77777777" w:rsidR="008D4CEF" w:rsidRPr="00674210" w:rsidRDefault="00000000">
            <w:pPr>
              <w:rPr>
                <w:bCs/>
              </w:rPr>
            </w:pPr>
            <w:r w:rsidRPr="00674210">
              <w:rPr>
                <w:bCs/>
              </w:rPr>
              <w:t>RiskScore (roh)</w:t>
            </w:r>
          </w:p>
        </w:tc>
        <w:tc>
          <w:tcPr>
            <w:tcW w:w="1085" w:type="dxa"/>
          </w:tcPr>
          <w:p w14:paraId="5A03550C" w14:textId="77777777" w:rsidR="008D4CEF" w:rsidRPr="00674210" w:rsidRDefault="00000000">
            <w:pPr>
              <w:rPr>
                <w:bCs/>
              </w:rPr>
            </w:pPr>
            <w:r w:rsidRPr="00674210">
              <w:rPr>
                <w:bCs/>
              </w:rPr>
              <w:t>1,997</w:t>
            </w:r>
          </w:p>
        </w:tc>
        <w:tc>
          <w:tcPr>
            <w:tcW w:w="4955" w:type="dxa"/>
          </w:tcPr>
          <w:p w14:paraId="4CE287DF" w14:textId="77777777" w:rsidR="008D4CEF" w:rsidRDefault="00000000">
            <w:r>
              <w:t>4 × 0,6 × 0,8321 × (1 − 0,0)</w:t>
            </w:r>
          </w:p>
        </w:tc>
      </w:tr>
      <w:tr w:rsidR="008D4CEF" w14:paraId="499EED61" w14:textId="77777777" w:rsidTr="00674210">
        <w:tc>
          <w:tcPr>
            <w:tcW w:w="3021" w:type="dxa"/>
          </w:tcPr>
          <w:p w14:paraId="300813EF" w14:textId="77777777" w:rsidR="008D4CEF" w:rsidRPr="00674210" w:rsidRDefault="00000000">
            <w:pPr>
              <w:rPr>
                <w:bCs/>
              </w:rPr>
            </w:pPr>
            <w:r w:rsidRPr="00674210">
              <w:rPr>
                <w:bCs/>
              </w:rPr>
              <w:t>RiskScore (0–100)</w:t>
            </w:r>
          </w:p>
        </w:tc>
        <w:tc>
          <w:tcPr>
            <w:tcW w:w="1085" w:type="dxa"/>
          </w:tcPr>
          <w:p w14:paraId="40F1896C" w14:textId="77777777" w:rsidR="008D4CEF" w:rsidRPr="00674210" w:rsidRDefault="00000000">
            <w:pPr>
              <w:rPr>
                <w:bCs/>
              </w:rPr>
            </w:pPr>
            <w:r w:rsidRPr="00674210">
              <w:rPr>
                <w:bCs/>
              </w:rPr>
              <w:t>39,94</w:t>
            </w:r>
          </w:p>
        </w:tc>
        <w:tc>
          <w:tcPr>
            <w:tcW w:w="4955" w:type="dxa"/>
          </w:tcPr>
          <w:p w14:paraId="0D31C6A9" w14:textId="77777777" w:rsidR="008D4CEF" w:rsidRDefault="00000000">
            <w:r>
              <w:t>1,997 / 5,0 × 100</w:t>
            </w:r>
          </w:p>
        </w:tc>
      </w:tr>
    </w:tbl>
    <w:p w14:paraId="71056D9D" w14:textId="77777777" w:rsidR="008D4CEF" w:rsidRDefault="00000000">
      <w:r>
        <w:t>Jeder Zwischenwert dieser Tabelle ist auch in der Benutzeroberfläche einsehbar (Abschnitt 4.4) und lässt sich auf die zugrunde liegenden Daten oder die im Text beschriebene Berechnungsvorschrift zurückführen.</w:t>
      </w:r>
    </w:p>
    <w:p w14:paraId="784B15E5" w14:textId="77777777" w:rsidR="008D4CEF" w:rsidRDefault="00000000" w:rsidP="00674210">
      <w:pPr>
        <w:pStyle w:val="3"/>
      </w:pPr>
      <w:bookmarkStart w:id="54" w:name="_Toc238658069"/>
      <w:r>
        <w:t>Berichtsgenerierung und Validierung (Synthesis, Validation)</w:t>
      </w:r>
      <w:bookmarkEnd w:id="54"/>
    </w:p>
    <w:p w14:paraId="7393E7C0" w14:textId="77777777" w:rsidR="008D4CEF" w:rsidRDefault="00000000">
      <w:r>
        <w:t>Die Formulierung des Berichtstexts im LLM-gestützten Teil des Synthesis Agent erhält als Eingabe für jede der drei am stärksten betroffenen Anlagen sämtliche zuvor berechneten Werte (einschließlich der vier Vulnerabilitäts-Teilterme mit Gewichtung, Produktangabe, Kapazität und Firmenprofil aus der NAATBatt-Datenbank) sowie den ursprünglichen Ereignistext. Für den Ausschluss materialfremder Inhalte aus dem Abschnitt zum Quellenkontext des Berichts erfolgt im Anschluss an die Modellausgabe eine deterministische Prüfung gegen die vom Intake Agent notierten, im selben Ereignis mitbetroffenen anderen Materialien; ein Treffer führt zur Ersetzung des betroffenen Abschnitts durch einen festen Hinweistext, ohne erneuten Modellaufruf.</w:t>
      </w:r>
    </w:p>
    <w:p w14:paraId="0C2EB0CE" w14:textId="77777777" w:rsidR="008D4CEF" w:rsidRDefault="00000000">
      <w:pPr>
        <w:rPr>
          <w:lang w:eastAsia="zh-CN"/>
        </w:rPr>
      </w:pPr>
      <w:r>
        <w:t>Der Validation Agent setzt die drei in Abschnitt 3.5.1 beschriebenen Prüfebenen technisch um: Lookup-basierte und regelbasierte Prüfungen laufen vollständig ohne Modellaufruf; die LLM-Prüfung erhält neben den bereits berechneten Werten auch den ursprünglichen Ereignistext als Referenzquelle für Aussagen über das Ereignis selbst.</w:t>
      </w:r>
    </w:p>
    <w:p w14:paraId="2ACD51E0" w14:textId="7F35C3AC" w:rsidR="00BE491F" w:rsidRPr="00BE491F" w:rsidRDefault="00BE491F">
      <w:pPr>
        <w:rPr>
          <w:lang w:eastAsia="zh-CN"/>
        </w:rPr>
      </w:pPr>
      <w:r>
        <w:lastRenderedPageBreak/>
        <w:t>Die in Abschnitt 3.3.6 beschriebene Qualitätsbewertung erfolgt in einem eigenen, zweiten Modellaufruf, getrennt von der Freigabeprüfung. Ein erster Implementierungsversuch fügte die Bewertungskriterien direkt in denselben Prompt wie die Freigabeprüfung ein; dabei sank die Trefferquote der bestehenden, in Abschnitt 5.6.2 dokumentierten Erkennung unbelegter Zeitangaben messbar. Dieselbe erfundene Angabe wurde in fünf aufeinanderfolgenden Durchläufen nicht mehr als Befund gemeldet, obwohl sie im Berichtstext unverändert vorhanden war. Ein alleinstehendes Bewertungskriterium beeinflusste damit ein eigentlich unabhängiges, bereits etabliertes Prüfkriterium im selben Modellaufruf, trotz expliziter Anweisung, die Freigabeprüfung zuerst und unbeeinflusst von der Qualitätsbewertung vorzunehmen. Die Aufteilung auf zwei getrennte Modellaufrufe behebt dieses Verhalten. Für die Qualitätsbewertung selbst erhält das Modell zusätzlich die von der Freigabeprüfung bereits gefundenen Befunde, damit insbesondere die Groundedness-Bewertung bei einem trotz Wiederholungsgrenze weiterhin unbelegten Bericht (Abschnitt 5.5) niedrig ausfällt. Der Gesamtwert je Bewertung ergibt sich als ungewichteter Durchschnitt der vier Einzeldimensionen, berechnet in Python statt vom Modell übernommen, aus derselben Begründung wie bei der RiskScore-Berechnung selbst (Abschnitt 4.3.3): Arithmetik ist keine Aufgabe für das Sprachmodell.</w:t>
      </w:r>
    </w:p>
    <w:p w14:paraId="764192A5" w14:textId="77777777" w:rsidR="008D4CEF" w:rsidRPr="00577E58" w:rsidRDefault="00000000" w:rsidP="00577E58">
      <w:pPr>
        <w:pStyle w:val="2"/>
      </w:pPr>
      <w:bookmarkStart w:id="55" w:name="_Toc238658070"/>
      <w:r w:rsidRPr="00577E58">
        <w:t>Benutzeroberfläche</w:t>
      </w:r>
      <w:bookmarkEnd w:id="55"/>
    </w:p>
    <w:p w14:paraId="4CA3AC8A" w14:textId="77777777" w:rsidR="008D4CEF" w:rsidRDefault="00000000">
      <w:r>
        <w:t>Die Benutzeroberfläche stellt den Ereignistext als Eingabefeld sowie eine Auswahl vorbereiteter Beispielszenarien zur Verfügung. Nach Abschluss eines Durchlaufs zeigt sie den Fortschritt über die sechs Agenten, den Schweregrad und die weiteren Klassifikationsmerkmale, eine farblich kodierte Statusmeldung zum Ergebnis der Seed-Bestimmung (Abschnitt 3.4.2), die drei am stärksten betroffenen Anlagen mit Kartendarstellung sowie den vollständigen Berichtstext. Ein einklappbarer Bereich macht zusätzlich die vollständige, schrittweise RiskScore-Berechnung (Abschnitt 4.3.3) für jede der drei Anlagen einsehbar. Dies dient unmittelbar der in Abschnitt 3.1 festgelegten Erklärbarkeits-Anforderung, da die Herkunft jeder einzelnen Zahl im Bericht damit für den Anwender nachvollziehbar bleibt, ohne den zugrunde liegenden Programmcode einsehen zu müssen.</w:t>
      </w:r>
    </w:p>
    <w:p w14:paraId="3E1F19DA" w14:textId="77777777" w:rsidR="008D4CEF" w:rsidRDefault="00000000" w:rsidP="00577E58">
      <w:pPr>
        <w:pStyle w:val="1"/>
      </w:pPr>
      <w:bookmarkStart w:id="56" w:name="_Toc238658071"/>
      <w:r>
        <w:lastRenderedPageBreak/>
        <w:t>Evaluation</w:t>
      </w:r>
      <w:bookmarkEnd w:id="56"/>
    </w:p>
    <w:p w14:paraId="4A2F935E" w14:textId="77777777" w:rsidR="008D4CEF" w:rsidRPr="00577E58" w:rsidRDefault="00000000" w:rsidP="00577E58">
      <w:pPr>
        <w:pStyle w:val="2"/>
      </w:pPr>
      <w:bookmarkStart w:id="57" w:name="_Toc238658072"/>
      <w:r w:rsidRPr="00577E58">
        <w:t>Evaluationskonzept und Bewertungskriterien</w:t>
      </w:r>
      <w:bookmarkEnd w:id="57"/>
    </w:p>
    <w:p w14:paraId="15B41281" w14:textId="77777777" w:rsidR="0052024D" w:rsidRDefault="0052024D">
      <w:pPr>
        <w:rPr>
          <w:lang w:eastAsia="zh-CN"/>
        </w:rPr>
      </w:pPr>
      <w:r w:rsidRPr="0052024D">
        <w:t>Die Evaluation folgt dem in Kapitel 3 eingeführten Design-Science-Research-Ansatz und prüft den entwickelten Prototyp anhand vierer Kriterien je Szenario: der korrekten Identifikation des betroffenen Lieferkettenpfads (Abschnitt 3.4), der Vollständigkeit und Nachvollziehbarkeit des erzeugten Berichts (Abschnitt 3.1), der Konsistenz der Validierungsfunktion über wiederholte Durchläufe hinweg (Abschnitt 3.5) sowie der vom Validation Agent vorgenommenen, strukturierten Qualitätsbewertung des jeweils abschließenden Berichts anhand von vier Dimensionen (Abschnitt 3.3.6, 4.3.4). Zur Prüfung des dritten Kriteriums durchläuft jedes Szenario mehrere identische Wiederholungen; eine Abweichung zwischen diesen Durchläufen gilt als Hinweis auf mangelnde Reproduzierbarkeit.</w:t>
      </w:r>
    </w:p>
    <w:p w14:paraId="7D2952AB" w14:textId="471BEF31" w:rsidR="008D4CEF" w:rsidRDefault="00000000">
      <w:r>
        <w:t>Als Eingabetexte dienen reale, öffentlich zugängliche Nachrichtenartikel an Stelle konstruierter Beispielsätze, um die Robustheit gegenüber der sprachlichen Vielfalt echter Berichterstattung zu prüfen; eine Ausnahme bildet Szenario S4, das gezielt den zweiten in Abschnitt 1.2 beschriebenen Eingabeweg (die direkte Nutzeranfrage) prüft. Die vier in den folgenden Abschnitten behandelten Szenarien decken zugleich alle drei in Abschnitt 3.4.2 beschriebenen Seed-Strategien ab: ein regionales, materialbezogenes Ereignis (Strategie A) in zwei Ausprägungen, ein anlagenspezifisches Ereignis mit Firmennennung (Strategie B) sowie ein regionales Ereignis ohne Material- oder Firmennennung (Strategie C).</w:t>
      </w:r>
    </w:p>
    <w:p w14:paraId="355563BB" w14:textId="77777777" w:rsidR="008D4CEF" w:rsidRPr="00577E58" w:rsidRDefault="00000000" w:rsidP="00577E58">
      <w:pPr>
        <w:pStyle w:val="2"/>
      </w:pPr>
      <w:bookmarkStart w:id="58" w:name="_Toc238658073"/>
      <w:r w:rsidRPr="00577E58">
        <w:t>Szenario S1: Exportverbot für Kobalt und Kupfer (Demokratische Republik Kongo)</w:t>
      </w:r>
      <w:bookmarkEnd w:id="58"/>
    </w:p>
    <w:p w14:paraId="27DFCF48" w14:textId="77777777" w:rsidR="008D4CEF" w:rsidRDefault="00000000">
      <w:r>
        <w:t>Der Eingabetext beschreibt ein im August 2026 verhängtes Exportverbot für Kupfer- und Kobaltkonzentrate aus der Demokratischen Republik Kongo. Der Intake Agent extrahiert Material und Region korrekt als Kobalt und die Demokratische Republik Kongo; der Risk Assessment Agent stuft das Ereignis als regulatorisches Risiko mit einem Schweregrad von vier von fünf und Ursprung in der Lieferkettenstufe Upstream ein. Strategie A findet hierüber 138 potenziell betroffene Anlagen, angeführt von der Long Harbour Processing Plant (Vale Canada Ltd.) mit einem RiskScore von 39,94 von 100.</w:t>
      </w:r>
    </w:p>
    <w:p w14:paraId="501FC889" w14:textId="77777777" w:rsidR="008D4CEF" w:rsidRDefault="00000000">
      <w:r>
        <w:t>Zehn identische Wiederholungen dieses Durchlaufs liefern in jedem Fall identische Werte für Material, Region, Schweregrad, Anzahl betroffener Anlagen sowie die drei am stärksten betroffenen Anlagen einschließlich ihrer RiskScores; der Validation Agent akzeptiert den Bericht in jedem Durchlauf im ersten Versuch als gültig.</w:t>
      </w:r>
    </w:p>
    <w:p w14:paraId="6E5CFF44" w14:textId="77777777" w:rsidR="008D4CEF" w:rsidRPr="00577E58" w:rsidRDefault="00000000" w:rsidP="00577E58">
      <w:pPr>
        <w:pStyle w:val="2"/>
      </w:pPr>
      <w:bookmarkStart w:id="59" w:name="_Toc238658074"/>
      <w:r w:rsidRPr="00577E58">
        <w:lastRenderedPageBreak/>
        <w:t>Szenario S2: Betriebsstopp durch Lizenzablauf (Lithium, China)</w:t>
      </w:r>
      <w:bookmarkEnd w:id="59"/>
    </w:p>
    <w:p w14:paraId="00B9C932" w14:textId="77777777" w:rsidR="008D4CEF" w:rsidRDefault="00000000">
      <w:r>
        <w:t>Der Eingabetext dieses Szenarios beschreibt die Einstellung des Betriebs einer Lithiummine des Unternehmens CATL in Yichun, China, infolge einer abgelaufenen Betriebsgenehmigung, eine Ereignisklasse (Betriebs- beziehungsweise Lizenzstopp), die sich von der in Abschnitt 5.2 behandelten regulatorischen Exportbeschränkung unterscheidet und zugleich China als weitere Herkunftsregion abdeckt.</w:t>
      </w:r>
    </w:p>
    <w:p w14:paraId="72682F72" w14:textId="77777777" w:rsidR="008D4CEF" w:rsidRDefault="00000000">
      <w:r>
        <w:t>Der Intake Agent extrahiert Lithium und China als Material und Region auf Länderebene, eine Auflösung, die der in Abschnitt 4.3.1 beschriebenen Granularitätsregel für Ereignisse außerhalb Nordamerikas entspricht, obwohl der Eingabetext die spezifischere Provinz Jiangxi nennt. Der Risk Assessment Agent stuft das Ereignis mit einem Schweregrad von drei und dem Risikotyp Lieferunterbrechung ein. Strategie A findet 129 potenziell betroffene Anlagen; die am stärksten betroffene Anlage erreicht einen RiskScore von 26,96 von 100.</w:t>
      </w:r>
    </w:p>
    <w:p w14:paraId="21F10FAB" w14:textId="77777777" w:rsidR="008D4CEF" w:rsidRDefault="00000000">
      <w:r>
        <w:t>Über zehn Wiederholungen bleiben Merkmalsextraktion, Klassifikation und die drei am stärksten betroffenen Anlagen samt RiskScores durchgehend identisch. Die Anzahl der bis zur Gültigkeit benötigten Validierungsdurchläufe variiert dagegen zwischen den Wiederholungen (ein bis drei Durchläufe) bei gleichbleibendem Endergebnis, ein Befund, der in Abschnitt 5.6 eingeordnet wird.</w:t>
      </w:r>
    </w:p>
    <w:p w14:paraId="37F2DDAD" w14:textId="77777777" w:rsidR="008D4CEF" w:rsidRPr="00577E58" w:rsidRDefault="00000000" w:rsidP="00577E58">
      <w:pPr>
        <w:pStyle w:val="2"/>
      </w:pPr>
      <w:bookmarkStart w:id="60" w:name="_Toc238658075"/>
      <w:r w:rsidRPr="00577E58">
        <w:t>Szenario S3: Anlagenspezifisches Ereignis (Panasonic, Kansas)</w:t>
      </w:r>
      <w:bookmarkEnd w:id="60"/>
    </w:p>
    <w:p w14:paraId="7B2F056B" w14:textId="77777777" w:rsidR="008D4CEF" w:rsidRDefault="00000000">
      <w:r>
        <w:t>Das dritte Szenario deckt ein anlagenspezifisches Ereignis ab: einen Brand in der Zellfertigungsanlage von Panasonic in De Soto, Kansas. Als Szenario für Strategie B deckt dieses Ereignis mit Firmennennung die Ausbreitung über tatsächlich verifizierte Lieferbeziehungen ab (Abschnitt 4.2.2).</w:t>
      </w:r>
    </w:p>
    <w:p w14:paraId="55EFD653" w14:textId="77777777" w:rsidR="008D4CEF" w:rsidRDefault="00000000">
      <w:r>
        <w:t>Der Intake Agent erkennt Panasonic als genannte Firma und De Soto, Kansas als zugehörigen Ort; die Entity-Matching-Strategie löst dies eindeutig auf die betreffende Anlage auf. Der Risk Assessment Agent stuft das Ereignis mit einem Schweregrad von zwei und Ursprung in der Lieferkettenstufe Midstream-Cell ein. Die vier über die BFS-Ausbreitung gefundenen betroffenen Anlagen umfassen neben dem Panasonic-Werk selbst (direkte Betroffenheit, RiskScore 15,26 von 100) zwei nachgelagerte Abnehmer über die in Abschnitt 4.2.2 genannten verifizierten Kanten: Lucid Motors (propagierte Betroffenheit, RiskScore 13,89) und Toyota (propagierte Betroffenheit, RiskScore 11,23). Über sämtliche zehn Wiederholungen bleiben diese Werte identisch.</w:t>
      </w:r>
    </w:p>
    <w:p w14:paraId="6CFE231D" w14:textId="77777777" w:rsidR="008D4CEF" w:rsidRPr="00577E58" w:rsidRDefault="00000000" w:rsidP="00577E58">
      <w:pPr>
        <w:pStyle w:val="2"/>
      </w:pPr>
      <w:bookmarkStart w:id="61" w:name="_Toc238658076"/>
      <w:r w:rsidRPr="00577E58">
        <w:t>Szenario S4: Direkte Nutzeranfrage ohne Material- oder Firmennennung (Michigan)</w:t>
      </w:r>
      <w:bookmarkEnd w:id="61"/>
    </w:p>
    <w:p w14:paraId="6C95FE20" w14:textId="77777777" w:rsidR="008D4CEF" w:rsidRDefault="00000000">
      <w:r>
        <w:t xml:space="preserve">Das vierte Szenario prüft den zweiten in Abschnitt 1.2 beschriebenen Eingabeweg: eine direkt formulierte Nutzeranfrage an Stelle eines Nachrichtenartikels. Der Eingabetext lautet: „What happens to battery material and component manufacturing in Michigan if a severe winter storm knocks out power across the state for several days?", </w:t>
      </w:r>
      <w:r>
        <w:lastRenderedPageBreak/>
        <w:t>eine hypothetische Frage ohne Nennung eines konkreten Materials oder Unternehmens.</w:t>
      </w:r>
    </w:p>
    <w:p w14:paraId="514315B9" w14:textId="77777777" w:rsidR="008D4CEF" w:rsidRDefault="00000000">
      <w:r>
        <w:t>Der Intake Agent erkennt trigger_type B (Nutzeranfrage) sowie Michigan als Region, ohne ein Material zu extrahieren. Der Risk Assessment Agent stuft das Ereignis mit einem Schweregrad von drei und dem Risikotyp Wetter ein, mit Ursprung in der Lieferkettenstufe Midstream-BGM. Da weder ein Material-Treffer noch eine genannte Firma vorliegt, findet Strategie C hierüber 84 potenziell betroffene Anlagen, angeführt von der Fairfield Facility (Nth Cycle, Ohio) mit einem RiskScore von 46,14 von 100. Die beiden nachfolgenden Anlagen der Top-3, die BASF Elyria Lithium-ion Battery Material Manufacturing Plant (Ohio, RiskScore 44,93) und die Toda America Battle Creek Lithium-ion Battery Material Manufacturing Plant I (Michigan, RiskScore 43,79), gehören beide zu BASF Toda America LLC; nur die Anlage in Battle Creek zählt dabei als direkt betroffen, die beiden Anlagen in Ohio erreicht das Ereignis über die BFS-Ausbreitung.</w:t>
      </w:r>
    </w:p>
    <w:p w14:paraId="15A53D0A" w14:textId="77777777" w:rsidR="008D4CEF" w:rsidRDefault="00000000">
      <w:r>
        <w:t>Zehn identische Wiederholungen liefern für Merkmalsextraktion, Klassifikation, Seed-Bestimmung über Strategie C und die berechneten RiskScores durchgehend identische Ergebnisse. Der Validation Agent zeigt dagegen ein deutlich unruhigeres Bild als bei den Szenarien S1 bis S3: Über zehn vollständige Pipeline-Durchläufe akzeptiert er den Bericht einmal bereits im ersten Versuch, einmal nach einer Wiederholung und in acht Fällen erst nach Erreichen der maximalen Wiederholungsgrenze, verbunden mit der expliziten Annahme des Berichts trotz weiterhin ungelöster Befunde. In sieben dieser acht Fälle nennt der Berichtstext eine erfundene Zeitspanne für die erwartete Wiederherstellung (in wechselnder Formulierung, meist sinngemäß „1-3 months“), obwohl der Eingabetext lediglich eine hypothetische Frage ohne Zeitangabe stellt. In mehreren Fällen tritt zusätzlich eine zweite, von Durchlauf zu Durchlauf wechselnde unbelegte Angabe auf, etwa eine im Ausgangstext nicht genannte, angeblich direkt betroffene Anlage oder eine Begründung mit „imported supply“ für Anlagen, deren Exposure-Feld sie als propagiert statt primär betroffen ausweist.</w:t>
      </w:r>
    </w:p>
    <w:p w14:paraId="0DECE92E" w14:textId="1DD3D300" w:rsidR="008D4CEF" w:rsidRDefault="00000000">
      <w:r>
        <w:t>Dieser Befund bestätigt aus einem eigenständigen, real auftretenden Fall heraus die in Abschnitt 5.6.2 anhand eines gezielt konstruierten Tests dokumentierte Grenze der Erklärbarkeit: Auch nach den dort beschriebenen Gegenmaßnahmen bleibt die vollständige Absicherung frei formulierter Berichtsinhalte gegen unbelegte Angaben nicht in jedem Fall gewährleistet.</w:t>
      </w:r>
      <w:r w:rsidR="00F32081">
        <w:fldChar w:fldCharType="begin"/>
      </w:r>
      <w:r w:rsidR="00F32081">
        <w:instrText xml:space="preserve"> REF _Ref238424253 \h </w:instrText>
      </w:r>
      <w:r w:rsidR="00F32081">
        <w:fldChar w:fldCharType="separate"/>
      </w:r>
      <w:r w:rsidR="007B3711">
        <w:t xml:space="preserve">Tabelle </w:t>
      </w:r>
      <w:r w:rsidR="007B3711">
        <w:rPr>
          <w:noProof/>
        </w:rPr>
        <w:t>4</w:t>
      </w:r>
      <w:r w:rsidR="00F32081">
        <w:fldChar w:fldCharType="end"/>
      </w:r>
      <w:r>
        <w:t xml:space="preserve"> fasst die Ergebnisse aller vier Szenarien zusammen.</w:t>
      </w:r>
    </w:p>
    <w:p w14:paraId="2FD544F4" w14:textId="4AC38E19" w:rsidR="00F32081" w:rsidRDefault="00F32081" w:rsidP="00F32081">
      <w:pPr>
        <w:pStyle w:val="a6"/>
        <w:keepNext/>
      </w:pPr>
      <w:bookmarkStart w:id="62" w:name="_Ref238424253"/>
      <w:bookmarkStart w:id="63" w:name="_Toc238658092"/>
      <w:r>
        <w:t xml:space="preserve">Tabelle </w:t>
      </w:r>
      <w:fldSimple w:instr=" SEQ Tabelle \* ARABIC ">
        <w:r w:rsidR="007B3711">
          <w:rPr>
            <w:noProof/>
          </w:rPr>
          <w:t>4</w:t>
        </w:r>
      </w:fldSimple>
      <w:bookmarkEnd w:id="62"/>
      <w:r w:rsidRPr="00674210">
        <w:rPr>
          <w:iCs/>
        </w:rPr>
        <w:t>: Zusammenfassung der Evaluationsergebnisse der Szenarien S1 bis S4</w:t>
      </w:r>
      <w:bookmarkEnd w:id="63"/>
    </w:p>
    <w:tbl>
      <w:tblPr>
        <w:tblStyle w:val="af4"/>
        <w:tblW w:w="0" w:type="auto"/>
        <w:tblLook w:val="04A0" w:firstRow="1" w:lastRow="0" w:firstColumn="1" w:lastColumn="0" w:noHBand="0" w:noVBand="1"/>
      </w:tblPr>
      <w:tblGrid>
        <w:gridCol w:w="1696"/>
        <w:gridCol w:w="1843"/>
        <w:gridCol w:w="1897"/>
        <w:gridCol w:w="1647"/>
        <w:gridCol w:w="1978"/>
      </w:tblGrid>
      <w:tr w:rsidR="008D4CEF" w14:paraId="125077BE" w14:textId="77777777" w:rsidTr="001D6EDD">
        <w:tc>
          <w:tcPr>
            <w:tcW w:w="1696" w:type="dxa"/>
          </w:tcPr>
          <w:p w14:paraId="070C74A6" w14:textId="77777777" w:rsidR="008D4CEF" w:rsidRDefault="008D4CEF"/>
        </w:tc>
        <w:tc>
          <w:tcPr>
            <w:tcW w:w="1843" w:type="dxa"/>
          </w:tcPr>
          <w:p w14:paraId="03E3BAC8" w14:textId="77777777" w:rsidR="008D4CEF" w:rsidRDefault="00000000">
            <w:r>
              <w:rPr>
                <w:b/>
              </w:rPr>
              <w:t>S1: Exportverbot (Kobalt, DR Kongo)</w:t>
            </w:r>
          </w:p>
        </w:tc>
        <w:tc>
          <w:tcPr>
            <w:tcW w:w="1897" w:type="dxa"/>
          </w:tcPr>
          <w:p w14:paraId="52814027" w14:textId="77777777" w:rsidR="008D4CEF" w:rsidRDefault="00000000">
            <w:r>
              <w:rPr>
                <w:b/>
              </w:rPr>
              <w:t>S2: Betriebsstopp (Lithium, China)</w:t>
            </w:r>
          </w:p>
        </w:tc>
        <w:tc>
          <w:tcPr>
            <w:tcW w:w="1647" w:type="dxa"/>
          </w:tcPr>
          <w:p w14:paraId="43870C88" w14:textId="77777777" w:rsidR="008D4CEF" w:rsidRDefault="00000000">
            <w:r>
              <w:rPr>
                <w:b/>
              </w:rPr>
              <w:t xml:space="preserve">S3: Anlagenbrand </w:t>
            </w:r>
            <w:r>
              <w:rPr>
                <w:b/>
              </w:rPr>
              <w:lastRenderedPageBreak/>
              <w:t>(Panasonic, Kansas)</w:t>
            </w:r>
          </w:p>
        </w:tc>
        <w:tc>
          <w:tcPr>
            <w:tcW w:w="1978" w:type="dxa"/>
          </w:tcPr>
          <w:p w14:paraId="2EF89A9E" w14:textId="77777777" w:rsidR="008D4CEF" w:rsidRDefault="00000000">
            <w:r>
              <w:rPr>
                <w:b/>
              </w:rPr>
              <w:lastRenderedPageBreak/>
              <w:t>S4: Nutzeranfrage (Michigan)</w:t>
            </w:r>
          </w:p>
        </w:tc>
      </w:tr>
      <w:tr w:rsidR="008D4CEF" w14:paraId="53426C1D" w14:textId="77777777" w:rsidTr="001D6EDD">
        <w:tc>
          <w:tcPr>
            <w:tcW w:w="1696" w:type="dxa"/>
          </w:tcPr>
          <w:p w14:paraId="340E6D6B" w14:textId="77777777" w:rsidR="008D4CEF" w:rsidRDefault="00000000">
            <w:r>
              <w:t>Seed-Strategie</w:t>
            </w:r>
          </w:p>
        </w:tc>
        <w:tc>
          <w:tcPr>
            <w:tcW w:w="1843" w:type="dxa"/>
          </w:tcPr>
          <w:p w14:paraId="288880F5" w14:textId="77777777" w:rsidR="008D4CEF" w:rsidRDefault="00000000">
            <w:r>
              <w:t>A</w:t>
            </w:r>
          </w:p>
        </w:tc>
        <w:tc>
          <w:tcPr>
            <w:tcW w:w="1897" w:type="dxa"/>
          </w:tcPr>
          <w:p w14:paraId="17C7FDBD" w14:textId="77777777" w:rsidR="008D4CEF" w:rsidRDefault="00000000">
            <w:r>
              <w:t>A</w:t>
            </w:r>
          </w:p>
        </w:tc>
        <w:tc>
          <w:tcPr>
            <w:tcW w:w="1647" w:type="dxa"/>
          </w:tcPr>
          <w:p w14:paraId="6E5E011E" w14:textId="77777777" w:rsidR="008D4CEF" w:rsidRDefault="00000000">
            <w:r>
              <w:t>B</w:t>
            </w:r>
          </w:p>
        </w:tc>
        <w:tc>
          <w:tcPr>
            <w:tcW w:w="1978" w:type="dxa"/>
          </w:tcPr>
          <w:p w14:paraId="275DC45A" w14:textId="77777777" w:rsidR="008D4CEF" w:rsidRDefault="00000000">
            <w:r>
              <w:t>C</w:t>
            </w:r>
          </w:p>
        </w:tc>
      </w:tr>
      <w:tr w:rsidR="008D4CEF" w14:paraId="502620EA" w14:textId="77777777" w:rsidTr="001D6EDD">
        <w:tc>
          <w:tcPr>
            <w:tcW w:w="1696" w:type="dxa"/>
          </w:tcPr>
          <w:p w14:paraId="363A6FF3" w14:textId="77777777" w:rsidR="008D4CEF" w:rsidRDefault="00000000">
            <w:r>
              <w:t>Schweregrad</w:t>
            </w:r>
          </w:p>
        </w:tc>
        <w:tc>
          <w:tcPr>
            <w:tcW w:w="1843" w:type="dxa"/>
          </w:tcPr>
          <w:p w14:paraId="7AE587D4" w14:textId="77777777" w:rsidR="008D4CEF" w:rsidRDefault="00000000">
            <w:r>
              <w:t>4</w:t>
            </w:r>
          </w:p>
        </w:tc>
        <w:tc>
          <w:tcPr>
            <w:tcW w:w="1897" w:type="dxa"/>
          </w:tcPr>
          <w:p w14:paraId="5298C5F4" w14:textId="77777777" w:rsidR="008D4CEF" w:rsidRDefault="00000000">
            <w:r>
              <w:t>3</w:t>
            </w:r>
          </w:p>
        </w:tc>
        <w:tc>
          <w:tcPr>
            <w:tcW w:w="1647" w:type="dxa"/>
          </w:tcPr>
          <w:p w14:paraId="49EEF7BC" w14:textId="77777777" w:rsidR="008D4CEF" w:rsidRDefault="00000000">
            <w:r>
              <w:t>2</w:t>
            </w:r>
          </w:p>
        </w:tc>
        <w:tc>
          <w:tcPr>
            <w:tcW w:w="1978" w:type="dxa"/>
          </w:tcPr>
          <w:p w14:paraId="6FA2B5D2" w14:textId="77777777" w:rsidR="008D4CEF" w:rsidRDefault="00000000">
            <w:r>
              <w:t>3</w:t>
            </w:r>
          </w:p>
        </w:tc>
      </w:tr>
      <w:tr w:rsidR="008D4CEF" w14:paraId="6A8B15CB" w14:textId="77777777" w:rsidTr="001D6EDD">
        <w:tc>
          <w:tcPr>
            <w:tcW w:w="1696" w:type="dxa"/>
          </w:tcPr>
          <w:p w14:paraId="61C992F0" w14:textId="77777777" w:rsidR="008D4CEF" w:rsidRDefault="00000000">
            <w:r>
              <w:t>Betroffene Anlagen</w:t>
            </w:r>
          </w:p>
        </w:tc>
        <w:tc>
          <w:tcPr>
            <w:tcW w:w="1843" w:type="dxa"/>
          </w:tcPr>
          <w:p w14:paraId="0D16EA8A" w14:textId="77777777" w:rsidR="008D4CEF" w:rsidRDefault="00000000">
            <w:r>
              <w:t>138</w:t>
            </w:r>
          </w:p>
        </w:tc>
        <w:tc>
          <w:tcPr>
            <w:tcW w:w="1897" w:type="dxa"/>
          </w:tcPr>
          <w:p w14:paraId="43307272" w14:textId="77777777" w:rsidR="008D4CEF" w:rsidRDefault="00000000">
            <w:r>
              <w:t>129</w:t>
            </w:r>
          </w:p>
        </w:tc>
        <w:tc>
          <w:tcPr>
            <w:tcW w:w="1647" w:type="dxa"/>
          </w:tcPr>
          <w:p w14:paraId="34A34FBD" w14:textId="77777777" w:rsidR="008D4CEF" w:rsidRDefault="00000000">
            <w:r>
              <w:t>4</w:t>
            </w:r>
          </w:p>
        </w:tc>
        <w:tc>
          <w:tcPr>
            <w:tcW w:w="1978" w:type="dxa"/>
          </w:tcPr>
          <w:p w14:paraId="7836D4B5" w14:textId="77777777" w:rsidR="008D4CEF" w:rsidRDefault="00000000">
            <w:r>
              <w:t>84</w:t>
            </w:r>
          </w:p>
        </w:tc>
      </w:tr>
      <w:tr w:rsidR="008D4CEF" w14:paraId="2C97BDFB" w14:textId="77777777" w:rsidTr="001D6EDD">
        <w:tc>
          <w:tcPr>
            <w:tcW w:w="1696" w:type="dxa"/>
          </w:tcPr>
          <w:p w14:paraId="74CFF81E" w14:textId="77777777" w:rsidR="008D4CEF" w:rsidRDefault="00000000">
            <w:r>
              <w:t>Top-3 RiskScores</w:t>
            </w:r>
          </w:p>
        </w:tc>
        <w:tc>
          <w:tcPr>
            <w:tcW w:w="1843" w:type="dxa"/>
          </w:tcPr>
          <w:p w14:paraId="696E7BE6" w14:textId="77777777" w:rsidR="008D4CEF" w:rsidRDefault="00000000">
            <w:r>
              <w:t>39,94 / 35,96 / 35,94</w:t>
            </w:r>
          </w:p>
        </w:tc>
        <w:tc>
          <w:tcPr>
            <w:tcW w:w="1897" w:type="dxa"/>
          </w:tcPr>
          <w:p w14:paraId="4E942110" w14:textId="77777777" w:rsidR="008D4CEF" w:rsidRDefault="00000000">
            <w:r>
              <w:t>26,96 / 23,14 / 18,39</w:t>
            </w:r>
          </w:p>
        </w:tc>
        <w:tc>
          <w:tcPr>
            <w:tcW w:w="1647" w:type="dxa"/>
          </w:tcPr>
          <w:p w14:paraId="23C53BFB" w14:textId="77777777" w:rsidR="008D4CEF" w:rsidRDefault="00000000">
            <w:r>
              <w:t>15,26 / 13,89 / 11,23</w:t>
            </w:r>
          </w:p>
        </w:tc>
        <w:tc>
          <w:tcPr>
            <w:tcW w:w="1978" w:type="dxa"/>
          </w:tcPr>
          <w:p w14:paraId="609AC581" w14:textId="77777777" w:rsidR="008D4CEF" w:rsidRDefault="00000000">
            <w:r>
              <w:t>46,14 / 44,93 / 43,79</w:t>
            </w:r>
          </w:p>
        </w:tc>
      </w:tr>
      <w:tr w:rsidR="008D4CEF" w14:paraId="4C0DBD45" w14:textId="77777777" w:rsidTr="001D6EDD">
        <w:tc>
          <w:tcPr>
            <w:tcW w:w="1696" w:type="dxa"/>
          </w:tcPr>
          <w:p w14:paraId="54601109" w14:textId="77777777" w:rsidR="008D4CEF" w:rsidRDefault="00000000">
            <w:r>
              <w:t>Reproduzierbarkeit (deterministische Werte)</w:t>
            </w:r>
          </w:p>
        </w:tc>
        <w:tc>
          <w:tcPr>
            <w:tcW w:w="1843" w:type="dxa"/>
          </w:tcPr>
          <w:p w14:paraId="047A71B8" w14:textId="77777777" w:rsidR="008D4CEF" w:rsidRDefault="00000000">
            <w:r>
              <w:t>identisch (10 Durchläufe)</w:t>
            </w:r>
          </w:p>
        </w:tc>
        <w:tc>
          <w:tcPr>
            <w:tcW w:w="1897" w:type="dxa"/>
          </w:tcPr>
          <w:p w14:paraId="68696573" w14:textId="77777777" w:rsidR="008D4CEF" w:rsidRDefault="00000000">
            <w:r>
              <w:t>identisch (10 Durchläufe)</w:t>
            </w:r>
          </w:p>
        </w:tc>
        <w:tc>
          <w:tcPr>
            <w:tcW w:w="1647" w:type="dxa"/>
          </w:tcPr>
          <w:p w14:paraId="2E65E32A" w14:textId="77777777" w:rsidR="008D4CEF" w:rsidRDefault="00000000">
            <w:r>
              <w:t>identisch (10 Durchläufe)</w:t>
            </w:r>
          </w:p>
        </w:tc>
        <w:tc>
          <w:tcPr>
            <w:tcW w:w="1978" w:type="dxa"/>
          </w:tcPr>
          <w:p w14:paraId="15C89BCD" w14:textId="41F1465E" w:rsidR="008D4CEF" w:rsidRDefault="00000000">
            <w:r>
              <w:t>identisch (</w:t>
            </w:r>
            <w:r w:rsidR="00FD61DA">
              <w:t>10</w:t>
            </w:r>
            <w:r>
              <w:t xml:space="preserve"> Durchläufe)</w:t>
            </w:r>
          </w:p>
        </w:tc>
      </w:tr>
      <w:tr w:rsidR="008D4CEF" w14:paraId="6CD1FEC3" w14:textId="77777777" w:rsidTr="001D6EDD">
        <w:tc>
          <w:tcPr>
            <w:tcW w:w="1696" w:type="dxa"/>
          </w:tcPr>
          <w:p w14:paraId="4622E9F1" w14:textId="77777777" w:rsidR="008D4CEF" w:rsidRDefault="00000000">
            <w:r>
              <w:t>Validierungsverhalten</w:t>
            </w:r>
          </w:p>
        </w:tc>
        <w:tc>
          <w:tcPr>
            <w:tcW w:w="1843" w:type="dxa"/>
          </w:tcPr>
          <w:p w14:paraId="44758F47" w14:textId="77777777" w:rsidR="008D4CEF" w:rsidRDefault="00000000">
            <w:r>
              <w:t>stets im ersten Versuch gültig</w:t>
            </w:r>
          </w:p>
        </w:tc>
        <w:tc>
          <w:tcPr>
            <w:tcW w:w="1897" w:type="dxa"/>
          </w:tcPr>
          <w:p w14:paraId="6D0670A1" w14:textId="2858302A" w:rsidR="008D4CEF" w:rsidRDefault="001D6EDD">
            <w:r w:rsidRPr="001D6EDD">
              <w:t>1–3 Durchläufe, stets gültig</w:t>
            </w:r>
          </w:p>
        </w:tc>
        <w:tc>
          <w:tcPr>
            <w:tcW w:w="1647" w:type="dxa"/>
          </w:tcPr>
          <w:p w14:paraId="2B1BC886" w14:textId="77777777" w:rsidR="008D4CEF" w:rsidRDefault="00000000">
            <w:r>
              <w:t>stets im ersten Versuch gültig</w:t>
            </w:r>
          </w:p>
        </w:tc>
        <w:tc>
          <w:tcPr>
            <w:tcW w:w="1978" w:type="dxa"/>
          </w:tcPr>
          <w:p w14:paraId="63E89611" w14:textId="6F680D17" w:rsidR="008D4CEF" w:rsidRDefault="00000000">
            <w:r>
              <w:t>1</w:t>
            </w:r>
            <w:r w:rsidR="001D6EDD">
              <w:rPr>
                <w:rFonts w:hint="eastAsia"/>
                <w:lang w:eastAsia="zh-CN"/>
              </w:rPr>
              <w:t>-</w:t>
            </w:r>
            <w:r>
              <w:t xml:space="preserve">3Durchläufe, </w:t>
            </w:r>
            <w:r w:rsidR="001D6EDD">
              <w:rPr>
                <w:rFonts w:hint="eastAsia"/>
                <w:lang w:eastAsia="zh-CN"/>
              </w:rPr>
              <w:t>8/10</w:t>
            </w:r>
            <w:r>
              <w:t xml:space="preserve"> Fällen mit </w:t>
            </w:r>
            <w:r w:rsidR="001D6EDD" w:rsidRPr="001D6EDD">
              <w:t>Warnhinweis akzeptiert</w:t>
            </w:r>
          </w:p>
        </w:tc>
      </w:tr>
    </w:tbl>
    <w:p w14:paraId="4F2770F4" w14:textId="77777777" w:rsidR="008D4CEF" w:rsidRPr="00577E58" w:rsidRDefault="00000000" w:rsidP="00577E58">
      <w:pPr>
        <w:pStyle w:val="2"/>
      </w:pPr>
      <w:bookmarkStart w:id="64" w:name="_Toc238658077"/>
      <w:r w:rsidRPr="00577E58">
        <w:t>Diskussion und Limitationen</w:t>
      </w:r>
      <w:bookmarkEnd w:id="64"/>
    </w:p>
    <w:p w14:paraId="3725330F" w14:textId="77777777" w:rsidR="008D4CEF" w:rsidRDefault="00000000" w:rsidP="00674210">
      <w:pPr>
        <w:pStyle w:val="3"/>
      </w:pPr>
      <w:bookmarkStart w:id="65" w:name="_Toc238658078"/>
      <w:r>
        <w:t>Reproduzierbarkeit</w:t>
      </w:r>
      <w:bookmarkEnd w:id="65"/>
    </w:p>
    <w:p w14:paraId="292487F0" w14:textId="77777777" w:rsidR="008D4CEF" w:rsidRDefault="00000000">
      <w:pPr>
        <w:rPr>
          <w:lang w:eastAsia="zh-CN"/>
        </w:rPr>
      </w:pPr>
      <w:r>
        <w:t>Die wiederholten Ausführungen zeigen, dass die für die Kernanalyse relevanten Ergebnisse unter den in Abschnitt 3.3 beschriebenen Modell- und Temperatureinstellungen (Temperatur null für sämtliche LLM-gestützten Agenten) stabil bleiben: Für alle vier Szenarien liefern Merkmalsextraktion, Klassifikation und die deterministisch berechneten RiskScores durchgehend identische Ergebnisse. Die in Abschnitt 5.3 beobachtete Variation der benötigten Validierungsdurchläufe bei identischem Endergebnis zeigt dabei eine Eigenschaft des in Abschnitt 3.5.2 beschriebenen Wiederholungsmechanismus: Geringfügige Schwankungen im Urteil der LLM-Prüfung gleicht der Mechanismus durch eine erneute Ausführung des betroffenen Schritts aus, ohne das inhaltliche Endergebnis zu verändern. Das in Abschnitt 5.5 dokumentierte Verhalten von Szenario S4 zeigt dagegen, dass dieser Ausgleich nicht uneingeschränkt gilt: Erschöpft sich die Wiederholungsgrenze, akzeptiert das System den Bericht auch mit weiterhin offenen, dem Anwender sichtbar gemachten Befunden. Der Validation Agent selbst stellt damit eine zusätzliche, nicht vollständig deterministische Fehlerquelle dar, nicht nur ein Prüfinstrument.</w:t>
      </w:r>
    </w:p>
    <w:p w14:paraId="75FD4DD8" w14:textId="557AC536" w:rsidR="0052024D" w:rsidRDefault="0052024D" w:rsidP="00BE491F">
      <w:pPr>
        <w:rPr>
          <w:lang w:eastAsia="zh-CN"/>
        </w:rPr>
      </w:pPr>
      <w:r>
        <w:lastRenderedPageBreak/>
        <w:t xml:space="preserve">Über die binäre Freigabeentscheidung hinaus bewertet der Validation Agent die Berichtsqualität anhand von vier Dimensionen (Groundedness, Konsistenz, Vollständigkeit und Erklärbarkeit, Abschnitt 3.3.6, 4.3.4). </w:t>
      </w:r>
      <w:r w:rsidR="00F32081">
        <w:fldChar w:fldCharType="begin"/>
      </w:r>
      <w:r w:rsidR="00F32081">
        <w:instrText xml:space="preserve"> REF _Ref238424254 \h </w:instrText>
      </w:r>
      <w:r w:rsidR="00F32081">
        <w:fldChar w:fldCharType="separate"/>
      </w:r>
      <w:r w:rsidR="007B3711">
        <w:t xml:space="preserve">Tabelle </w:t>
      </w:r>
      <w:r w:rsidR="007B3711">
        <w:rPr>
          <w:noProof/>
        </w:rPr>
        <w:t>5</w:t>
      </w:r>
      <w:r w:rsidR="00F32081">
        <w:fldChar w:fldCharType="end"/>
      </w:r>
      <w:r>
        <w:t xml:space="preserve"> zeigt den Mittelwert dieser Bewertung über zehn Wiederholungen je Szenario.</w:t>
      </w:r>
    </w:p>
    <w:p w14:paraId="087826F7" w14:textId="245C5C22" w:rsidR="00F32081" w:rsidRDefault="00F32081" w:rsidP="00F32081">
      <w:pPr>
        <w:pStyle w:val="a6"/>
        <w:keepNext/>
      </w:pPr>
      <w:bookmarkStart w:id="66" w:name="_Ref238424254"/>
      <w:bookmarkStart w:id="67" w:name="_Toc238658093"/>
      <w:r>
        <w:t xml:space="preserve">Tabelle </w:t>
      </w:r>
      <w:fldSimple w:instr=" SEQ Tabelle \* ARABIC ">
        <w:r w:rsidR="007B3711">
          <w:rPr>
            <w:noProof/>
          </w:rPr>
          <w:t>5</w:t>
        </w:r>
      </w:fldSimple>
      <w:bookmarkEnd w:id="66"/>
      <w:r w:rsidRPr="00F32081">
        <w:rPr>
          <w:lang w:eastAsia="zh-CN"/>
        </w:rPr>
        <w:t>:</w:t>
      </w:r>
      <w:r w:rsidRPr="00F32081">
        <w:rPr>
          <w:iCs/>
          <w:lang w:eastAsia="zh-CN"/>
        </w:rPr>
        <w:t xml:space="preserve"> </w:t>
      </w:r>
      <w:r w:rsidR="00FD61DA" w:rsidRPr="00FD61DA">
        <w:rPr>
          <w:iCs/>
          <w:lang w:eastAsia="zh-CN"/>
        </w:rPr>
        <w:t>Durchschnittliche Qualitätsbewertung der Szenarien S1 bis S4 über zehn Wiederholungen</w:t>
      </w:r>
      <w:bookmarkEnd w:id="67"/>
    </w:p>
    <w:tbl>
      <w:tblPr>
        <w:tblStyle w:val="Tabellengitternetz"/>
        <w:tblW w:w="0" w:type="auto"/>
        <w:tblLayout w:type="fixed"/>
        <w:tblLook w:val="04A0" w:firstRow="1" w:lastRow="0" w:firstColumn="1" w:lastColumn="0" w:noHBand="0" w:noVBand="1"/>
      </w:tblPr>
      <w:tblGrid>
        <w:gridCol w:w="1791"/>
        <w:gridCol w:w="1068"/>
        <w:gridCol w:w="992"/>
        <w:gridCol w:w="993"/>
        <w:gridCol w:w="1275"/>
      </w:tblGrid>
      <w:tr w:rsidR="00BE491F" w:rsidRPr="00BE491F" w14:paraId="1BF931A8" w14:textId="77777777" w:rsidTr="00BE491F">
        <w:tc>
          <w:tcPr>
            <w:tcW w:w="1791" w:type="dxa"/>
            <w:hideMark/>
          </w:tcPr>
          <w:p w14:paraId="1B09A554" w14:textId="77777777" w:rsidR="00BE491F" w:rsidRPr="0052024D" w:rsidRDefault="00BE491F" w:rsidP="00BE491F">
            <w:pPr>
              <w:rPr>
                <w:lang w:eastAsia="zh-CN"/>
              </w:rPr>
            </w:pPr>
          </w:p>
        </w:tc>
        <w:tc>
          <w:tcPr>
            <w:tcW w:w="1068" w:type="dxa"/>
            <w:hideMark/>
          </w:tcPr>
          <w:p w14:paraId="5C18578A" w14:textId="77777777" w:rsidR="00BE491F" w:rsidRPr="00BE491F" w:rsidRDefault="00BE491F" w:rsidP="00BE491F">
            <w:pPr>
              <w:rPr>
                <w:b/>
                <w:bCs/>
                <w:lang w:val="en-US" w:eastAsia="zh-CN"/>
              </w:rPr>
            </w:pPr>
            <w:r w:rsidRPr="00BE491F">
              <w:rPr>
                <w:b/>
                <w:bCs/>
                <w:lang w:val="en-US" w:eastAsia="zh-CN"/>
              </w:rPr>
              <w:t>S1</w:t>
            </w:r>
          </w:p>
        </w:tc>
        <w:tc>
          <w:tcPr>
            <w:tcW w:w="992" w:type="dxa"/>
            <w:hideMark/>
          </w:tcPr>
          <w:p w14:paraId="2CE322AC" w14:textId="77777777" w:rsidR="00BE491F" w:rsidRPr="00BE491F" w:rsidRDefault="00BE491F" w:rsidP="00BE491F">
            <w:pPr>
              <w:rPr>
                <w:b/>
                <w:bCs/>
                <w:lang w:val="en-US" w:eastAsia="zh-CN"/>
              </w:rPr>
            </w:pPr>
            <w:r w:rsidRPr="00BE491F">
              <w:rPr>
                <w:b/>
                <w:bCs/>
                <w:lang w:val="en-US" w:eastAsia="zh-CN"/>
              </w:rPr>
              <w:t>S2</w:t>
            </w:r>
          </w:p>
        </w:tc>
        <w:tc>
          <w:tcPr>
            <w:tcW w:w="993" w:type="dxa"/>
            <w:hideMark/>
          </w:tcPr>
          <w:p w14:paraId="20B5FCA6" w14:textId="77777777" w:rsidR="00BE491F" w:rsidRPr="00BE491F" w:rsidRDefault="00BE491F" w:rsidP="00BE491F">
            <w:pPr>
              <w:rPr>
                <w:b/>
                <w:bCs/>
                <w:lang w:val="en-US" w:eastAsia="zh-CN"/>
              </w:rPr>
            </w:pPr>
            <w:r w:rsidRPr="00BE491F">
              <w:rPr>
                <w:b/>
                <w:bCs/>
                <w:lang w:val="en-US" w:eastAsia="zh-CN"/>
              </w:rPr>
              <w:t>S3</w:t>
            </w:r>
          </w:p>
        </w:tc>
        <w:tc>
          <w:tcPr>
            <w:tcW w:w="1275" w:type="dxa"/>
            <w:hideMark/>
          </w:tcPr>
          <w:p w14:paraId="00AA2FD2" w14:textId="77777777" w:rsidR="00BE491F" w:rsidRPr="00BE491F" w:rsidRDefault="00BE491F" w:rsidP="00BE491F">
            <w:pPr>
              <w:rPr>
                <w:b/>
                <w:bCs/>
                <w:lang w:val="en-US" w:eastAsia="zh-CN"/>
              </w:rPr>
            </w:pPr>
            <w:r w:rsidRPr="00BE491F">
              <w:rPr>
                <w:b/>
                <w:bCs/>
                <w:lang w:val="en-US" w:eastAsia="zh-CN"/>
              </w:rPr>
              <w:t>S4</w:t>
            </w:r>
          </w:p>
        </w:tc>
      </w:tr>
      <w:tr w:rsidR="0052024D" w:rsidRPr="00BE491F" w14:paraId="4DE559AC" w14:textId="77777777" w:rsidTr="00BE491F">
        <w:tc>
          <w:tcPr>
            <w:tcW w:w="1791" w:type="dxa"/>
            <w:hideMark/>
          </w:tcPr>
          <w:p w14:paraId="41F2AD82" w14:textId="732DCC28" w:rsidR="0052024D" w:rsidRPr="00BE491F" w:rsidRDefault="0052024D" w:rsidP="0052024D">
            <w:pPr>
              <w:rPr>
                <w:lang w:val="en-US" w:eastAsia="zh-CN"/>
              </w:rPr>
            </w:pPr>
            <w:r w:rsidRPr="00FE558F">
              <w:t>Groundedness</w:t>
            </w:r>
          </w:p>
        </w:tc>
        <w:tc>
          <w:tcPr>
            <w:tcW w:w="1068" w:type="dxa"/>
            <w:hideMark/>
          </w:tcPr>
          <w:p w14:paraId="15F73167" w14:textId="35ECC91E" w:rsidR="0052024D" w:rsidRPr="00BE491F" w:rsidRDefault="0052024D" w:rsidP="0052024D">
            <w:pPr>
              <w:rPr>
                <w:lang w:val="en-US" w:eastAsia="zh-CN"/>
              </w:rPr>
            </w:pPr>
            <w:r w:rsidRPr="00FE558F">
              <w:t>4,80</w:t>
            </w:r>
          </w:p>
        </w:tc>
        <w:tc>
          <w:tcPr>
            <w:tcW w:w="992" w:type="dxa"/>
            <w:hideMark/>
          </w:tcPr>
          <w:p w14:paraId="472EFE21" w14:textId="1DC73C05" w:rsidR="0052024D" w:rsidRPr="00BE491F" w:rsidRDefault="0052024D" w:rsidP="0052024D">
            <w:pPr>
              <w:rPr>
                <w:lang w:val="en-US" w:eastAsia="zh-CN"/>
              </w:rPr>
            </w:pPr>
            <w:r w:rsidRPr="00FE558F">
              <w:t>5,00</w:t>
            </w:r>
          </w:p>
        </w:tc>
        <w:tc>
          <w:tcPr>
            <w:tcW w:w="993" w:type="dxa"/>
            <w:hideMark/>
          </w:tcPr>
          <w:p w14:paraId="70D81D4A" w14:textId="2F309F18" w:rsidR="0052024D" w:rsidRPr="00BE491F" w:rsidRDefault="0052024D" w:rsidP="0052024D">
            <w:pPr>
              <w:rPr>
                <w:lang w:val="en-US" w:eastAsia="zh-CN"/>
              </w:rPr>
            </w:pPr>
            <w:r w:rsidRPr="00FE558F">
              <w:t>5,00</w:t>
            </w:r>
          </w:p>
        </w:tc>
        <w:tc>
          <w:tcPr>
            <w:tcW w:w="1275" w:type="dxa"/>
            <w:hideMark/>
          </w:tcPr>
          <w:p w14:paraId="2DE88FE7" w14:textId="734A0F9F" w:rsidR="0052024D" w:rsidRPr="00BE491F" w:rsidRDefault="0052024D" w:rsidP="0052024D">
            <w:pPr>
              <w:rPr>
                <w:lang w:val="en-US" w:eastAsia="zh-CN"/>
              </w:rPr>
            </w:pPr>
            <w:r w:rsidRPr="00FE558F">
              <w:t>3,00</w:t>
            </w:r>
          </w:p>
        </w:tc>
      </w:tr>
      <w:tr w:rsidR="0052024D" w:rsidRPr="00BE491F" w14:paraId="2193422E" w14:textId="77777777" w:rsidTr="00BE491F">
        <w:tc>
          <w:tcPr>
            <w:tcW w:w="1791" w:type="dxa"/>
            <w:hideMark/>
          </w:tcPr>
          <w:p w14:paraId="72AE03A2" w14:textId="4EF2A7F2" w:rsidR="0052024D" w:rsidRPr="00BE491F" w:rsidRDefault="0052024D" w:rsidP="0052024D">
            <w:pPr>
              <w:rPr>
                <w:lang w:val="en-US" w:eastAsia="zh-CN"/>
              </w:rPr>
            </w:pPr>
            <w:r w:rsidRPr="00FE558F">
              <w:t>Consistency</w:t>
            </w:r>
          </w:p>
        </w:tc>
        <w:tc>
          <w:tcPr>
            <w:tcW w:w="1068" w:type="dxa"/>
            <w:hideMark/>
          </w:tcPr>
          <w:p w14:paraId="18CE4A20" w14:textId="03CB8702" w:rsidR="0052024D" w:rsidRPr="00BE491F" w:rsidRDefault="0052024D" w:rsidP="0052024D">
            <w:pPr>
              <w:rPr>
                <w:lang w:val="en-US" w:eastAsia="zh-CN"/>
              </w:rPr>
            </w:pPr>
            <w:r w:rsidRPr="00FE558F">
              <w:t>4,90</w:t>
            </w:r>
          </w:p>
        </w:tc>
        <w:tc>
          <w:tcPr>
            <w:tcW w:w="992" w:type="dxa"/>
            <w:hideMark/>
          </w:tcPr>
          <w:p w14:paraId="3CFE733C" w14:textId="55B27FA1" w:rsidR="0052024D" w:rsidRPr="00BE491F" w:rsidRDefault="0052024D" w:rsidP="0052024D">
            <w:pPr>
              <w:rPr>
                <w:lang w:val="en-US" w:eastAsia="zh-CN"/>
              </w:rPr>
            </w:pPr>
            <w:r w:rsidRPr="00FE558F">
              <w:t>5,00</w:t>
            </w:r>
          </w:p>
        </w:tc>
        <w:tc>
          <w:tcPr>
            <w:tcW w:w="993" w:type="dxa"/>
            <w:hideMark/>
          </w:tcPr>
          <w:p w14:paraId="089794D3" w14:textId="4550BF6A" w:rsidR="0052024D" w:rsidRPr="00BE491F" w:rsidRDefault="0052024D" w:rsidP="0052024D">
            <w:pPr>
              <w:rPr>
                <w:lang w:val="en-US" w:eastAsia="zh-CN"/>
              </w:rPr>
            </w:pPr>
            <w:r w:rsidRPr="00FE558F">
              <w:t>5,00</w:t>
            </w:r>
          </w:p>
        </w:tc>
        <w:tc>
          <w:tcPr>
            <w:tcW w:w="1275" w:type="dxa"/>
            <w:hideMark/>
          </w:tcPr>
          <w:p w14:paraId="3A3515D4" w14:textId="41BBF7F0" w:rsidR="0052024D" w:rsidRPr="00BE491F" w:rsidRDefault="0052024D" w:rsidP="0052024D">
            <w:pPr>
              <w:rPr>
                <w:lang w:val="en-US" w:eastAsia="zh-CN"/>
              </w:rPr>
            </w:pPr>
            <w:r w:rsidRPr="00FE558F">
              <w:t>4,20</w:t>
            </w:r>
          </w:p>
        </w:tc>
      </w:tr>
      <w:tr w:rsidR="0052024D" w:rsidRPr="00BE491F" w14:paraId="2F60796C" w14:textId="77777777" w:rsidTr="00BE491F">
        <w:tc>
          <w:tcPr>
            <w:tcW w:w="1791" w:type="dxa"/>
            <w:hideMark/>
          </w:tcPr>
          <w:p w14:paraId="295EA239" w14:textId="64330C0F" w:rsidR="0052024D" w:rsidRPr="00BE491F" w:rsidRDefault="0052024D" w:rsidP="0052024D">
            <w:pPr>
              <w:rPr>
                <w:lang w:val="en-US" w:eastAsia="zh-CN"/>
              </w:rPr>
            </w:pPr>
            <w:r w:rsidRPr="00FE558F">
              <w:t>Completeness</w:t>
            </w:r>
          </w:p>
        </w:tc>
        <w:tc>
          <w:tcPr>
            <w:tcW w:w="1068" w:type="dxa"/>
            <w:hideMark/>
          </w:tcPr>
          <w:p w14:paraId="2E82316F" w14:textId="01E633C2" w:rsidR="0052024D" w:rsidRPr="00BE491F" w:rsidRDefault="0052024D" w:rsidP="0052024D">
            <w:pPr>
              <w:rPr>
                <w:lang w:val="en-US" w:eastAsia="zh-CN"/>
              </w:rPr>
            </w:pPr>
            <w:r w:rsidRPr="00FE558F">
              <w:t>5,00</w:t>
            </w:r>
          </w:p>
        </w:tc>
        <w:tc>
          <w:tcPr>
            <w:tcW w:w="992" w:type="dxa"/>
            <w:hideMark/>
          </w:tcPr>
          <w:p w14:paraId="53AF492A" w14:textId="2CBBAA66" w:rsidR="0052024D" w:rsidRPr="00BE491F" w:rsidRDefault="0052024D" w:rsidP="0052024D">
            <w:pPr>
              <w:rPr>
                <w:lang w:val="en-US" w:eastAsia="zh-CN"/>
              </w:rPr>
            </w:pPr>
            <w:r w:rsidRPr="00FE558F">
              <w:t>5,00</w:t>
            </w:r>
          </w:p>
        </w:tc>
        <w:tc>
          <w:tcPr>
            <w:tcW w:w="993" w:type="dxa"/>
            <w:hideMark/>
          </w:tcPr>
          <w:p w14:paraId="0696A1EF" w14:textId="238D3405" w:rsidR="0052024D" w:rsidRPr="00BE491F" w:rsidRDefault="0052024D" w:rsidP="0052024D">
            <w:pPr>
              <w:rPr>
                <w:lang w:val="en-US" w:eastAsia="zh-CN"/>
              </w:rPr>
            </w:pPr>
            <w:r w:rsidRPr="00FE558F">
              <w:t>5,00</w:t>
            </w:r>
          </w:p>
        </w:tc>
        <w:tc>
          <w:tcPr>
            <w:tcW w:w="1275" w:type="dxa"/>
            <w:hideMark/>
          </w:tcPr>
          <w:p w14:paraId="5BCF00D9" w14:textId="66E68088" w:rsidR="0052024D" w:rsidRPr="00BE491F" w:rsidRDefault="0052024D" w:rsidP="0052024D">
            <w:pPr>
              <w:rPr>
                <w:lang w:val="en-US" w:eastAsia="zh-CN"/>
              </w:rPr>
            </w:pPr>
            <w:r w:rsidRPr="00FE558F">
              <w:t>5,00</w:t>
            </w:r>
          </w:p>
        </w:tc>
      </w:tr>
      <w:tr w:rsidR="0052024D" w:rsidRPr="00BE491F" w14:paraId="6ABA6812" w14:textId="77777777" w:rsidTr="00BE491F">
        <w:tc>
          <w:tcPr>
            <w:tcW w:w="1791" w:type="dxa"/>
            <w:hideMark/>
          </w:tcPr>
          <w:p w14:paraId="231EEFFD" w14:textId="5FEBC8F3" w:rsidR="0052024D" w:rsidRPr="00BE491F" w:rsidRDefault="0052024D" w:rsidP="0052024D">
            <w:pPr>
              <w:rPr>
                <w:lang w:val="en-US" w:eastAsia="zh-CN"/>
              </w:rPr>
            </w:pPr>
            <w:r w:rsidRPr="00FE558F">
              <w:t>Explainability</w:t>
            </w:r>
          </w:p>
        </w:tc>
        <w:tc>
          <w:tcPr>
            <w:tcW w:w="1068" w:type="dxa"/>
            <w:hideMark/>
          </w:tcPr>
          <w:p w14:paraId="74E988E2" w14:textId="68527B7F" w:rsidR="0052024D" w:rsidRPr="00BE491F" w:rsidRDefault="0052024D" w:rsidP="0052024D">
            <w:pPr>
              <w:rPr>
                <w:lang w:val="en-US" w:eastAsia="zh-CN"/>
              </w:rPr>
            </w:pPr>
            <w:r w:rsidRPr="00FE558F">
              <w:t>4,90</w:t>
            </w:r>
          </w:p>
        </w:tc>
        <w:tc>
          <w:tcPr>
            <w:tcW w:w="992" w:type="dxa"/>
            <w:hideMark/>
          </w:tcPr>
          <w:p w14:paraId="3E354D59" w14:textId="4864A2F3" w:rsidR="0052024D" w:rsidRPr="00BE491F" w:rsidRDefault="0052024D" w:rsidP="0052024D">
            <w:pPr>
              <w:rPr>
                <w:lang w:val="en-US" w:eastAsia="zh-CN"/>
              </w:rPr>
            </w:pPr>
            <w:r w:rsidRPr="00FE558F">
              <w:t>5,00</w:t>
            </w:r>
          </w:p>
        </w:tc>
        <w:tc>
          <w:tcPr>
            <w:tcW w:w="993" w:type="dxa"/>
            <w:hideMark/>
          </w:tcPr>
          <w:p w14:paraId="1DE523EE" w14:textId="4FA3146D" w:rsidR="0052024D" w:rsidRPr="00BE491F" w:rsidRDefault="0052024D" w:rsidP="0052024D">
            <w:pPr>
              <w:rPr>
                <w:lang w:val="en-US" w:eastAsia="zh-CN"/>
              </w:rPr>
            </w:pPr>
            <w:r w:rsidRPr="00FE558F">
              <w:t>5,00</w:t>
            </w:r>
          </w:p>
        </w:tc>
        <w:tc>
          <w:tcPr>
            <w:tcW w:w="1275" w:type="dxa"/>
            <w:hideMark/>
          </w:tcPr>
          <w:p w14:paraId="7AA017B5" w14:textId="261DF7B8" w:rsidR="0052024D" w:rsidRPr="00BE491F" w:rsidRDefault="0052024D" w:rsidP="0052024D">
            <w:pPr>
              <w:rPr>
                <w:lang w:val="en-US" w:eastAsia="zh-CN"/>
              </w:rPr>
            </w:pPr>
            <w:r w:rsidRPr="00FE558F">
              <w:t>4,40</w:t>
            </w:r>
          </w:p>
        </w:tc>
      </w:tr>
      <w:tr w:rsidR="0052024D" w:rsidRPr="00BE491F" w14:paraId="59323627" w14:textId="77777777" w:rsidTr="00BE491F">
        <w:tc>
          <w:tcPr>
            <w:tcW w:w="1791" w:type="dxa"/>
            <w:hideMark/>
          </w:tcPr>
          <w:p w14:paraId="0C377B58" w14:textId="4B4ADE14" w:rsidR="0052024D" w:rsidRPr="00BE491F" w:rsidRDefault="0052024D" w:rsidP="0052024D">
            <w:pPr>
              <w:rPr>
                <w:lang w:val="en-US" w:eastAsia="zh-CN"/>
              </w:rPr>
            </w:pPr>
            <w:r w:rsidRPr="00FE558F">
              <w:t>Overall</w:t>
            </w:r>
          </w:p>
        </w:tc>
        <w:tc>
          <w:tcPr>
            <w:tcW w:w="1068" w:type="dxa"/>
            <w:hideMark/>
          </w:tcPr>
          <w:p w14:paraId="47839BA9" w14:textId="50243B91" w:rsidR="0052024D" w:rsidRPr="00BE491F" w:rsidRDefault="0052024D" w:rsidP="0052024D">
            <w:pPr>
              <w:rPr>
                <w:lang w:val="en-US" w:eastAsia="zh-CN"/>
              </w:rPr>
            </w:pPr>
            <w:r w:rsidRPr="00FE558F">
              <w:t>4,90</w:t>
            </w:r>
          </w:p>
        </w:tc>
        <w:tc>
          <w:tcPr>
            <w:tcW w:w="992" w:type="dxa"/>
            <w:hideMark/>
          </w:tcPr>
          <w:p w14:paraId="1EF7812E" w14:textId="491FB6D5" w:rsidR="0052024D" w:rsidRPr="00BE491F" w:rsidRDefault="0052024D" w:rsidP="0052024D">
            <w:pPr>
              <w:rPr>
                <w:lang w:val="en-US" w:eastAsia="zh-CN"/>
              </w:rPr>
            </w:pPr>
            <w:r w:rsidRPr="00FE558F">
              <w:t>5,00</w:t>
            </w:r>
          </w:p>
        </w:tc>
        <w:tc>
          <w:tcPr>
            <w:tcW w:w="993" w:type="dxa"/>
            <w:hideMark/>
          </w:tcPr>
          <w:p w14:paraId="182392F0" w14:textId="3DAF6372" w:rsidR="0052024D" w:rsidRPr="00BE491F" w:rsidRDefault="0052024D" w:rsidP="0052024D">
            <w:pPr>
              <w:rPr>
                <w:lang w:val="en-US" w:eastAsia="zh-CN"/>
              </w:rPr>
            </w:pPr>
            <w:r w:rsidRPr="00FE558F">
              <w:t>5,00</w:t>
            </w:r>
          </w:p>
        </w:tc>
        <w:tc>
          <w:tcPr>
            <w:tcW w:w="1275" w:type="dxa"/>
            <w:hideMark/>
          </w:tcPr>
          <w:p w14:paraId="27C8B0C5" w14:textId="2E759AB3" w:rsidR="0052024D" w:rsidRPr="00BE491F" w:rsidRDefault="0052024D" w:rsidP="0052024D">
            <w:pPr>
              <w:rPr>
                <w:lang w:val="en-US" w:eastAsia="zh-CN"/>
              </w:rPr>
            </w:pPr>
            <w:r w:rsidRPr="00FE558F">
              <w:t>4,15</w:t>
            </w:r>
          </w:p>
        </w:tc>
      </w:tr>
    </w:tbl>
    <w:p w14:paraId="2C676211" w14:textId="328F3132" w:rsidR="00BE491F" w:rsidRPr="00E22A34" w:rsidRDefault="0052024D" w:rsidP="00BE491F">
      <w:pPr>
        <w:rPr>
          <w:lang w:eastAsia="zh-CN"/>
        </w:rPr>
      </w:pPr>
      <w:r>
        <w:t>Szenario S4 erreicht den niedrigsten Mittelwert: Die Groundedness-Bewertung bleibt über alle zehn Wiederholungen bei drei von fünf und spiegelt damit den weiter oben dokumentierten, trotz Erschöpfung der Wiederholungsgrenze weiterhin ungelösten Befund wider; die Konsistenz-Bewertung sinkt in acht der zehn Wiederholungen zusätzlich auf vier, wenn der Berichtstext an einer Stelle eine Zeitspanne als unbekannt bezeichnet und an anderer Stelle dennoch eine konkrete Zeitspanne nennt. Auch Szenario S1 weicht in einer der zehn Wiederholungen von den sonst durchgehend erreichten Höchstwerten ab, mit demselben Muster aus geringerer Groundedness und geringerer Konsistenz. Die Erklärbarkeits-Bewertung bewertet unabhängig davon, ob die Begründung der Top-3-Anlagen jeweils anlagenspezifische Faktoren benennt statt austauschbarer, auf jede Anlage übertragbarer Formulierungen, und variiert dementsprechend auch innerhalb einzelner Szenarien zwischen den Wiederholungen. Konsistenz und Vollständigkeit erreichen dagegen als weitgehend durch die feste Berichtsstruktur und die deterministische Berechnung vorgegebene Dimensionen in den Szenarien S2 und S3 über alle zehn Wiederholungen den Höchstwert; eine ergänzende Stichprobe von sechs weiteren Wiederholungen für Szenario S2 bestätigt dieses Bild, ohne eine vereinzelt auftretende Abweichung, etwa bei der Erklärbarkeits-Bewertung, angesichts der bereits weiter oben beschriebenen, nicht vollständig deterministischen LLM-Prüfung grundsätzlich auszuschließen. Eine deterministische Untergrenze verhindert dabei, dass ein als ungültig eingestufter Bericht dennoch eine hohe Qualitätsbewertung erhält: Bei einem schwerwiegenden Befund senkt eine Regel Groundedness und Konsistenz auf höchstens zwei, bei einem geringfügigen Befund Groundedness auf höchstens vier, unabhängig von der eigenen Einschätzung des Sprachmodells.</w:t>
      </w:r>
    </w:p>
    <w:p w14:paraId="797FD295" w14:textId="77777777" w:rsidR="008D4CEF" w:rsidRDefault="00000000" w:rsidP="00674210">
      <w:pPr>
        <w:pStyle w:val="3"/>
      </w:pPr>
      <w:bookmarkStart w:id="68" w:name="_Toc238658079"/>
      <w:r>
        <w:lastRenderedPageBreak/>
        <w:t>Grenzen der Erklärbarkeit: ein empirisch geprüfter Fall</w:t>
      </w:r>
      <w:bookmarkEnd w:id="68"/>
    </w:p>
    <w:p w14:paraId="37BE9A83" w14:textId="77777777" w:rsidR="008D4CEF" w:rsidRDefault="00000000">
      <w:r>
        <w:t>Die in Abschnitt 3.1 festgelegte Anforderung, jede Risikoaussage im Bericht auf eine nachvollziehbare Berechnung oder eine Textstelle im Ausgangsmaterial zurückzuführen, erreicht das System nicht in jedem Fall vollständig. Ein gezielt konstruierter, nicht auf einer Manipulation des Eingabetexts beruhender Test macht dies sichtbar: Ein Eingabetext, der eine Betriebsunterbrechung ohne Angabe einer Dauer beschreibt und die Dauer explizit als unbekannt bezeichnet, führt in mehreren Wiederholungen zu einer im Bericht genannten, konkreten Zeitspanne für die erwartete Wiederherstellung, einer Angabe ohne Grundlage im Ausgangstext.</w:t>
      </w:r>
    </w:p>
    <w:p w14:paraId="263A5B26" w14:textId="77777777" w:rsidR="008D4CEF" w:rsidRDefault="00000000">
      <w:r>
        <w:t>Zwei aufeinanderfolgende Gegenmaßnahmen adressieren diesen Befund. Eine Ergänzung der Prompt-Vorgaben des Synthesis Agent um ein explizites Verbot derartiger Angaben senkt die Häufigkeit des Auftretens, ohne sie vollständig zu beseitigen. Eine anschließende Erweiterung der LLM-Prüfung des Validation Agent um den ursprünglichen Ereignistext als Referenzquelle (zuvor ausschließlich für die bereits berechneten Werte verfügbar, siehe Abschnitt 3.5.1) ermöglicht der Prüfung grundsätzlich die Erkennung derartiger unbelegter Angaben. In einer ersten, entsprechend strengen Fassung erzeugt diese Erweiterung eine neue Fehlerquelle: Die Prüfung markiert auch begründete analytische Einschätzungen des Synthesis Agent (etwa die Einordnung eines Ereignisses als bedeutende Störung auf Grundlage bekannter Marktanteile) fälschlich als unbelegt, obwohl derartige Schlussfolgerungen der bestimmungsgemäßen Aufgabe des Agenten entsprechen. Eine Eingrenzung der Prüfung auf konkrete, prüfbare Einzelangaben (Zeiträume, Mengen, benannte Ursachen) behebt diesen Fehlalarm und führt zugleich dazu, dass der ursprünglich adressierte Fall in Wiederholungen nicht mehr zuverlässig erkannt wird.</w:t>
      </w:r>
    </w:p>
    <w:p w14:paraId="27C78631" w14:textId="77777777" w:rsidR="008D4CEF" w:rsidRDefault="00000000">
      <w:r>
        <w:t>Dieser Befund kennzeichnet damit keine offene, sondern eine geprüfte und eingeordnete Grenze der Erklärbarkeit dieses Systems: Die strukturelle Trennung zwischen LLM und deterministischer Berechnung (Abschnitt 3.2.1) schließt eine Veränderung bereits berechneter Werte durch ein LLM zuverlässig aus; die freie, sprachliche Formulierung des Berichtstexts durch ein LLM unterliegt dieser Absicherung dagegen nicht in gleichem Maße. Eine vollständige, deterministische Nachbearbeitung dieses Falls (analog zur in Abschnitt 4.3.4 beschriebenen Bereinigung materialfremder Inhalte) setzt ein festes, abzählbares Vokabular unzulässiger Angaben voraus; für frei formulierte Zeit- und Mengenangaben besteht ein solches Vokabular nicht in vergleichbarer Form. Das in Abschnitt 5.5 dokumentierte Verhalten von Szenario S4 bestätigt diese Einschätzung unabhängig vom hier beschriebenen, gezielt konstruierten Test: Auch bei einem real formulierten Eingabetext tritt dasselbe Muster unbelegter Zeitangaben reproduzierbar auf, verbunden mit einem weiteren, bisher nicht dokumentierten Fall unbelegter Angaben zu Importabhängigkeiten.</w:t>
      </w:r>
    </w:p>
    <w:p w14:paraId="2C73C0EC" w14:textId="77777777" w:rsidR="008D4CEF" w:rsidRDefault="00000000" w:rsidP="00674210">
      <w:pPr>
        <w:pStyle w:val="3"/>
      </w:pPr>
      <w:bookmarkStart w:id="69" w:name="_Toc238658080"/>
      <w:r>
        <w:lastRenderedPageBreak/>
        <w:t>Weitere während der Entwicklung dokumentierte Grenzen</w:t>
      </w:r>
      <w:bookmarkEnd w:id="69"/>
    </w:p>
    <w:p w14:paraId="6FBCDD45" w14:textId="77777777" w:rsidR="008D4CEF" w:rsidRDefault="00000000">
      <w:r>
        <w:t>Über den in Abschnitt 5.6.2 beschriebenen Fall hinaus dokumentiert die Entwicklung dieses Systems zwei weitere, strukturell bedingte Grenzen: das Fehlen einer Modellierung von Transportwegen oder Logistikknoten, wodurch ein Ereignis dieser Art zwar grundsätzlich als relevant erkannt, mangels einer Material- oder Firmenzuordnung keiner Anlage zugeordnet wird und stattdessen einen expliziten Hinweis auf diese Grenze an Stelle eines erfundenen Ergebnisses erhält; sowie die Beschränkung der Begründung der drei am stärksten betroffenen Anlagen im Berichtstext auf die berechneten Werte, ohne den in Abschnitt 3.4.3 beschriebenen Ausbreitungspfad in Textform nachzuzeichnen, dessen Angabe bislang ausschließlich über die in Abschnitt 4.4 beschriebene, einklappbare Detailansicht der Benutzeroberfläche erfolgt.</w:t>
      </w:r>
    </w:p>
    <w:p w14:paraId="3B81A178" w14:textId="77777777" w:rsidR="008D4CEF" w:rsidRDefault="00000000" w:rsidP="00577E58">
      <w:pPr>
        <w:pStyle w:val="1"/>
      </w:pPr>
      <w:bookmarkStart w:id="70" w:name="_Toc238658081"/>
      <w:r>
        <w:lastRenderedPageBreak/>
        <w:t>Fazit und Ausblick</w:t>
      </w:r>
      <w:bookmarkEnd w:id="70"/>
    </w:p>
    <w:p w14:paraId="771C46BE" w14:textId="77777777" w:rsidR="008D4CEF" w:rsidRPr="00577E58" w:rsidRDefault="00000000" w:rsidP="00577E58">
      <w:pPr>
        <w:pStyle w:val="2"/>
      </w:pPr>
      <w:bookmarkStart w:id="71" w:name="_Toc238658082"/>
      <w:r w:rsidRPr="00577E58">
        <w:t>Zusammenfassung der Ergebnisse</w:t>
      </w:r>
      <w:bookmarkEnd w:id="71"/>
    </w:p>
    <w:p w14:paraId="12D2D22D" w14:textId="77777777" w:rsidR="008D4CEF" w:rsidRDefault="00000000">
      <w:r>
        <w:t>Die zentrale Fragestellung dieser Arbeit betrifft die Gestaltung eines Multi-Agenten-Systems auf Basis von Large Language Models, das unstrukturierte Nachrichtendaten mit strukturierten Lieferkettendaten zuverlässig verknüpft und daraus erklärbare Risikowarnungen erzeugt. Die vorangegangenen Kapitel beantworten diese Fragestellung anhand eines lauffähigen Prototyps und vierer durchgeführter Szenarien.</w:t>
      </w:r>
    </w:p>
    <w:p w14:paraId="3CD5B215" w14:textId="77777777" w:rsidR="008D4CEF" w:rsidRDefault="00000000">
      <w:r>
        <w:t>Die Aufteilung der Aufgabe auf sechs spezialisierte Agenten mit einer klaren Trennung zwischen sprachlicher Verarbeitung durch LLM-Komponenten und deterministischer Berechnung (Kapitel 3 und 4) liefert in den wiederholten Durchläufen der vier Szenarien durchgehend identische Merkmalsextraktion, Klassifikation und RiskScore-Werte (Kapitel 5). Der Validation Agent als eigenständige Prüfinstanz akzeptiert die Szenarien S1 bis S3 stets innerhalb der vorgesehenen Wiederholungsgrenze; die in Abschnitt 5.3 beobachtete Schwankung der Anzahl benötigter Validierungsdurchläufe verändert das inhaltliche Endergebnis dort nicht. Für Szenario S4 zeigt sich dagegen, dass diese Prüfinstanz selbst zu einer Quelle von Unsicherheit werden kann: In acht von zehn Durchläufen erschöpft sich die Wiederholungsgrenze, und das System akzeptiert den Bericht mit weiterhin ungelösten, dem Anwender sichtbar gemachten Befunden (Abschnitt 5.5). Die vier Szenarien decken zugleich alle drei implementierten Strategien der Ausgangspunktbestimmung ab: die regional-materialbezogene Zuordnung für Massenereignisse ohne Firmennennung, die anlagenspezifische Zuordnung für Ereignisse mit Firmennennung (einschließlich der Ausbreitung über tatsächlich verifizierte Lieferbeziehungen im Fall von Panasonic, Lucid Motors und Toyota) sowie den LLM-gestützten Fallback für regionale Ereignisse ohne Material- oder Firmennennung.</w:t>
      </w:r>
    </w:p>
    <w:p w14:paraId="6D1DB022" w14:textId="77777777" w:rsidR="008D4CEF" w:rsidRDefault="00000000">
      <w:r>
        <w:t>Jede im Bericht genannte Kennzahl lässt sich auf eine nachvollziehbare Berechnung zurückführen, wie das in Abschnitt 4.3.3 vorgestellte und in der Benutzeroberfläche einsehbare Rechenbeispiel zeigt. Die strukturelle Trennung zwischen LLM und deterministischer Berechnung schließt eine nachträgliche Veränderung bereits berechneter Werte durch ein LLM aus. Für die freie, sprachliche Formulierung des Berichtstexts besteht diese Absicherung dagegen nicht im gleichen Maße, wie der in Abschnitt 5.6.2 dokumentierte Befund zu unbelegten Zeitangaben zeigt.</w:t>
      </w:r>
    </w:p>
    <w:p w14:paraId="26FB06C2" w14:textId="77777777" w:rsidR="008D4CEF" w:rsidRPr="00577E58" w:rsidRDefault="00000000" w:rsidP="00577E58">
      <w:pPr>
        <w:pStyle w:val="2"/>
      </w:pPr>
      <w:bookmarkStart w:id="72" w:name="_Toc238658083"/>
      <w:r w:rsidRPr="00577E58">
        <w:t>Einordnung und Grenzen</w:t>
      </w:r>
      <w:bookmarkEnd w:id="72"/>
    </w:p>
    <w:p w14:paraId="073F0471" w14:textId="77777777" w:rsidR="008D4CEF" w:rsidRDefault="00000000">
      <w:r>
        <w:t xml:space="preserve">Im Vergleich zu kommerziellen Überwachungsplattformen wie Prewave [4] oder Resilinc [1], deren Risikoeinschätzungen für Nutzende nicht im Detail nachvollziehbar sind, macht der entwickelte Prototyp jede Kennzahl auf eine konkrete Berechnung oder eine Textstelle im Ausgangsmaterial rückführbar. Diese Nachvollziehbarkeit erstreckt sich derzeit auf die berechneten Werte selbst; die Ausbreitung über die Lieferkette wird im </w:t>
      </w:r>
      <w:r>
        <w:lastRenderedPageBreak/>
        <w:t>Berichtstext nicht in Prosaform nachgezeichnet, sondern ausschließlich über die einklappbare Detailansicht der Benutzeroberfläche zugänglich gemacht (Abschnitt 5.6.3).</w:t>
      </w:r>
    </w:p>
    <w:p w14:paraId="179A0CDD" w14:textId="77777777" w:rsidR="008D4CEF" w:rsidRDefault="00000000">
      <w:r>
        <w:t>Die Aussagekraft der Ergebnisse ist an die zugrunde liegende Datenbasis gebunden. Von den 1020 Kanten des Lieferkettengraphen beruhen vier auf extern recherchierten, verifizierten Lieferbeziehungen; die übrigen Kanten entstehen aus einer regel- und geografiebasierten Simulation (Abschnitt 4.2.2). Für 36 Prozent der Anlagen liegt eine reale Produktionskapazität vor, für die übrigen wird das Fehlen des Werts nicht als Nullkapazität, sondern als unbekannt behandelt (Abschnitt 4.2.3). Der berechnete RiskScore dient damit der Priorisierung innerhalb eines Ereignisses und nicht der Angabe einer kalibrierten Eintrittswahrscheinlichkeit.</w:t>
      </w:r>
    </w:p>
    <w:p w14:paraId="0BEC3B67" w14:textId="77777777" w:rsidR="008D4CEF" w:rsidRDefault="00000000">
      <w:r>
        <w:t>Zwei strukturelle Grenzen betreffen die Abdeckung der Ereignistypen. Transport- und Logistikrisiken wie Hafenschließungen oder Streckensperrungen sind nicht modelliert, da weder die Anlagendaten noch der Lieferkettengraph Transportrouten erfassen; das System erkennt derartige Ereignisse als relevant und weist explizit auf die fehlende Analysemöglichkeit hin, an Stelle einer stillschweigenden Fehlzuordnung (Abschnitt 5.6.3). Ereignisse mit mehreren betroffenen Materialien innerhalb eines Textes werden auf ein einzelnes Material reduziert, da die Merkmalsextraktion des Intake Agent pro Durchlauf ein Material vorsieht. Der Ereignistext in Szenario S1 (Abschnitt 5.2) nennt etwa sowohl Kupfer- als auch Kobaltkonzentrate, wovon die Merkmalsextraktion ausschließlich Kobalt erfasst.</w:t>
      </w:r>
    </w:p>
    <w:p w14:paraId="00AF8BFB" w14:textId="77777777" w:rsidR="008D4CEF" w:rsidRDefault="00000000">
      <w:r>
        <w:t>Der Validation Agent selbst stellt keine vollständig verlässliche Prüfinstanz dar. Das in Abschnitt 5.5 dokumentierte Verhalten von Szenario S4 zeigt, dass die LLM-gestützte Prüfung nicht in jedem Durchlauf zum gleichen Urteil gelangt: In acht von zehn Durchläufen erschöpft sich die vorgesehene Wiederholungsgrenze, und das System akzeptiert den Bericht mit weiterhin ungelösten, dem Anwender sichtbar gemachten Befunden, statt eine bereinigte Fassung zu liefern. Der Validation Agent reduziert damit die Häufigkeit unbelegter Angaben im Berichtstext, beseitigt sie aber nicht zuverlässig. Er stellt selbst eine, wenn auch offen ausgewiesene, Quelle von Unsicherheit dar.</w:t>
      </w:r>
    </w:p>
    <w:p w14:paraId="6999BA14" w14:textId="77777777" w:rsidR="008D4CEF" w:rsidRPr="00577E58" w:rsidRDefault="00000000" w:rsidP="00577E58">
      <w:pPr>
        <w:pStyle w:val="2"/>
      </w:pPr>
      <w:bookmarkStart w:id="73" w:name="_Toc238658084"/>
      <w:r w:rsidRPr="00577E58">
        <w:t>Ausblick</w:t>
      </w:r>
      <w:bookmarkEnd w:id="73"/>
    </w:p>
    <w:p w14:paraId="49847D50" w14:textId="77777777" w:rsidR="008D4CEF" w:rsidRDefault="00000000">
      <w:r>
        <w:t>Die im Rahmen dieser Arbeit identifizierten Grenzen ergeben mehrere konkrete Ansatzpunkte für die Weiterentwicklung des Systems.</w:t>
      </w:r>
    </w:p>
    <w:p w14:paraId="7AC84884" w14:textId="77777777" w:rsidR="008D4CEF" w:rsidRDefault="00000000">
      <w:r>
        <w:t xml:space="preserve">Ein zentraler Punkt betrifft zunächst die Qualität der zugrunde liegenden Lieferkettendaten. Die NAATBatt-Datenbank stellt umfangreiche Informationen zu Unternehmen und Produktionsanlagen bereit, enthält aber keine direkten Lieferbeziehungen zwischen den einzelnen Anlagen. Der überwiegende Teil der im Prototyp verwendeten Netzwerkverbindungen entsteht deshalb auf Grundlage von Materialzuordnung, Lieferkettenstufe und geografischer Nähe (Abschnitt 4.2.2). Die Aussagekraft der ermittelten Ausbreitungspfade hängt damit unmittelbar von diesen Modellannahmen ab. Die </w:t>
      </w:r>
      <w:r>
        <w:lastRenderedPageBreak/>
        <w:t>Integration verifizierter Supplier-Buyer-Beziehungen aus Unternehmensangaben, öffentlich zugänglichen Quellen oder spezialisierten Lieferkettendatenbanken bildet einen naheliegenden nächsten Schritt für zukünftige Arbeiten und ersetzt den derzeit modellierten Lieferkettengraphen schrittweise durch eine realitätsnähere Netzwerkstruktur.</w:t>
      </w:r>
    </w:p>
    <w:p w14:paraId="7092E3B7" w14:textId="77777777" w:rsidR="008D4CEF" w:rsidRDefault="00000000">
      <w:r>
        <w:t>Ein zweiter Ansatzpunkt betrifft die Abdeckung komplexerer Risikoereignisse. Die aktuelle Merkmalsextraktion verarbeitet pro Analysedurchlauf nur ein Material. Enthält ein Nachrichtenartikel mehrere gleichzeitig betroffene Materialien oder mehrere voneinander unterscheidbare Ereignisse, verarbeitet das System daher nur einen Teil der enthaltenen Risikoinformation weiter. Der Ereignistext in Szenario S1 (Abschnitt 5.2) beschreibt zugleich ein Exportverbot für Kupfer- und Kobaltkonzentrate, während die Merkmalsextraktion dort ausschließlich Kobalt als Material erfasst (Abschnitt 6.2). Gerade längere reale Nachrichtenartikel nennen zudem häufig mehrere Unternehmen, Standorte und Materialien gleichzeitig, wobei nicht immer eindeutig ist, welche der genannten Entitäten das eigentliche Subjekt des jeweiligen Ereignisses bildet. Eine Erweiterung um eine Multi-Event- und Multi-Material-Extraktion zerlegt solche Texte zunächst in mehrere strukturierte Ereignisobjekte (im Fall von S1 etwa Kobalt/DR Kongo/Exportverbot und Kupfer/DR Kongo/Exportverbot) und analysiert deren Auswirkungen anschließend getrennt; überschneidende Betroffenheiten führt das System danach auf Anlagenebene zusammen. Diese Erweiterung reduziert die derzeitige Beschränkung auf ein einzelnes Ereignismerkmal, ohne die nachfolgenden Verarbeitungsschritte grundsätzlich neu zu gestalten.</w:t>
      </w:r>
    </w:p>
    <w:p w14:paraId="4E36D5BF" w14:textId="77777777" w:rsidR="008D4CEF" w:rsidRDefault="00000000">
      <w:r>
        <w:t>Darüber hinaus ist die aktuell betrachtete Netzwerkstruktur auf Produktionsanlagen und deren modellierte Lieferbeziehungen beschränkt. Transportwege, Häfen oder andere Logistikknoten sind nicht Bestandteil des Modells. Ereignisse wie Hafenschließungen, Streckensperrungen oder Unterbrechungen wichtiger Transportrouten erkennt das System zwar als potenziell relevante Lieferkettenereignisse, propagiert sie aber nicht zuverlässig auf konkrete Anlagen (Abschnitt 5.6.3). Eine Erweiterung um Transport- und Logistikdaten baut den bestehenden Lieferkettengraphen zu einem mehrtypigen Netzwerk aus Produktions- und Logistikknoten aus (etwa in der Form Anlage → Hafen → Transportroute → Hafen → Anlage) und berücksichtigt dadurch neben produktions- und materialbezogenen Störungen auch logistische Ausfallpfade systematisch.</w:t>
      </w:r>
    </w:p>
    <w:p w14:paraId="28B2DA61" w14:textId="77777777" w:rsidR="008D4CEF" w:rsidRDefault="00000000">
      <w:r>
        <w:t xml:space="preserve">Weiterer Forschungsbedarf besteht bei der quantitativen Risikobewertung. Der in dieser Arbeit verwendete RiskScore dient der relativen Priorisierung potenziell betroffener Anlagen innerhalb eines analysierten Ereignisses; die verwendeten Faktoren und Gewichtungen stellen Modellannahmen dar und sind nicht als empirisch kalibrierte Eintrittswahrscheinlichkeiten oder Schadensprognosen zu interpretieren (Abschnitt 6.2). Historische Störungsereignisse, dokumentierte Auswirkungen oder Expertenbewertungen bieten sich zukünftig als Grundlage an, um die Auswahl und Gewichtung der Einflussfaktoren empirisch zu untersuchen. Auf dieser Grundlage lässt sich prüfen, ob </w:t>
      </w:r>
      <w:r>
        <w:lastRenderedPageBreak/>
        <w:t>die gegenwärtige Bewertungslogik auch über unterschiedliche Ereignisklassen hinweg belastbare Rangfolgen erzeugt und in welchem Umfang eine Kalibrierung der einzelnen Faktoren erforderlich ist.</w:t>
      </w:r>
    </w:p>
    <w:p w14:paraId="7070747B" w14:textId="77777777" w:rsidR="008D4CEF" w:rsidRDefault="00000000">
      <w:r>
        <w:t>Eine weitere Entwicklungsrichtung betrifft die Absicherung der sprachlich erzeugten Berichtsinhalte. Die Evaluation zeigt, dass die deterministische Verarbeitung bereits berechneter Kennzahlen eine Veränderung dieser Werte durch das LLM verhindert, während sich unbelegte Einzelangaben in frei formulierten Textpassagen nicht vollständig ausschließen lassen (Abschnitt 5.6.2), ein Befund, den das reproduzierbar auftretende Muster in Szenario S4 (Abschnitt 5.5) zusätzlich untermauert, einschließlich der dort dokumentierten Grenze des Validation Agent selbst, solche Angaben zuverlässig zu erkennen. Eine mögliche Weiterentwicklung besteht darin, zentrale Berichtsaussagen zunächst als strukturierte Einzelbehauptungen mit Angabe von Quelle und Herkunftsart (berechnet, aus dem Ereignistext extrahiert oder inferiert) abzulegen und den Fließtext erst anschließend aus diesen geprüften Behauptungen zu erzeugen; die Validierung prüft dadurch einzelne, überprüfbare Aussagen an Stelle vollständig frei formulierter Textabschnitte. Für Informationen, die weder aus dem Ereignistext noch aus der strukturierten Lieferkettendatenbasis ableitbar sind, greift eine ergänzende externe Recherche zusätzlich auf verifizierbare Quellen zur Faktenprüfung zurück.</w:t>
      </w:r>
    </w:p>
    <w:p w14:paraId="25318A32" w14:textId="77777777" w:rsidR="008D4CEF" w:rsidRDefault="00000000">
      <w:r>
        <w:t>In diesem Zusammenhang stellt auch Retrieval-Augmented Generation eine mögliche Erweiterung dar. Für die gegenwärtige Datenbasis ist ein klassisches vektorbasiertes RAG-System nicht zwingend erforderlich, da die relevanten Informationen überwiegend strukturiert in Tabellen und im Lieferkettengraphen vorliegen und sich deterministisch abfragen lassen. Das in Abschnitt 3.4.2 beschriebene Vorgehen der Strategie C folgt bereits im Kern einem Retrieval-Augmented-Generation- Muster, allerdings ausschließlich für die Zuordnung zu Anlagen des Lieferkettengraphen. Bei einer zukünftigen Erweiterung um größere Mengen unstrukturierter Informationen (historische Risikoereignisse, Unternehmensberichte, regulatorische Dokumente oder technische Wissensbestände) stellt ein Retrieval-System dagegen relevante Dokumente gezielt für die Analyse bereit und unterstützt damit sowohl die Einordnung neuer Ereignisse anhand ähnlicher historischer Fälle als auch die im vorherigen Absatz beschriebene Faktenprüfung; Huang et al. ordnen ein solches Retrieval als in der Literatur diskutierten Ansatz zur Eindämmung wissenslückenbedingter Halluzinationen ein und weisen zugleich auf dessen Grenzen hin [15].</w:t>
      </w:r>
    </w:p>
    <w:p w14:paraId="788F6F36" w14:textId="77777777" w:rsidR="008D4CEF" w:rsidRDefault="00000000">
      <w:r>
        <w:t xml:space="preserve">Schließlich lässt sich das derzeit reaktive System zu einer kontinuierlichen Risikoüberwachung erweitern. Der Prototyp verarbeitet aktuell vom Nutzer bereitgestellte Ereignistexte (Abschnitt 1.3). Eine Anbindung an Nachrichtenquellen wie NewsAPI, GDELT oder RSS-Feeds erweitert die Pipeline von dieser reaktiven zu einer aktiven Überwachung neu erscheinender Ereignisse und übergibt automatisch gesammelte, nach Relevanz gefilterte Meldungen an die bestehende Analysepipeline. Da mehrere Quellen dasselbe Ereignis häufig zeitversetzt und in unterschiedlicher Formulierung melden, benötigt eine solche Erweiterung zusätzlich Mechanismen zur Duplikaterkennung und </w:t>
      </w:r>
      <w:r>
        <w:lastRenderedPageBreak/>
        <w:t>zur Zusammenführung mehrerer Berichte über dasselbe Ereignis. Die vorhandene modulare Struktur bietet hierfür einen geeigneten Ausgangspunkt, da sich neue Eingabe- oder Datenquellen ergänzen lassen, ohne die deterministische Netzwerk- und Bewertungslogik vollständig neu zu implementieren. Die aktuelle Pipeline führt zudem bei jeder Anfrage denselben festen Ablauf von sechs Schritten aus; eine Umgestaltung der Data-Retrieval- und Network-Funktionalität zu LLM-aufrufbaren Werkzeugen im Sinne eines Tool-Use-Ansatzes ermöglicht als ergänzende Architekturweiterentwicklung offene Nachfragen zu einem bereits erzeugten Bericht, etwa zu weiteren Anlagen eines genannten Unternehmens, ohne die Ausgangsanalyse erneut vollständig auszuführen.</w:t>
      </w:r>
    </w:p>
    <w:p w14:paraId="31AA5CA9" w14:textId="77777777" w:rsidR="008D4CEF" w:rsidRDefault="00000000">
      <w:r>
        <w:t>Die Weiterentwicklung des Systems zielt damit weniger auf eine möglichst hohe Autonomie einzelner Agenten als auf die Verbesserung der zugrunde liegenden Datenqualität, die Erweiterung der Ereignisabdeckung sowie eine stärkere empirische und faktische Absicherung der erzeugten Ergebnisse. Reale Lieferbeziehungen und eine empirisch validierte Risikobewertung bilden dabei die wesentlichen Voraussetzungen, um den entwickelten Prototyp über eine demonstrative Risikoanalyse hinaus in Richtung eines belastbaren Entscheidungsunterstützungssystems weiterzuentwickeln.</w:t>
      </w:r>
    </w:p>
    <w:p w14:paraId="6FB18467" w14:textId="77777777" w:rsidR="00AA3549" w:rsidRPr="00DC2241" w:rsidRDefault="00AA3549" w:rsidP="003243D7">
      <w:pPr>
        <w:sectPr w:rsidR="00AA3549" w:rsidRPr="00DC2241" w:rsidSect="00E4309C">
          <w:headerReference w:type="default" r:id="rId17"/>
          <w:pgSz w:w="11907" w:h="16840" w:code="9"/>
          <w:pgMar w:top="1418" w:right="1418" w:bottom="1701" w:left="1418" w:header="720" w:footer="720" w:gutter="0"/>
          <w:pgNumType w:start="1"/>
          <w:cols w:space="720"/>
        </w:sectPr>
      </w:pPr>
    </w:p>
    <w:p w14:paraId="65B42B60" w14:textId="756E8862" w:rsidR="008D4CEF" w:rsidRDefault="00F56A76" w:rsidP="008F4B28">
      <w:pPr>
        <w:pStyle w:val="ad"/>
        <w:rPr>
          <w:lang w:eastAsia="zh-CN"/>
        </w:rPr>
      </w:pPr>
      <w:bookmarkStart w:id="74" w:name="_Toc442935991"/>
      <w:bookmarkStart w:id="75" w:name="_Toc442936733"/>
      <w:bookmarkStart w:id="76" w:name="_Toc442936793"/>
      <w:bookmarkStart w:id="77" w:name="_Toc442936827"/>
      <w:bookmarkStart w:id="78" w:name="_Toc442936852"/>
      <w:bookmarkStart w:id="79" w:name="_Toc238658085"/>
      <w:bookmarkEnd w:id="74"/>
      <w:r w:rsidRPr="00DC2241">
        <w:lastRenderedPageBreak/>
        <w:t>Liter</w:t>
      </w:r>
      <w:r w:rsidRPr="008F4B28">
        <w:t>aturverzeich</w:t>
      </w:r>
      <w:r w:rsidRPr="00DC2241">
        <w:t>nis</w:t>
      </w:r>
      <w:bookmarkEnd w:id="75"/>
      <w:bookmarkEnd w:id="76"/>
      <w:bookmarkEnd w:id="77"/>
      <w:bookmarkEnd w:id="78"/>
      <w:bookmarkEnd w:id="79"/>
    </w:p>
    <w:p w14:paraId="251C930B" w14:textId="7933D942" w:rsidR="001C5B27" w:rsidRDefault="001C5B27">
      <w:pPr>
        <w:pStyle w:val="Literaturlisteeinzeilig"/>
        <w:numPr>
          <w:ilvl w:val="0"/>
          <w:numId w:val="3"/>
        </w:numPr>
        <w:ind w:hanging="720"/>
      </w:pPr>
      <w:r w:rsidRPr="00D0078C">
        <w:rPr>
          <w:lang w:val="en-US"/>
        </w:rPr>
        <w:t xml:space="preserve">RESILINC: Illumination: 2025 Annual Supply Chain Report, 2025. </w:t>
      </w:r>
      <w:r w:rsidRPr="001C5B27">
        <w:t>Online unter: https://resilinc.ai/learning-center/white-papers-reports/illumination-2025-annual-supply-chain-report/ (Abrufdatum: 2</w:t>
      </w:r>
      <w:r w:rsidR="00891D63">
        <w:rPr>
          <w:rFonts w:hint="eastAsia"/>
          <w:lang w:eastAsia="zh-CN"/>
        </w:rPr>
        <w:t>8</w:t>
      </w:r>
      <w:r w:rsidRPr="001C5B27">
        <w:t>.08.2026).</w:t>
      </w:r>
    </w:p>
    <w:p w14:paraId="5441D42D" w14:textId="64E87AD1" w:rsidR="001C5B27" w:rsidRDefault="001C5B27">
      <w:pPr>
        <w:pStyle w:val="Literaturlisteeinzeilig"/>
        <w:numPr>
          <w:ilvl w:val="0"/>
          <w:numId w:val="3"/>
        </w:numPr>
        <w:ind w:hanging="720"/>
      </w:pPr>
      <w:r>
        <w:t>U.S. GEOLOGICAL SURVEY: Mineral Commodity Summaries 2026, 2026. Online unter: https://www.usgs.gov/publications/mineral-commodity-summaries-2026 (Abrufdatum: 28.08.2026).</w:t>
      </w:r>
    </w:p>
    <w:p w14:paraId="5441D42D" w14:textId="64E87AD1" w:rsidR="001C5B27" w:rsidRDefault="001C5B27">
      <w:pPr>
        <w:pStyle w:val="Literaturlisteeinzeilig"/>
        <w:numPr>
          <w:ilvl w:val="0"/>
          <w:numId w:val="3"/>
        </w:numPr>
        <w:ind w:hanging="720"/>
      </w:pPr>
      <w:r>
        <w:t>INTERNATIONAL ENERGY AGENCY: Global Critical Minerals Outlook 2025, 2025. Online unter: https://www.iea.org/reports/global-critical-minerals-outlook-2025 (Abrufdatum: 28.08.2026).</w:t>
      </w:r>
    </w:p>
    <w:p w14:paraId="5441D42D" w14:textId="64E87AD1" w:rsidR="001C5B27" w:rsidRDefault="001C5B27">
      <w:pPr>
        <w:pStyle w:val="Literaturlisteeinzeilig"/>
        <w:numPr>
          <w:ilvl w:val="0"/>
          <w:numId w:val="3"/>
        </w:numPr>
        <w:ind w:hanging="720"/>
      </w:pPr>
      <w:r w:rsidRPr="00D0078C">
        <w:rPr>
          <w:lang w:val="en-US"/>
        </w:rPr>
        <w:t xml:space="preserve">PREWAVE GMBH: AI Supply Chain Monitoring, 2026. </w:t>
      </w:r>
      <w:r w:rsidRPr="001C5B27">
        <w:t>Online unter: https://www.prewave.com/ (Abrufdatum: 21.08.2026).</w:t>
      </w:r>
    </w:p>
    <w:p w14:paraId="7C75B19D" w14:textId="6CDC764C" w:rsidR="001C5B27" w:rsidRPr="00BE491F" w:rsidRDefault="001C5B27">
      <w:pPr>
        <w:pStyle w:val="Literaturlisteeinzeilig"/>
        <w:numPr>
          <w:ilvl w:val="0"/>
          <w:numId w:val="3"/>
        </w:numPr>
        <w:ind w:hanging="720"/>
        <w:rPr>
          <w:lang w:val="en-US"/>
        </w:rPr>
      </w:pPr>
      <w:r w:rsidRPr="00BE491F">
        <w:rPr>
          <w:lang w:val="en-US"/>
        </w:rPr>
        <w:t>SHAHSAVARI, M.; HUSSAIN, O. K.; SABERI, M.; SHARMA, P.: Event identification for supply chain risk management through news analysis by using large language models. The Review of Socionetwork Strategies, 18, S. 255–278, 2024. DOI: 10.1007/s12626-024-00169-z (Abrufdatum: 21.08.2026).</w:t>
      </w:r>
    </w:p>
    <w:p w14:paraId="4A2BCA1F" w14:textId="0847AFB8" w:rsidR="001C5B27" w:rsidRPr="00BE491F" w:rsidRDefault="001C5B27">
      <w:pPr>
        <w:pStyle w:val="Literaturlisteeinzeilig"/>
        <w:numPr>
          <w:ilvl w:val="0"/>
          <w:numId w:val="3"/>
        </w:numPr>
        <w:ind w:hanging="720"/>
        <w:rPr>
          <w:lang w:val="en-US"/>
        </w:rPr>
      </w:pPr>
      <w:r w:rsidRPr="00BE491F">
        <w:rPr>
          <w:lang w:val="en-US"/>
        </w:rPr>
        <w:t>HECKMANN, I.; COMES, T.; NICKEL, S.: A critical review on supply chain risk – Definition, measure and modeling. Omega, 52, S. 119–132, 2015. DOI: 10.1016/j.omega.2014.10.004 (Abrufdatum: 20.08.2026).</w:t>
      </w:r>
    </w:p>
    <w:p w14:paraId="0CF5EB4B" w14:textId="43CBB83D" w:rsidR="001C5B27" w:rsidRDefault="001C5B27">
      <w:pPr>
        <w:pStyle w:val="Literaturlisteeinzeilig"/>
        <w:numPr>
          <w:ilvl w:val="0"/>
          <w:numId w:val="3"/>
        </w:numPr>
        <w:ind w:hanging="720"/>
      </w:pPr>
      <w:r w:rsidRPr="00BE491F">
        <w:rPr>
          <w:lang w:val="en-US"/>
        </w:rPr>
        <w:t xml:space="preserve">HO, W.; ZHENG, T.; YILDIZ, H.; TALLURI, S.: Supply chain risk management: a literature review. </w:t>
      </w:r>
      <w:r>
        <w:t>International Journal of Production Research, 53(16), S. 5031–5069, 2015. DOI: 10.1080/00207543.2015.1030467 (Abrufdatum: 20.08.2026).</w:t>
      </w:r>
    </w:p>
    <w:p w14:paraId="51506287" w14:textId="4179FB6C" w:rsidR="001C5B27" w:rsidRPr="00BE491F" w:rsidRDefault="001C5B27">
      <w:pPr>
        <w:pStyle w:val="Literaturlisteeinzeilig"/>
        <w:numPr>
          <w:ilvl w:val="0"/>
          <w:numId w:val="3"/>
        </w:numPr>
        <w:ind w:hanging="720"/>
        <w:rPr>
          <w:lang w:val="en-US"/>
        </w:rPr>
      </w:pPr>
      <w:r w:rsidRPr="00BE491F">
        <w:rPr>
          <w:lang w:val="en-US"/>
        </w:rPr>
        <w:t>FAN, Y.; STEVENSON, M.: A review of supply chain risk management: definition, theory, and research agenda. International Journal of Physical Distribution &amp; Logistics Management, 48(3), S. 205–230, 2018. DOI: 10.1108/IJPDLM-01-2017-0043 (Abrufdatum: 20.08.2026).</w:t>
      </w:r>
    </w:p>
    <w:p w14:paraId="13E0BD6C" w14:textId="584F22D2" w:rsidR="001C5B27" w:rsidRDefault="001C5B27">
      <w:pPr>
        <w:pStyle w:val="Literaturlisteeinzeilig"/>
        <w:numPr>
          <w:ilvl w:val="0"/>
          <w:numId w:val="3"/>
        </w:numPr>
        <w:ind w:hanging="720"/>
      </w:pPr>
      <w:r w:rsidRPr="00BE491F">
        <w:rPr>
          <w:lang w:val="en-US"/>
        </w:rPr>
        <w:t xml:space="preserve">CHOUDHARY, N. A.; SINGH, S.; SCHOENHERR, T.; RAMKUMAR, M.: Risk assessment in supply chains: a state-of-the-art review of methodologies and their applications. </w:t>
      </w:r>
      <w:r>
        <w:t>Annals of Operations Research, 322(2), S. 565–607, 2023. DOI: 10.1007/s10479-022-04700-9 (Abrufdatum: 21.08.2026).</w:t>
      </w:r>
    </w:p>
    <w:p w14:paraId="2FCF8CAF" w14:textId="598118C4" w:rsidR="001C5B27" w:rsidRDefault="001C5B27">
      <w:pPr>
        <w:pStyle w:val="Literaturlisteeinzeilig"/>
        <w:numPr>
          <w:ilvl w:val="0"/>
          <w:numId w:val="3"/>
        </w:numPr>
        <w:ind w:hanging="720"/>
      </w:pPr>
      <w:r w:rsidRPr="00BE491F">
        <w:rPr>
          <w:lang w:val="en-US"/>
        </w:rPr>
        <w:t xml:space="preserve">HABIBI, F.; CHAKRABORTTY, R. K.; ABBASI, A.; HO, W.: Investigating disruption propagation and resilience of supply chain networks: interplay of tiers and connections. </w:t>
      </w:r>
      <w:r>
        <w:t>International Journal of Production Research, 63(17), S. 6229–6251, 2025. DOI: 10.1080/00207543.2025.2470348 (Abrufdatum: 20.08.2026).</w:t>
      </w:r>
    </w:p>
    <w:p w14:paraId="4854F51C" w14:textId="5D7C0AAA" w:rsidR="001C5B27" w:rsidRDefault="001C5B27">
      <w:pPr>
        <w:pStyle w:val="Literaturlisteeinzeilig"/>
        <w:numPr>
          <w:ilvl w:val="0"/>
          <w:numId w:val="3"/>
        </w:numPr>
        <w:ind w:hanging="720"/>
      </w:pPr>
      <w:r>
        <w:t>VASWANI, A.; SHAZEER, N.; PARMAR, N.; USZKOREIT, J.; JONES, L.; GOMEZ, A. N.; KAISER, Ł.; POLOSUKHIN, I.: Attention is all you need. Advances in Neural Information Processing Systems 30 (NeurIPS 2017), S. 5998–6008, 2017. Online unter: https://proceedings.neurips.cc/paper_files/paper/2017/file/3f5ee243547dee91fbd053c1c4a845aa-Paper.pdf (Abrufdatum: 28.08.2026).</w:t>
      </w:r>
    </w:p>
    <w:p w14:paraId="4854F51C" w14:textId="5D7C0AAA" w:rsidR="001C5B27" w:rsidRDefault="001C5B27">
      <w:pPr>
        <w:pStyle w:val="Literaturlisteeinzeilig"/>
        <w:numPr>
          <w:ilvl w:val="0"/>
          <w:numId w:val="3"/>
        </w:numPr>
        <w:ind w:hanging="720"/>
      </w:pPr>
      <w:r>
        <w:t>BROWN, T. B. et al.: Language models are few-shot learners. Advances in Neural Information Processing Systems 33 (NeurIPS 2020), 2020. Online unter: https://papers.nips.cc/paper/2020/hash/1457c0d6bfcb4967418bfb8ac142f64a-Abstract.html (Abrufdatum: 28.08.2026).</w:t>
      </w:r>
    </w:p>
    <w:p w14:paraId="4854F51C" w14:textId="5D7C0AAA" w:rsidR="001C5B27" w:rsidRDefault="001C5B27">
      <w:pPr>
        <w:pStyle w:val="Literaturlisteeinzeilig"/>
        <w:numPr>
          <w:ilvl w:val="0"/>
          <w:numId w:val="3"/>
        </w:numPr>
        <w:ind w:hanging="720"/>
      </w:pPr>
      <w:r w:rsidRPr="00BE491F">
        <w:rPr>
          <w:lang w:val="en-US"/>
        </w:rPr>
        <w:t xml:space="preserve">ALMAHRI, S.; XU, L.; BRINTRUP, A.: Enhancing supply chain visibility with knowledge graphs and large language models. </w:t>
      </w:r>
      <w:r>
        <w:t>International Journal of Production Research, 64(6), S. 2178–2209, 2026. DOI: 10.1080/00207543.2025.2575841 (Abrufdatum: 21.08.2026).</w:t>
      </w:r>
    </w:p>
    <w:p w14:paraId="7E4BFD59" w14:textId="3719C2FD" w:rsidR="001C5B27" w:rsidRPr="00D0078C" w:rsidRDefault="001C5B27">
      <w:pPr>
        <w:pStyle w:val="Literaturlisteeinzeilig"/>
        <w:numPr>
          <w:ilvl w:val="0"/>
          <w:numId w:val="3"/>
        </w:numPr>
        <w:ind w:hanging="720"/>
        <w:rPr>
          <w:lang w:val="en-US"/>
        </w:rPr>
      </w:pPr>
      <w:r w:rsidRPr="00BE491F">
        <w:rPr>
          <w:lang w:val="en-US"/>
        </w:rPr>
        <w:t xml:space="preserve">DONG, H.; WANG, Z.: Large Language Models for Tabular Data: Progresses and Future Directions. Proceedings of the 47th International ACM SIGIR Conference on Research and Development in Information Retrieval (SIGIR '24), S. 6388–6391, 2024. </w:t>
      </w:r>
      <w:r>
        <w:t>DOI: 10.1145/3626772.3661384 (Abrufdatum: 21.08.2026).</w:t>
      </w:r>
    </w:p>
    <w:p w14:paraId="41757B54" w14:textId="357A4382" w:rsidR="00E86AF9" w:rsidRPr="00891D63" w:rsidRDefault="001C5B27" w:rsidP="00891D63">
      <w:pPr>
        <w:pStyle w:val="Literaturlisteeinzeilig"/>
        <w:numPr>
          <w:ilvl w:val="0"/>
          <w:numId w:val="3"/>
        </w:numPr>
        <w:ind w:hanging="720"/>
        <w:rPr>
          <w:rFonts w:hint="eastAsia"/>
        </w:rPr>
      </w:pPr>
      <w:r w:rsidRPr="00BE491F">
        <w:rPr>
          <w:lang w:val="en-US"/>
        </w:rPr>
        <w:t xml:space="preserve">HUANG, L.; YU, W.; MA, W.; ZHONG, W.; FENG, Z.; WANG, H.; CHEN, Q.; PENG, W.; FENG, X.; QIN, B.; LIU, T.: A survey on hallucination in large language models: Principles, taxonomy, challenges, and open questions. </w:t>
      </w:r>
      <w:r>
        <w:t>ACM Transactions on Information Systems, 43(2), S. 1–55, 2025. DOI: 10.1145/3703155 (Abrufdatum: 21.08.2026).</w:t>
      </w:r>
    </w:p>
    <w:p w14:paraId="61E68827" w14:textId="05CDC118" w:rsidR="001C5B27" w:rsidRPr="00D0078C" w:rsidRDefault="001C5B27">
      <w:pPr>
        <w:pStyle w:val="Literaturlisteeinzeilig"/>
        <w:numPr>
          <w:ilvl w:val="0"/>
          <w:numId w:val="3"/>
        </w:numPr>
        <w:ind w:hanging="720"/>
        <w:rPr>
          <w:lang w:val="en-US"/>
        </w:rPr>
      </w:pPr>
      <w:r w:rsidRPr="00BE491F">
        <w:rPr>
          <w:lang w:val="en-US"/>
        </w:rPr>
        <w:lastRenderedPageBreak/>
        <w:t xml:space="preserve">HOSSAIN, E.; NIPU, M. M. H. B.; MAHMOOD, M. S.; HOSSEN, M. J.; MRIDHA, M. F.: Safe and scalable collaboration in multiagent LLM systems: A comprehensive review. IEEE Transactions on Systems, Man, and Cybernetics: Systems, S. 1–17, 2026. </w:t>
      </w:r>
      <w:r>
        <w:t>DOI: 10.1109/TSMC.2026.3704902 (Abrufdatum: 21.08.2026).</w:t>
      </w:r>
    </w:p>
    <w:p w14:paraId="64023A26" w14:textId="5AD54DA2" w:rsidR="001C5B27" w:rsidRDefault="001C5B27">
      <w:pPr>
        <w:pStyle w:val="Literaturlisteeinzeilig"/>
        <w:numPr>
          <w:ilvl w:val="0"/>
          <w:numId w:val="3"/>
        </w:numPr>
        <w:ind w:hanging="720"/>
      </w:pPr>
      <w:r w:rsidRPr="00BE491F">
        <w:rPr>
          <w:lang w:val="en-US"/>
        </w:rPr>
        <w:t xml:space="preserve">QUAN, Y.; LIU, Z.; BENABEN, F.; MONTREUIL, B.: Leveraging large language models to enhance multi-agent risk assessment in supply chain networks. </w:t>
      </w:r>
      <w:r>
        <w:t>International Journal of Production Research, 2026. DOI: 10.1080/00207543.2026.2619562 (Abrufdatum: 21.08.2026).</w:t>
      </w:r>
    </w:p>
    <w:p w14:paraId="447DB8EB" w14:textId="30058368" w:rsidR="001C5B27" w:rsidRDefault="001C5B27">
      <w:pPr>
        <w:pStyle w:val="Literaturlisteeinzeilig"/>
        <w:numPr>
          <w:ilvl w:val="0"/>
          <w:numId w:val="3"/>
        </w:numPr>
        <w:ind w:hanging="720"/>
      </w:pPr>
      <w:r w:rsidRPr="00BE491F">
        <w:rPr>
          <w:lang w:val="en-US"/>
        </w:rPr>
        <w:t xml:space="preserve">KOSASIH, E.; MARGAROLI, F.; GELLI, S.; AZIZ, A.; WILDGOOSE, N.; BRINTRUP, A.: Towards knowledge graph reasoning for supply chain risk management using graph neural networks. </w:t>
      </w:r>
      <w:r>
        <w:t>International Journal of Production Research, 62(15), S. 5596–5612, 2024. DOI: 10.1080/00207543.2022.2100841 (Abrufdatum: 21.08.2026).</w:t>
      </w:r>
    </w:p>
    <w:p w14:paraId="262BE58A" w14:textId="226B7072" w:rsidR="001C5B27" w:rsidRDefault="001C5B27">
      <w:pPr>
        <w:pStyle w:val="Literaturlisteeinzeilig"/>
        <w:numPr>
          <w:ilvl w:val="0"/>
          <w:numId w:val="3"/>
        </w:numPr>
        <w:ind w:hanging="720"/>
      </w:pPr>
      <w:r w:rsidRPr="00BE491F">
        <w:rPr>
          <w:lang w:val="en-US"/>
        </w:rPr>
        <w:t xml:space="preserve">HEVNER, A. R.; MARCH, S. T.; PARK, J.; RAM, S.: Design science in information systems research. </w:t>
      </w:r>
      <w:r>
        <w:t>MIS Quarterly, 28(1), S. 75–105, 2004. DOI: 10.2307/25148625 (Abrufdatum: 21.08.2026).</w:t>
      </w:r>
    </w:p>
    <w:p w14:paraId="7D11B49F" w14:textId="01E45176" w:rsidR="001C5B27" w:rsidRPr="00D0078C" w:rsidRDefault="001C5B27">
      <w:pPr>
        <w:pStyle w:val="Literaturlisteeinzeilig"/>
        <w:numPr>
          <w:ilvl w:val="0"/>
          <w:numId w:val="3"/>
        </w:numPr>
        <w:ind w:hanging="720"/>
        <w:rPr>
          <w:lang w:val="en-US"/>
        </w:rPr>
      </w:pPr>
      <w:r w:rsidRPr="00D0078C">
        <w:rPr>
          <w:lang w:val="en-US"/>
        </w:rPr>
        <w:t>MIRZADEH, I.; ALIZADEH, K.; SHAHROKHI, H.; TUZEL, O.; BENGIO, S.; FARAJTABAR, M.: GSM-Symbolic: Understanding the limitations of mathematical reasoning in large language models. International Conference on Learning Representations (ICLR 2025). arXiv:2410.05229, 2025. Online unter: https://arxiv.org/abs/2410.05229 (Abrufdatum: 21.08.2026).</w:t>
      </w:r>
    </w:p>
    <w:p w14:paraId="2B4B41A2" w14:textId="6A74A8EE" w:rsidR="001C5B27" w:rsidRDefault="001C5B27">
      <w:pPr>
        <w:pStyle w:val="Literaturlisteeinzeilig"/>
        <w:numPr>
          <w:ilvl w:val="0"/>
          <w:numId w:val="3"/>
        </w:numPr>
        <w:ind w:hanging="720"/>
      </w:pPr>
      <w:r w:rsidRPr="00BE491F">
        <w:rPr>
          <w:lang w:val="en-US"/>
        </w:rPr>
        <w:t xml:space="preserve">JANNELLI, V.; SCHÖPF, S.; BICKEL, M.; NETLAND, T.; BRINTRUP, A.: Agentic LLMs in the supply chain: towards autonomous multi-agent consensus-seeking. </w:t>
      </w:r>
      <w:r>
        <w:t>International Journal of Production Research, 2025. DOI: 10.1080/00207543.2025.2604311 (Abrufdatum: 21.08.2026).</w:t>
      </w:r>
    </w:p>
    <w:p w14:paraId="01219FB9" w14:textId="1F082B92" w:rsidR="001C5B27" w:rsidRDefault="001C5B27">
      <w:pPr>
        <w:pStyle w:val="Literaturlisteeinzeilig"/>
        <w:numPr>
          <w:ilvl w:val="0"/>
          <w:numId w:val="3"/>
        </w:numPr>
        <w:ind w:hanging="720"/>
      </w:pPr>
      <w:r w:rsidRPr="00BE491F">
        <w:rPr>
          <w:lang w:val="en-US"/>
        </w:rPr>
        <w:t xml:space="preserve">RANGEL, D. A.; OLIVEIRA, T. K.; LEITE, M. S. A.: Supply chain risk classification: discussion and proposal. </w:t>
      </w:r>
      <w:r>
        <w:t>International Journal of Production Research, 53(22), S. 6868–6887, 2014. DOI: 10.1080/00207543.2014.910620 (Abrufdatum: 20.08.2026).</w:t>
      </w:r>
    </w:p>
    <w:p w14:paraId="01F934B5" w14:textId="7E70F155" w:rsidR="001C5B27" w:rsidRDefault="001C5B27">
      <w:pPr>
        <w:pStyle w:val="Literaturlisteeinzeilig"/>
        <w:numPr>
          <w:ilvl w:val="0"/>
          <w:numId w:val="3"/>
        </w:numPr>
        <w:ind w:hanging="720"/>
      </w:pPr>
      <w:r w:rsidRPr="00D0078C">
        <w:rPr>
          <w:lang w:val="en-US"/>
        </w:rPr>
        <w:t xml:space="preserve">NAATBATT INTERNATIONAL; NATIONAL RENEWABLE ENERGY LABORATORY: North American Lithium-Ion Battery Supply Chain Database, 2025. </w:t>
      </w:r>
      <w:r w:rsidRPr="001C5B27">
        <w:t>Online unter: https://www.nrel.gov/transportation/li-ion-battery-supply-chain-database (Abrufdatum: 21.08.2026).</w:t>
      </w:r>
    </w:p>
    <w:p w14:paraId="5067B595" w14:textId="66B997FD" w:rsidR="001C5B27" w:rsidRPr="00BE491F" w:rsidRDefault="001C5B27">
      <w:pPr>
        <w:pStyle w:val="Literaturlisteeinzeilig"/>
        <w:numPr>
          <w:ilvl w:val="0"/>
          <w:numId w:val="3"/>
        </w:numPr>
        <w:ind w:hanging="720"/>
        <w:rPr>
          <w:lang w:val="en-US"/>
        </w:rPr>
      </w:pPr>
      <w:r w:rsidRPr="00BE491F">
        <w:rPr>
          <w:lang w:val="en-US"/>
        </w:rPr>
        <w:t>WAGNER, S. M.; BODE, C.: An empirical investigation into supply chain vulnerability. Journal of Purchasing and Supply Management, 12(6), S. 301–312, 2006. DOI: 10.1016/j.pursup.2007.01.004 (Abrufdatum: 20.08.2026).</w:t>
      </w:r>
    </w:p>
    <w:p w14:paraId="35ADF273" w14:textId="75317679" w:rsidR="001C5B27" w:rsidRPr="00BE491F" w:rsidRDefault="001C5B27">
      <w:pPr>
        <w:pStyle w:val="Literaturlisteeinzeilig"/>
        <w:numPr>
          <w:ilvl w:val="0"/>
          <w:numId w:val="3"/>
        </w:numPr>
        <w:ind w:hanging="720"/>
        <w:rPr>
          <w:lang w:val="en-US"/>
        </w:rPr>
      </w:pPr>
      <w:r w:rsidRPr="00BE491F">
        <w:rPr>
          <w:lang w:val="en-US"/>
        </w:rPr>
        <w:t>CHANG, W.-S.; LIN, Y.-T.: The effect of lead-time on supply chain resilience performance. Asia Pacific Management Review, 24(4), S. 298–309, 2019. DOI: 10.1016/j.apmrv.2018.10.004 (Abrufdatum: 20.08.2026).</w:t>
      </w:r>
    </w:p>
    <w:p w14:paraId="6D3B04C9" w14:textId="1A6ECA37" w:rsidR="001C5B27" w:rsidRDefault="001C5B27">
      <w:pPr>
        <w:pStyle w:val="Literaturlisteeinzeilig"/>
        <w:numPr>
          <w:ilvl w:val="0"/>
          <w:numId w:val="3"/>
        </w:numPr>
        <w:ind w:hanging="720"/>
      </w:pPr>
      <w:r w:rsidRPr="00BE491F">
        <w:rPr>
          <w:lang w:val="en-US"/>
        </w:rPr>
        <w:t xml:space="preserve">MACKAY, J.; MUNOZ, A.; PEPPER, M.: Conceptualising redundancy and flexibility towards supply chain robustness and resilience. </w:t>
      </w:r>
      <w:r>
        <w:t>Journal of Risk Research, 23(12), S. 1541–1561, 2019. DOI: 10.1080/13669877.2019.1694964 (Abrufdatum: 21.08.2026).</w:t>
      </w:r>
    </w:p>
    <w:p w14:paraId="05910D0B" w14:textId="49201EC2" w:rsidR="008D4CEF" w:rsidRDefault="008D4CEF" w:rsidP="001C5B27">
      <w:pPr>
        <w:pStyle w:val="Literaturlisteeinzeilig"/>
        <w:ind w:left="720"/>
      </w:pPr>
    </w:p>
    <w:p w14:paraId="28AE1F23" w14:textId="77777777" w:rsidR="00F76C39" w:rsidRPr="00AF498D" w:rsidRDefault="00BB337B" w:rsidP="00577E58">
      <w:pPr>
        <w:pStyle w:val="ad"/>
        <w:rPr>
          <w:lang w:val="en-US" w:eastAsia="zh-CN"/>
        </w:rPr>
      </w:pPr>
      <w:bookmarkStart w:id="80" w:name="_Toc238658086"/>
      <w:r w:rsidRPr="00AF498D">
        <w:rPr>
          <w:lang w:val="en-US"/>
        </w:rPr>
        <w:lastRenderedPageBreak/>
        <w:t>Anhang A</w:t>
      </w:r>
      <w:bookmarkEnd w:id="80"/>
    </w:p>
    <w:p w14:paraId="24A4E618" w14:textId="77777777" w:rsidR="005131BD" w:rsidRDefault="005131BD" w:rsidP="005131BD">
      <w:pPr>
        <w:jc w:val="center"/>
        <w:rPr>
          <w:lang w:eastAsia="zh-CN"/>
        </w:rPr>
      </w:pPr>
      <w:r>
        <w:t xml:space="preserve">Digitale Version der Arbeit als Word </w:t>
      </w:r>
      <w:r w:rsidRPr="008D1102">
        <w:t>und</w:t>
      </w:r>
      <w:r>
        <w:t xml:space="preserve"> PDF,</w:t>
      </w:r>
    </w:p>
    <w:p w14:paraId="63AB2A80" w14:textId="3BAEB215" w:rsidR="00215B29" w:rsidRPr="00215B29" w:rsidRDefault="00215B29" w:rsidP="005131BD">
      <w:pPr>
        <w:jc w:val="center"/>
        <w:rPr>
          <w:lang w:eastAsia="zh-CN"/>
        </w:rPr>
      </w:pPr>
      <w:r w:rsidRPr="00215B29">
        <w:rPr>
          <w:lang w:eastAsia="zh-CN"/>
        </w:rPr>
        <w:t>Quellcode,</w:t>
      </w:r>
      <w:r w:rsidRPr="00215B29">
        <w:t xml:space="preserve"> </w:t>
      </w:r>
      <w:r>
        <w:t>Grafiken, Daten</w:t>
      </w:r>
      <w:r w:rsidR="00340030" w:rsidRPr="00340030">
        <w:rPr>
          <w:lang w:eastAsia="zh-CN"/>
        </w:rPr>
        <w:t>,</w:t>
      </w:r>
      <w:r w:rsidR="00340030">
        <w:rPr>
          <w:lang w:eastAsia="zh-CN"/>
        </w:rPr>
        <w:t xml:space="preserve"> etc.</w:t>
      </w:r>
      <w:r w:rsidRPr="00215B29">
        <w:rPr>
          <w:rFonts w:hint="eastAsia"/>
          <w:lang w:eastAsia="zh-CN"/>
        </w:rPr>
        <w:t xml:space="preserve"> </w:t>
      </w:r>
      <w:r w:rsidRPr="00215B29">
        <w:rPr>
          <w:lang w:eastAsia="zh-CN"/>
        </w:rPr>
        <w:t>(GitHub-Repository:</w:t>
      </w:r>
      <w:r w:rsidRPr="00215B29">
        <w:t xml:space="preserve"> </w:t>
      </w:r>
      <w:r w:rsidRPr="00215B29">
        <w:rPr>
          <w:lang w:eastAsia="zh-CN"/>
        </w:rPr>
        <w:t>https://github.com/yut29/sc_risk_system)</w:t>
      </w:r>
    </w:p>
    <w:p w14:paraId="16D86F99" w14:textId="77777777" w:rsidR="005131BD" w:rsidRPr="00340030" w:rsidRDefault="005131BD" w:rsidP="00F218AE">
      <w:pPr>
        <w:rPr>
          <w:lang w:eastAsia="zh-CN"/>
        </w:rPr>
      </w:pPr>
    </w:p>
    <w:p w14:paraId="2F448EDB" w14:textId="77777777" w:rsidR="00083694" w:rsidRDefault="00083694" w:rsidP="00F218AE">
      <w:pPr>
        <w:jc w:val="center"/>
        <w:sectPr w:rsidR="00083694" w:rsidSect="00E4309C">
          <w:headerReference w:type="default" r:id="rId18"/>
          <w:pgSz w:w="11907" w:h="16840" w:code="9"/>
          <w:pgMar w:top="1418" w:right="1418" w:bottom="1701" w:left="1418" w:header="720" w:footer="720" w:gutter="0"/>
          <w:cols w:space="720"/>
        </w:sectPr>
      </w:pPr>
    </w:p>
    <w:p w14:paraId="742941EB" w14:textId="77777777" w:rsidR="00083694" w:rsidRPr="00DC2241" w:rsidRDefault="00083694" w:rsidP="00083694">
      <w:pPr>
        <w:pStyle w:val="Verzeichnisse"/>
      </w:pPr>
      <w:r>
        <w:lastRenderedPageBreak/>
        <w:t>Lebenslauf</w:t>
      </w:r>
    </w:p>
    <w:p w14:paraId="6DD2D6D2" w14:textId="77777777" w:rsidR="00083694" w:rsidRPr="0010677A" w:rsidRDefault="00083694" w:rsidP="00083694">
      <w:pPr>
        <w:rPr>
          <w:color w:val="000000" w:themeColor="text1"/>
        </w:rPr>
      </w:pPr>
      <w:r w:rsidRPr="0010677A">
        <w:rPr>
          <w:color w:val="000000" w:themeColor="text1"/>
        </w:rPr>
        <w:t>Kurzgefasster Lebenslauf bei Master- und Bachelorarbeiten</w:t>
      </w:r>
    </w:p>
    <w:p w14:paraId="4C881945" w14:textId="6A19766B" w:rsidR="00083694" w:rsidRDefault="00083694" w:rsidP="00083694">
      <w:pPr>
        <w:tabs>
          <w:tab w:val="left" w:pos="2835"/>
        </w:tabs>
      </w:pPr>
      <w:r>
        <w:t>Geburtsdatum:</w:t>
      </w:r>
      <w:r w:rsidR="008D1102">
        <w:rPr>
          <w:lang w:eastAsia="zh-CN"/>
        </w:rPr>
        <w:tab/>
      </w:r>
      <w:r w:rsidR="00E03824">
        <w:rPr>
          <w:rFonts w:hint="eastAsia"/>
          <w:lang w:eastAsia="zh-CN"/>
        </w:rPr>
        <w:t>29.01.1994</w:t>
      </w:r>
      <w:r>
        <w:tab/>
      </w:r>
    </w:p>
    <w:p w14:paraId="1C3E43F6" w14:textId="2B348138" w:rsidR="007449D3" w:rsidRPr="00DC2241" w:rsidRDefault="007449D3" w:rsidP="00083694">
      <w:pPr>
        <w:tabs>
          <w:tab w:val="left" w:pos="2835"/>
        </w:tabs>
      </w:pPr>
      <w:r>
        <w:t>Geburtsort:</w:t>
      </w:r>
      <w:r w:rsidR="008D1102">
        <w:rPr>
          <w:lang w:eastAsia="zh-CN"/>
        </w:rPr>
        <w:tab/>
      </w:r>
      <w:r w:rsidR="00E03824">
        <w:rPr>
          <w:rFonts w:hint="eastAsia"/>
          <w:lang w:eastAsia="zh-CN"/>
        </w:rPr>
        <w:t>China</w:t>
      </w:r>
    </w:p>
    <w:p w14:paraId="1BC1EA51" w14:textId="77777777" w:rsidR="00083694" w:rsidRPr="00DC2241" w:rsidRDefault="00083694" w:rsidP="00083694">
      <w:pPr>
        <w:tabs>
          <w:tab w:val="left" w:pos="2835"/>
        </w:tabs>
      </w:pPr>
    </w:p>
    <w:p w14:paraId="23DFD50E" w14:textId="77777777" w:rsidR="0010677A" w:rsidRDefault="00083694" w:rsidP="0010677A">
      <w:pPr>
        <w:tabs>
          <w:tab w:val="left" w:pos="2835"/>
        </w:tabs>
        <w:rPr>
          <w:b/>
          <w:lang w:eastAsia="zh-CN"/>
        </w:rPr>
      </w:pPr>
      <w:r w:rsidRPr="007219BA">
        <w:rPr>
          <w:b/>
        </w:rPr>
        <w:t>Ausbildung:</w:t>
      </w:r>
    </w:p>
    <w:p w14:paraId="3279B3DC" w14:textId="3E0124B3" w:rsidR="00083694" w:rsidRPr="0010677A" w:rsidRDefault="0010677A" w:rsidP="0010677A">
      <w:pPr>
        <w:tabs>
          <w:tab w:val="left" w:pos="2835"/>
        </w:tabs>
        <w:rPr>
          <w:b/>
        </w:rPr>
      </w:pPr>
      <w:r w:rsidRPr="0010677A">
        <w:rPr>
          <w:lang w:eastAsia="zh-CN"/>
        </w:rPr>
        <w:t xml:space="preserve">10/2024 </w:t>
      </w:r>
      <w:r w:rsidRPr="0010677A">
        <w:t>–</w:t>
      </w:r>
      <w:r w:rsidRPr="0010677A">
        <w:rPr>
          <w:lang w:eastAsia="zh-CN"/>
        </w:rPr>
        <w:t xml:space="preserve"> heute:</w:t>
      </w:r>
      <w:r w:rsidRPr="0010677A">
        <w:rPr>
          <w:lang w:val="en-US" w:eastAsia="zh-CN"/>
        </w:rPr>
        <w:t xml:space="preserve">　</w:t>
      </w:r>
      <w:r w:rsidRPr="0010677A">
        <w:rPr>
          <w:lang w:eastAsia="zh-CN"/>
        </w:rPr>
        <w:tab/>
        <w:t>Master-Studium an der Friedrich-Alexander-Universität Erlangen-Nürnberg</w:t>
      </w:r>
      <w:r w:rsidRPr="0010677A">
        <w:rPr>
          <w:lang w:eastAsia="zh-CN"/>
        </w:rPr>
        <w:br/>
      </w:r>
      <w:r w:rsidR="00083694" w:rsidRPr="0010677A">
        <w:t>0</w:t>
      </w:r>
      <w:r w:rsidR="00E03824" w:rsidRPr="0010677A">
        <w:rPr>
          <w:rFonts w:hint="eastAsia"/>
          <w:lang w:eastAsia="zh-CN"/>
        </w:rPr>
        <w:t>9</w:t>
      </w:r>
      <w:r w:rsidR="00083694" w:rsidRPr="0010677A">
        <w:t>/201</w:t>
      </w:r>
      <w:r w:rsidR="00E03824" w:rsidRPr="0010677A">
        <w:rPr>
          <w:rFonts w:hint="eastAsia"/>
          <w:lang w:eastAsia="zh-CN"/>
        </w:rPr>
        <w:t>2</w:t>
      </w:r>
      <w:r w:rsidR="00083694" w:rsidRPr="0010677A">
        <w:t xml:space="preserve"> – 0</w:t>
      </w:r>
      <w:r w:rsidR="00E03824" w:rsidRPr="0010677A">
        <w:rPr>
          <w:rFonts w:hint="eastAsia"/>
          <w:lang w:eastAsia="zh-CN"/>
        </w:rPr>
        <w:t>7/</w:t>
      </w:r>
      <w:r w:rsidR="00083694" w:rsidRPr="0010677A">
        <w:t>201</w:t>
      </w:r>
      <w:r w:rsidR="00E03824" w:rsidRPr="0010677A">
        <w:rPr>
          <w:rFonts w:hint="eastAsia"/>
          <w:lang w:eastAsia="zh-CN"/>
        </w:rPr>
        <w:t>6</w:t>
      </w:r>
      <w:r w:rsidR="00083694" w:rsidRPr="0010677A">
        <w:t>:</w:t>
      </w:r>
      <w:r w:rsidR="00083694" w:rsidRPr="0010677A">
        <w:tab/>
      </w:r>
      <w:r w:rsidRPr="0010677A">
        <w:rPr>
          <w:lang w:eastAsia="zh-CN"/>
        </w:rPr>
        <w:t>Bachelor Studium an der University of Electronic Science and Technology of China</w:t>
      </w:r>
    </w:p>
    <w:p w14:paraId="01F5D984" w14:textId="77777777" w:rsidR="00083694" w:rsidRPr="0010677A" w:rsidRDefault="00083694" w:rsidP="00083694">
      <w:pPr>
        <w:tabs>
          <w:tab w:val="left" w:pos="2835"/>
        </w:tabs>
      </w:pPr>
    </w:p>
    <w:p w14:paraId="4FA64138" w14:textId="77777777" w:rsidR="00083694" w:rsidRPr="00891D63" w:rsidRDefault="00083694" w:rsidP="00083694">
      <w:pPr>
        <w:tabs>
          <w:tab w:val="left" w:pos="2835"/>
        </w:tabs>
        <w:rPr>
          <w:b/>
          <w:lang w:val="en-US"/>
        </w:rPr>
      </w:pPr>
      <w:r w:rsidRPr="00891D63">
        <w:rPr>
          <w:b/>
          <w:lang w:val="en-US"/>
        </w:rPr>
        <w:t>Praxiserfahrung:</w:t>
      </w:r>
    </w:p>
    <w:p w14:paraId="2F7A7F43" w14:textId="7DB6BC15" w:rsidR="0010677A" w:rsidRPr="0010677A" w:rsidRDefault="0010677A" w:rsidP="0010677A">
      <w:pPr>
        <w:tabs>
          <w:tab w:val="left" w:pos="2835"/>
        </w:tabs>
        <w:rPr>
          <w:lang w:val="en-US"/>
        </w:rPr>
      </w:pPr>
      <w:r w:rsidRPr="0010677A">
        <w:rPr>
          <w:rFonts w:hint="eastAsia"/>
          <w:lang w:val="en-US"/>
        </w:rPr>
        <w:t xml:space="preserve">10/2021 </w:t>
      </w:r>
      <w:r w:rsidRPr="0010677A">
        <w:rPr>
          <w:lang w:val="en-US"/>
        </w:rPr>
        <w:t>–</w:t>
      </w:r>
      <w:r w:rsidRPr="0010677A">
        <w:rPr>
          <w:rFonts w:hint="eastAsia"/>
          <w:lang w:val="en-US"/>
        </w:rPr>
        <w:t xml:space="preserve"> 04/2023:</w:t>
      </w:r>
      <w:r>
        <w:rPr>
          <w:rFonts w:hint="eastAsia"/>
        </w:rPr>
        <w:t xml:space="preserve">　</w:t>
      </w:r>
      <w:r w:rsidRPr="0010677A">
        <w:rPr>
          <w:lang w:val="en-US" w:eastAsia="zh-CN"/>
        </w:rPr>
        <w:tab/>
      </w:r>
      <w:r w:rsidRPr="0010677A">
        <w:rPr>
          <w:rFonts w:hint="eastAsia"/>
          <w:lang w:val="en-US"/>
        </w:rPr>
        <w:t>IT Requirements Engineer, Great Well Computer Software &amp; Systems Ltd.</w:t>
      </w:r>
    </w:p>
    <w:p w14:paraId="0970E7A3" w14:textId="2513EA80" w:rsidR="0010677A" w:rsidRPr="0010677A" w:rsidRDefault="0010677A" w:rsidP="0010677A">
      <w:pPr>
        <w:tabs>
          <w:tab w:val="left" w:pos="2835"/>
        </w:tabs>
        <w:rPr>
          <w:lang w:val="en-US"/>
        </w:rPr>
      </w:pPr>
      <w:r w:rsidRPr="0010677A">
        <w:rPr>
          <w:rFonts w:hint="eastAsia"/>
          <w:lang w:val="en-US"/>
        </w:rPr>
        <w:t xml:space="preserve">08/2019 </w:t>
      </w:r>
      <w:r w:rsidRPr="0010677A">
        <w:rPr>
          <w:lang w:val="en-US"/>
        </w:rPr>
        <w:t>–</w:t>
      </w:r>
      <w:r w:rsidRPr="0010677A">
        <w:rPr>
          <w:rFonts w:hint="eastAsia"/>
          <w:lang w:val="en-US"/>
        </w:rPr>
        <w:t xml:space="preserve"> 09/2021:</w:t>
      </w:r>
      <w:r>
        <w:rPr>
          <w:rFonts w:hint="eastAsia"/>
        </w:rPr>
        <w:t xml:space="preserve">　</w:t>
      </w:r>
      <w:r w:rsidRPr="00891D63">
        <w:rPr>
          <w:lang w:val="en-US" w:eastAsia="zh-CN"/>
        </w:rPr>
        <w:tab/>
      </w:r>
      <w:r w:rsidRPr="0010677A">
        <w:rPr>
          <w:rFonts w:hint="eastAsia"/>
          <w:lang w:val="en-US"/>
        </w:rPr>
        <w:t>IT Requirements Engineer, Thunisoft Information Technology Co.</w:t>
      </w:r>
    </w:p>
    <w:p w14:paraId="4B7317D4" w14:textId="6B2FFCA6" w:rsidR="0010677A" w:rsidRPr="0010677A" w:rsidRDefault="0010677A" w:rsidP="0010677A">
      <w:pPr>
        <w:tabs>
          <w:tab w:val="left" w:pos="2835"/>
        </w:tabs>
        <w:rPr>
          <w:lang w:val="en-US"/>
        </w:rPr>
      </w:pPr>
      <w:r w:rsidRPr="0010677A">
        <w:rPr>
          <w:rFonts w:hint="eastAsia"/>
          <w:lang w:val="en-US"/>
        </w:rPr>
        <w:t xml:space="preserve">08/2018 </w:t>
      </w:r>
      <w:r w:rsidRPr="0010677A">
        <w:rPr>
          <w:lang w:val="en-US"/>
        </w:rPr>
        <w:t>–</w:t>
      </w:r>
      <w:r w:rsidRPr="0010677A">
        <w:rPr>
          <w:rFonts w:hint="eastAsia"/>
          <w:lang w:val="en-US"/>
        </w:rPr>
        <w:t xml:space="preserve"> 08/2019:</w:t>
      </w:r>
      <w:r>
        <w:rPr>
          <w:rFonts w:hint="eastAsia"/>
        </w:rPr>
        <w:t xml:space="preserve">　</w:t>
      </w:r>
      <w:r w:rsidRPr="00891D63">
        <w:rPr>
          <w:lang w:val="en-US" w:eastAsia="zh-CN"/>
        </w:rPr>
        <w:tab/>
      </w:r>
      <w:r w:rsidRPr="0010677A">
        <w:rPr>
          <w:rFonts w:hint="eastAsia"/>
          <w:lang w:val="en-US"/>
        </w:rPr>
        <w:t>Product Manager, Microdream Creative Network Technology Ltd.</w:t>
      </w:r>
    </w:p>
    <w:p w14:paraId="5F070870" w14:textId="5CA3526B" w:rsidR="007219BA" w:rsidRDefault="0010677A" w:rsidP="0010677A">
      <w:pPr>
        <w:tabs>
          <w:tab w:val="left" w:pos="2835"/>
        </w:tabs>
        <w:rPr>
          <w:lang w:val="en-US" w:eastAsia="zh-CN"/>
        </w:rPr>
      </w:pPr>
      <w:r w:rsidRPr="0010677A">
        <w:rPr>
          <w:rFonts w:hint="eastAsia"/>
          <w:lang w:val="en-US"/>
        </w:rPr>
        <w:t xml:space="preserve">07/2016 </w:t>
      </w:r>
      <w:r w:rsidRPr="0010677A">
        <w:rPr>
          <w:lang w:val="en-US"/>
        </w:rPr>
        <w:t>–</w:t>
      </w:r>
      <w:r w:rsidRPr="0010677A">
        <w:rPr>
          <w:rFonts w:hint="eastAsia"/>
          <w:lang w:val="en-US"/>
        </w:rPr>
        <w:t xml:space="preserve"> 07/2018:</w:t>
      </w:r>
      <w:r>
        <w:rPr>
          <w:rFonts w:hint="eastAsia"/>
        </w:rPr>
        <w:t xml:space="preserve">　</w:t>
      </w:r>
      <w:r w:rsidRPr="00891D63">
        <w:rPr>
          <w:lang w:val="en-US" w:eastAsia="zh-CN"/>
        </w:rPr>
        <w:tab/>
      </w:r>
      <w:r w:rsidRPr="0010677A">
        <w:rPr>
          <w:rFonts w:hint="eastAsia"/>
          <w:lang w:val="en-US"/>
        </w:rPr>
        <w:t>Product Manager, Tunghsu Financial Technology Ltd.</w:t>
      </w:r>
    </w:p>
    <w:p w14:paraId="35541980" w14:textId="77777777" w:rsidR="0010677A" w:rsidRPr="0010677A" w:rsidRDefault="0010677A" w:rsidP="0010677A">
      <w:pPr>
        <w:tabs>
          <w:tab w:val="left" w:pos="2835"/>
        </w:tabs>
        <w:rPr>
          <w:lang w:val="en-US" w:eastAsia="zh-CN"/>
        </w:rPr>
      </w:pPr>
    </w:p>
    <w:p w14:paraId="231E6F08" w14:textId="0B7183B1" w:rsidR="007219BA" w:rsidRPr="00891D63" w:rsidRDefault="007219BA" w:rsidP="00083694">
      <w:pPr>
        <w:tabs>
          <w:tab w:val="left" w:pos="2835"/>
        </w:tabs>
        <w:rPr>
          <w:lang w:val="en-US"/>
        </w:rPr>
      </w:pPr>
    </w:p>
    <w:sectPr w:rsidR="007219BA" w:rsidRPr="00891D63" w:rsidSect="00E4309C">
      <w:headerReference w:type="default" r:id="rId19"/>
      <w:footerReference w:type="default" r:id="rId20"/>
      <w:pgSz w:w="11907" w:h="16840" w:code="9"/>
      <w:pgMar w:top="1418" w:right="1418" w:bottom="170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05632" w14:textId="77777777" w:rsidR="000E2ED9" w:rsidRDefault="000E2ED9">
      <w:r>
        <w:separator/>
      </w:r>
    </w:p>
  </w:endnote>
  <w:endnote w:type="continuationSeparator" w:id="0">
    <w:p w14:paraId="72577D55" w14:textId="77777777" w:rsidR="000E2ED9" w:rsidRDefault="000E2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C7045" w14:textId="77777777" w:rsidR="00886733" w:rsidRDefault="0088673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0E58D" w14:textId="77777777" w:rsidR="00083694" w:rsidRDefault="0008369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80DEE" w14:textId="77777777" w:rsidR="000E2ED9" w:rsidRDefault="000E2ED9">
      <w:r>
        <w:separator/>
      </w:r>
    </w:p>
  </w:footnote>
  <w:footnote w:type="continuationSeparator" w:id="0">
    <w:p w14:paraId="701AF18F" w14:textId="77777777" w:rsidR="000E2ED9" w:rsidRDefault="000E2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8097" w14:textId="77777777" w:rsidR="00CC3107" w:rsidRDefault="00CC3107">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1B51B24" w14:textId="77777777" w:rsidR="00CC3107" w:rsidRDefault="00CC3107">
    <w:pPr>
      <w:pStyle w:val="a4"/>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E749" w14:textId="77777777" w:rsidR="00CC3107" w:rsidRDefault="00BB5646">
    <w:pPr>
      <w:pStyle w:val="a4"/>
      <w:pBdr>
        <w:bottom w:val="single" w:sz="6" w:space="1" w:color="auto"/>
      </w:pBdr>
      <w:tabs>
        <w:tab w:val="clear" w:pos="4536"/>
        <w:tab w:val="center" w:pos="8931"/>
      </w:tabs>
    </w:pPr>
    <w:r>
      <w:rPr>
        <w:noProof/>
        <w:sz w:val="24"/>
      </w:rPr>
      <w:drawing>
        <wp:inline distT="0" distB="0" distL="0" distR="0" wp14:anchorId="6E7CDFDF" wp14:editId="47A55603">
          <wp:extent cx="714375" cy="714375"/>
          <wp:effectExtent l="0" t="0" r="9525" b="9525"/>
          <wp:docPr id="9" name="Grafik 9" descr="\\sebaldus\Elektronikproduktion\Corporate_Identity\Logos\Logo_FAP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baldus\Elektronikproduktion\Corporate_Identity\Logos\Logo_FAPS.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r>
      <w:rPr>
        <w:noProof/>
      </w:rPr>
      <w:drawing>
        <wp:inline distT="0" distB="0" distL="0" distR="0" wp14:anchorId="2CE18F6D" wp14:editId="6448165F">
          <wp:extent cx="714375" cy="714375"/>
          <wp:effectExtent l="0" t="0" r="9525" b="9525"/>
          <wp:docPr id="10" name="Grafik 10" descr="\\sebaldus\Elektronikproduktion\Corporate_Identity\Logos\Logo_FAP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baldus\Elektronikproduktion\Corporate_Identity\Logos\Logo_FAPS.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r>
      <w:rPr>
        <w:noProof/>
      </w:rPr>
      <w:drawing>
        <wp:inline distT="0" distB="0" distL="0" distR="0" wp14:anchorId="3C8F292E" wp14:editId="5B2BAE6A">
          <wp:extent cx="714375" cy="714375"/>
          <wp:effectExtent l="0" t="0" r="9525" b="9525"/>
          <wp:docPr id="11" name="Grafik 11" descr="\\sebaldus\Elektronikproduktion\Corporate_Identity\Logos\Logo_FAP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baldus\Elektronikproduktion\Corporate_Identity\Logos\Logo_FAPS.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r w:rsidR="00CC3107">
      <w:t>Name des Referenten: Titel der Seminararbeit</w:t>
    </w:r>
    <w:r w:rsidR="00CC3107">
      <w:tab/>
    </w:r>
    <w:r w:rsidR="00CC3107">
      <w:rPr>
        <w:rStyle w:val="a5"/>
      </w:rPr>
      <w:fldChar w:fldCharType="begin"/>
    </w:r>
    <w:r w:rsidR="00CC3107">
      <w:rPr>
        <w:rStyle w:val="a5"/>
      </w:rPr>
      <w:instrText xml:space="preserve"> PAGE </w:instrText>
    </w:r>
    <w:r w:rsidR="00CC3107">
      <w:rPr>
        <w:rStyle w:val="a5"/>
      </w:rPr>
      <w:fldChar w:fldCharType="separate"/>
    </w:r>
    <w:r w:rsidR="00CC3107">
      <w:rPr>
        <w:rStyle w:val="a5"/>
        <w:noProof/>
      </w:rPr>
      <w:t>3</w:t>
    </w:r>
    <w:r w:rsidR="00CC3107">
      <w:rPr>
        <w:rStyle w:val="a5"/>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EDEDF" w14:textId="77777777" w:rsidR="00BB5646" w:rsidRDefault="00BB5646">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7467" w14:textId="389EDB87" w:rsidR="00CC3107" w:rsidRPr="005F4127" w:rsidRDefault="00CC3107" w:rsidP="00B55B0B">
    <w:pPr>
      <w:pStyle w:val="a4"/>
      <w:pBdr>
        <w:bottom w:val="single" w:sz="6" w:space="1" w:color="auto"/>
      </w:pBdr>
      <w:rPr>
        <w:rFonts w:cs="Arial"/>
      </w:rPr>
    </w:pPr>
    <w:r>
      <w:rPr>
        <w:rFonts w:cs="Arial"/>
      </w:rPr>
      <w:fldChar w:fldCharType="begin"/>
    </w:r>
    <w:r>
      <w:rPr>
        <w:rFonts w:cs="Arial"/>
      </w:rPr>
      <w:instrText xml:space="preserve"> STYLEREF  Verzeichnisse </w:instrText>
    </w:r>
    <w:r>
      <w:rPr>
        <w:rFonts w:cs="Arial"/>
      </w:rPr>
      <w:fldChar w:fldCharType="separate"/>
    </w:r>
    <w:r w:rsidR="009B662B">
      <w:rPr>
        <w:rFonts w:cs="Arial"/>
        <w:noProof/>
      </w:rPr>
      <w:t>Abbildungsverzeichnis</w:t>
    </w:r>
    <w:r>
      <w:rPr>
        <w:rFonts w:cs="Arial"/>
      </w:rPr>
      <w:fldChar w:fldCharType="end"/>
    </w:r>
    <w:r w:rsidRPr="005F4127">
      <w:rPr>
        <w:rFonts w:cs="Arial"/>
      </w:rPr>
      <w:tab/>
    </w:r>
    <w:r w:rsidRPr="005F4127">
      <w:rPr>
        <w:rFonts w:cs="Arial"/>
      </w:rPr>
      <w:tab/>
    </w:r>
    <w:r w:rsidRPr="005F4127">
      <w:rPr>
        <w:rStyle w:val="a5"/>
        <w:rFonts w:cs="Arial"/>
      </w:rPr>
      <w:fldChar w:fldCharType="begin"/>
    </w:r>
    <w:r w:rsidRPr="005F4127">
      <w:rPr>
        <w:rStyle w:val="a5"/>
        <w:rFonts w:cs="Arial"/>
      </w:rPr>
      <w:instrText xml:space="preserve"> PAGE </w:instrText>
    </w:r>
    <w:r w:rsidRPr="005F4127">
      <w:rPr>
        <w:rStyle w:val="a5"/>
        <w:rFonts w:cs="Arial"/>
      </w:rPr>
      <w:fldChar w:fldCharType="separate"/>
    </w:r>
    <w:r w:rsidR="00867AC7">
      <w:rPr>
        <w:rStyle w:val="a5"/>
        <w:rFonts w:cs="Arial"/>
        <w:noProof/>
      </w:rPr>
      <w:t>IV</w:t>
    </w:r>
    <w:r w:rsidRPr="005F4127">
      <w:rPr>
        <w:rStyle w:val="a5"/>
        <w:rFonts w:cs="Aria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A291" w14:textId="3FD98A25" w:rsidR="00CC3107" w:rsidRPr="005F4127" w:rsidRDefault="008362C0" w:rsidP="00357C2E">
    <w:pPr>
      <w:pStyle w:val="a4"/>
      <w:pBdr>
        <w:bottom w:val="single" w:sz="6" w:space="1" w:color="auto"/>
      </w:pBdr>
      <w:tabs>
        <w:tab w:val="clear" w:pos="4536"/>
      </w:tabs>
      <w:rPr>
        <w:rFonts w:cs="Arial"/>
        <w:lang w:eastAsia="zh-CN"/>
      </w:rPr>
    </w:pPr>
    <w:r>
      <w:rPr>
        <w:rFonts w:cs="Arial"/>
      </w:rPr>
      <w:fldChar w:fldCharType="begin"/>
    </w:r>
    <w:r>
      <w:rPr>
        <w:rFonts w:cs="Arial"/>
      </w:rPr>
      <w:instrText xml:space="preserve"> STYLEREF  "</w:instrText>
    </w:r>
    <w:r w:rsidR="00577E58">
      <w:rPr>
        <w:rFonts w:cs="Arial" w:hint="eastAsia"/>
        <w:lang w:eastAsia="zh-CN"/>
      </w:rPr>
      <w:instrText>标题</w:instrText>
    </w:r>
    <w:r>
      <w:rPr>
        <w:rFonts w:cs="Arial"/>
      </w:rPr>
      <w:instrText xml:space="preserve"> 1" </w:instrText>
    </w:r>
    <w:r>
      <w:rPr>
        <w:rFonts w:cs="Arial"/>
      </w:rPr>
      <w:fldChar w:fldCharType="separate"/>
    </w:r>
    <w:r w:rsidR="00491FF5">
      <w:rPr>
        <w:rFonts w:cs="Arial"/>
        <w:noProof/>
      </w:rPr>
      <w:t>Grundlagen und Stand der Technik</w:t>
    </w:r>
    <w:r>
      <w:rPr>
        <w:rFonts w:cs="Arial"/>
      </w:rPr>
      <w:fldChar w:fldCharType="end"/>
    </w:r>
    <w:r w:rsidR="00CC3107">
      <w:rPr>
        <w:rFonts w:cs="Arial"/>
      </w:rPr>
      <w:tab/>
    </w:r>
    <w:r w:rsidR="00CC3107" w:rsidRPr="005F4127">
      <w:rPr>
        <w:rStyle w:val="a5"/>
        <w:rFonts w:cs="Arial"/>
      </w:rPr>
      <w:fldChar w:fldCharType="begin"/>
    </w:r>
    <w:r w:rsidR="00CC3107" w:rsidRPr="005F4127">
      <w:rPr>
        <w:rStyle w:val="a5"/>
        <w:rFonts w:cs="Arial"/>
      </w:rPr>
      <w:instrText xml:space="preserve"> PAGE </w:instrText>
    </w:r>
    <w:r w:rsidR="00CC3107" w:rsidRPr="005F4127">
      <w:rPr>
        <w:rStyle w:val="a5"/>
        <w:rFonts w:cs="Arial"/>
      </w:rPr>
      <w:fldChar w:fldCharType="separate"/>
    </w:r>
    <w:r w:rsidR="00867AC7">
      <w:rPr>
        <w:rStyle w:val="a5"/>
        <w:rFonts w:cs="Arial"/>
        <w:noProof/>
      </w:rPr>
      <w:t>6</w:t>
    </w:r>
    <w:r w:rsidR="00CC3107" w:rsidRPr="005F4127">
      <w:rPr>
        <w:rStyle w:val="a5"/>
        <w:rFonts w:cs="Aria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AEA9" w14:textId="77FA639B" w:rsidR="00CC3107" w:rsidRPr="005F4127" w:rsidRDefault="00CC3107">
    <w:pPr>
      <w:pStyle w:val="a4"/>
      <w:pBdr>
        <w:bottom w:val="single" w:sz="6" w:space="1" w:color="auto"/>
      </w:pBdr>
      <w:rPr>
        <w:rFonts w:cs="Arial"/>
      </w:rPr>
    </w:pPr>
    <w:r w:rsidRPr="005F4127">
      <w:rPr>
        <w:rFonts w:cs="Arial"/>
      </w:rPr>
      <w:fldChar w:fldCharType="begin"/>
    </w:r>
    <w:r w:rsidRPr="005F4127">
      <w:rPr>
        <w:rFonts w:cs="Arial"/>
      </w:rPr>
      <w:instrText xml:space="preserve"> </w:instrText>
    </w:r>
    <w:r w:rsidRPr="005F4127">
      <w:rPr>
        <w:rFonts w:cs="Arial"/>
        <w:bCs/>
      </w:rPr>
      <w:instrText>STYLEREF "</w:instrText>
    </w:r>
    <w:r w:rsidR="008F4B28">
      <w:rPr>
        <w:rFonts w:cs="Arial" w:hint="eastAsia"/>
        <w:bCs/>
        <w:lang w:eastAsia="zh-CN"/>
      </w:rPr>
      <w:instrText>书目</w:instrText>
    </w:r>
    <w:r w:rsidRPr="005F4127">
      <w:rPr>
        <w:rFonts w:cs="Arial"/>
        <w:bCs/>
      </w:rPr>
      <w:instrText>"</w:instrText>
    </w:r>
    <w:r w:rsidRPr="005F4127">
      <w:rPr>
        <w:rFonts w:cs="Arial"/>
      </w:rPr>
      <w:fldChar w:fldCharType="separate"/>
    </w:r>
    <w:r w:rsidR="00491FF5">
      <w:rPr>
        <w:rFonts w:cs="Arial"/>
        <w:bCs/>
        <w:noProof/>
      </w:rPr>
      <w:t>Literaturverzeichnis</w:t>
    </w:r>
    <w:r w:rsidRPr="005F4127">
      <w:rPr>
        <w:rFonts w:cs="Arial"/>
      </w:rPr>
      <w:fldChar w:fldCharType="end"/>
    </w:r>
    <w:r w:rsidRPr="005F4127">
      <w:rPr>
        <w:rFonts w:cs="Arial"/>
      </w:rPr>
      <w:tab/>
    </w:r>
    <w:r w:rsidR="008F4B28">
      <w:rPr>
        <w:rFonts w:cs="Arial"/>
        <w:lang w:eastAsia="zh-CN"/>
      </w:rPr>
      <w:tab/>
    </w:r>
    <w:r w:rsidRPr="005F4127">
      <w:rPr>
        <w:rStyle w:val="a5"/>
        <w:rFonts w:cs="Arial"/>
      </w:rPr>
      <w:fldChar w:fldCharType="begin"/>
    </w:r>
    <w:r w:rsidRPr="005F4127">
      <w:rPr>
        <w:rStyle w:val="a5"/>
        <w:rFonts w:cs="Arial"/>
      </w:rPr>
      <w:instrText xml:space="preserve"> PAGE </w:instrText>
    </w:r>
    <w:r w:rsidRPr="005F4127">
      <w:rPr>
        <w:rStyle w:val="a5"/>
        <w:rFonts w:cs="Arial"/>
      </w:rPr>
      <w:fldChar w:fldCharType="separate"/>
    </w:r>
    <w:r w:rsidR="00867AC7">
      <w:rPr>
        <w:rStyle w:val="a5"/>
        <w:rFonts w:cs="Arial"/>
        <w:noProof/>
      </w:rPr>
      <w:t>9</w:t>
    </w:r>
    <w:r w:rsidRPr="005F4127">
      <w:rPr>
        <w:rStyle w:val="a5"/>
        <w:rFonts w:cs="Aria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5397" w14:textId="77777777" w:rsidR="00083694" w:rsidRPr="00083694" w:rsidRDefault="00083694" w:rsidP="0008369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7CD112"/>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1F343F2B"/>
    <w:multiLevelType w:val="hybridMultilevel"/>
    <w:tmpl w:val="5516A06C"/>
    <w:lvl w:ilvl="0" w:tplc="7696BA88">
      <w:start w:val="1"/>
      <w:numFmt w:val="bullet"/>
      <w:lvlText w:val="Î"/>
      <w:lvlJc w:val="left"/>
      <w:pPr>
        <w:ind w:left="800" w:hanging="440"/>
      </w:pPr>
      <w:rPr>
        <w:rFonts w:ascii="Wingdings 2" w:hAnsi="Wingdings 2"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 w15:restartNumberingAfterBreak="0">
    <w:nsid w:val="23BE6701"/>
    <w:multiLevelType w:val="hybridMultilevel"/>
    <w:tmpl w:val="022A7854"/>
    <w:lvl w:ilvl="0" w:tplc="7696BA88">
      <w:start w:val="1"/>
      <w:numFmt w:val="bullet"/>
      <w:lvlText w:val="Î"/>
      <w:lvlJc w:val="left"/>
      <w:pPr>
        <w:ind w:left="800" w:hanging="440"/>
      </w:pPr>
      <w:rPr>
        <w:rFonts w:ascii="Wingdings 2" w:hAnsi="Wingdings 2"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3" w15:restartNumberingAfterBreak="0">
    <w:nsid w:val="25A02449"/>
    <w:multiLevelType w:val="hybridMultilevel"/>
    <w:tmpl w:val="192065D0"/>
    <w:lvl w:ilvl="0" w:tplc="7696BA88">
      <w:start w:val="1"/>
      <w:numFmt w:val="bullet"/>
      <w:lvlText w:val="Î"/>
      <w:lvlJc w:val="left"/>
      <w:pPr>
        <w:ind w:left="800" w:hanging="440"/>
      </w:pPr>
      <w:rPr>
        <w:rFonts w:ascii="Wingdings 2" w:hAnsi="Wingdings 2"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4" w15:restartNumberingAfterBreak="0">
    <w:nsid w:val="36494633"/>
    <w:multiLevelType w:val="hybridMultilevel"/>
    <w:tmpl w:val="9C7E0CA2"/>
    <w:lvl w:ilvl="0" w:tplc="9F3680BC">
      <w:start w:val="1"/>
      <w:numFmt w:val="bullet"/>
      <w:lvlText w:val=""/>
      <w:lvlJc w:val="left"/>
      <w:pPr>
        <w:ind w:left="800" w:hanging="440"/>
      </w:pPr>
      <w:rPr>
        <w:rFonts w:ascii="Wingdings 2" w:hAnsi="Wingdings 2"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 w15:restartNumberingAfterBreak="0">
    <w:nsid w:val="3E6D2BC8"/>
    <w:multiLevelType w:val="multilevel"/>
    <w:tmpl w:val="CC764914"/>
    <w:styleLink w:val="FormatvorlageAufgezhlt"/>
    <w:lvl w:ilvl="0">
      <w:start w:val="1"/>
      <w:numFmt w:val="bullet"/>
      <w:lvlText w:val=""/>
      <w:lvlJc w:val="left"/>
      <w:pPr>
        <w:tabs>
          <w:tab w:val="num" w:pos="1077"/>
        </w:tabs>
        <w:ind w:left="1077" w:hanging="360"/>
      </w:pPr>
      <w:rPr>
        <w:rFonts w:ascii="Symbol" w:hAnsi="Symbol"/>
        <w:spacing w:val="8"/>
        <w:kern w:val="28"/>
        <w:sz w:val="24"/>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6" w15:restartNumberingAfterBreak="0">
    <w:nsid w:val="6D6D4670"/>
    <w:multiLevelType w:val="hybridMultilevel"/>
    <w:tmpl w:val="EC4CE1C2"/>
    <w:lvl w:ilvl="0" w:tplc="9F3680BC">
      <w:start w:val="1"/>
      <w:numFmt w:val="bullet"/>
      <w:lvlText w:val=""/>
      <w:lvlJc w:val="left"/>
      <w:pPr>
        <w:ind w:left="800" w:hanging="440"/>
      </w:pPr>
      <w:rPr>
        <w:rFonts w:ascii="Wingdings 2" w:hAnsi="Wingdings 2"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7" w15:restartNumberingAfterBreak="0">
    <w:nsid w:val="73387609"/>
    <w:multiLevelType w:val="multilevel"/>
    <w:tmpl w:val="0000000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272903450">
    <w:abstractNumId w:val="0"/>
  </w:num>
  <w:num w:numId="2" w16cid:durableId="789662021">
    <w:abstractNumId w:val="5"/>
  </w:num>
  <w:num w:numId="3" w16cid:durableId="490097985">
    <w:abstractNumId w:val="7"/>
  </w:num>
  <w:num w:numId="4" w16cid:durableId="909119536">
    <w:abstractNumId w:val="4"/>
  </w:num>
  <w:num w:numId="5" w16cid:durableId="1674988098">
    <w:abstractNumId w:val="2"/>
  </w:num>
  <w:num w:numId="6" w16cid:durableId="53937639">
    <w:abstractNumId w:val="1"/>
  </w:num>
  <w:num w:numId="7" w16cid:durableId="900019106">
    <w:abstractNumId w:val="3"/>
  </w:num>
  <w:num w:numId="8" w16cid:durableId="19963754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hideSpellingErrors/>
  <w:hideGrammaticalErrors/>
  <w:activeWritingStyle w:appName="MSWord" w:lang="de-DE" w:vendorID="64" w:dllVersion="6" w:nlCheck="1" w:checkStyle="0"/>
  <w:activeWritingStyle w:appName="MSWord" w:lang="en-GB" w:vendorID="64" w:dllVersion="6" w:nlCheck="1" w:checkStyle="0"/>
  <w:activeWritingStyle w:appName="MSWord" w:lang="en-US" w:vendorID="64" w:dllVersion="6" w:nlCheck="1" w:checkStyle="0"/>
  <w:activeWritingStyle w:appName="MSWord" w:lang="fr-FR" w:vendorID="64" w:dllVersion="6" w:nlCheck="1" w:checkStyle="1"/>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de-DE" w:vendorID="64" w:dllVersion="4096" w:nlCheck="1" w:checkStyle="0"/>
  <w:activeWritingStyle w:appName="MSWord" w:lang="en-GB" w:vendorID="64" w:dllVersion="4096" w:nlCheck="1" w:checkStyle="0"/>
  <w:activeWritingStyle w:appName="MSWord" w:lang="en-US" w:vendorID="64" w:dllVersion="4096"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1418"/>
  <w:doNotHyphenateCaps/>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MwsjS0MDcyN7SwNLdU0lEKTi0uzszPAykwqgUA12cCPCwAAAA="/>
  </w:docVars>
  <w:rsids>
    <w:rsidRoot w:val="00883EF7"/>
    <w:rsid w:val="00001617"/>
    <w:rsid w:val="0000319D"/>
    <w:rsid w:val="0000335B"/>
    <w:rsid w:val="00012F53"/>
    <w:rsid w:val="00013386"/>
    <w:rsid w:val="00014099"/>
    <w:rsid w:val="00017C77"/>
    <w:rsid w:val="00022BEF"/>
    <w:rsid w:val="00022ECC"/>
    <w:rsid w:val="00023286"/>
    <w:rsid w:val="00023E0F"/>
    <w:rsid w:val="00025442"/>
    <w:rsid w:val="00025748"/>
    <w:rsid w:val="0002643B"/>
    <w:rsid w:val="000276B6"/>
    <w:rsid w:val="00030652"/>
    <w:rsid w:val="000320E6"/>
    <w:rsid w:val="00033DD8"/>
    <w:rsid w:val="00037A72"/>
    <w:rsid w:val="00045982"/>
    <w:rsid w:val="00046590"/>
    <w:rsid w:val="00050245"/>
    <w:rsid w:val="00052A1F"/>
    <w:rsid w:val="00054728"/>
    <w:rsid w:val="000559D7"/>
    <w:rsid w:val="00061CEA"/>
    <w:rsid w:val="0006305E"/>
    <w:rsid w:val="00067470"/>
    <w:rsid w:val="00071DFF"/>
    <w:rsid w:val="00082809"/>
    <w:rsid w:val="00083694"/>
    <w:rsid w:val="0008388A"/>
    <w:rsid w:val="000851B3"/>
    <w:rsid w:val="00092F20"/>
    <w:rsid w:val="00093A6B"/>
    <w:rsid w:val="0009539A"/>
    <w:rsid w:val="000960F6"/>
    <w:rsid w:val="00097C99"/>
    <w:rsid w:val="000A153A"/>
    <w:rsid w:val="000A4A02"/>
    <w:rsid w:val="000A53EB"/>
    <w:rsid w:val="000A5AB6"/>
    <w:rsid w:val="000B0C15"/>
    <w:rsid w:val="000B2F9B"/>
    <w:rsid w:val="000C0E26"/>
    <w:rsid w:val="000C29A1"/>
    <w:rsid w:val="000C4E66"/>
    <w:rsid w:val="000D124E"/>
    <w:rsid w:val="000D7008"/>
    <w:rsid w:val="000E2ED9"/>
    <w:rsid w:val="000F0536"/>
    <w:rsid w:val="00103734"/>
    <w:rsid w:val="00103A79"/>
    <w:rsid w:val="00104283"/>
    <w:rsid w:val="001053DD"/>
    <w:rsid w:val="0010626E"/>
    <w:rsid w:val="0010677A"/>
    <w:rsid w:val="001116B7"/>
    <w:rsid w:val="00115BE4"/>
    <w:rsid w:val="00116C2E"/>
    <w:rsid w:val="001231BA"/>
    <w:rsid w:val="00123960"/>
    <w:rsid w:val="0012402F"/>
    <w:rsid w:val="00124E5D"/>
    <w:rsid w:val="001318B4"/>
    <w:rsid w:val="00131C88"/>
    <w:rsid w:val="00131F9C"/>
    <w:rsid w:val="001322BC"/>
    <w:rsid w:val="001376E3"/>
    <w:rsid w:val="0013779A"/>
    <w:rsid w:val="00137A1B"/>
    <w:rsid w:val="001440FF"/>
    <w:rsid w:val="001450EA"/>
    <w:rsid w:val="001509A0"/>
    <w:rsid w:val="0015145D"/>
    <w:rsid w:val="00156C8E"/>
    <w:rsid w:val="001763CE"/>
    <w:rsid w:val="00176EE5"/>
    <w:rsid w:val="001770C4"/>
    <w:rsid w:val="001824F1"/>
    <w:rsid w:val="00182ECF"/>
    <w:rsid w:val="00182F0B"/>
    <w:rsid w:val="001918BD"/>
    <w:rsid w:val="0019221C"/>
    <w:rsid w:val="0019249F"/>
    <w:rsid w:val="001928D3"/>
    <w:rsid w:val="00192972"/>
    <w:rsid w:val="00195DFA"/>
    <w:rsid w:val="001979AC"/>
    <w:rsid w:val="001A0CB2"/>
    <w:rsid w:val="001A35CD"/>
    <w:rsid w:val="001A4945"/>
    <w:rsid w:val="001A548B"/>
    <w:rsid w:val="001A6065"/>
    <w:rsid w:val="001A63D2"/>
    <w:rsid w:val="001B397A"/>
    <w:rsid w:val="001B504E"/>
    <w:rsid w:val="001B59AD"/>
    <w:rsid w:val="001B6261"/>
    <w:rsid w:val="001B7D46"/>
    <w:rsid w:val="001C5332"/>
    <w:rsid w:val="001C5B27"/>
    <w:rsid w:val="001D0026"/>
    <w:rsid w:val="001D01DA"/>
    <w:rsid w:val="001D0B9F"/>
    <w:rsid w:val="001D206B"/>
    <w:rsid w:val="001D2DE6"/>
    <w:rsid w:val="001D416B"/>
    <w:rsid w:val="001D6EDD"/>
    <w:rsid w:val="001D7D3B"/>
    <w:rsid w:val="001E6DA3"/>
    <w:rsid w:val="001F0F2B"/>
    <w:rsid w:val="001F1BB9"/>
    <w:rsid w:val="001F2628"/>
    <w:rsid w:val="00203869"/>
    <w:rsid w:val="00210766"/>
    <w:rsid w:val="00215B29"/>
    <w:rsid w:val="00216351"/>
    <w:rsid w:val="00217B98"/>
    <w:rsid w:val="002240BB"/>
    <w:rsid w:val="00230034"/>
    <w:rsid w:val="00231C8C"/>
    <w:rsid w:val="00231DD7"/>
    <w:rsid w:val="002337DD"/>
    <w:rsid w:val="0023440B"/>
    <w:rsid w:val="0024014C"/>
    <w:rsid w:val="002418F3"/>
    <w:rsid w:val="00242BDE"/>
    <w:rsid w:val="0024738B"/>
    <w:rsid w:val="0025255B"/>
    <w:rsid w:val="00252E79"/>
    <w:rsid w:val="002534F2"/>
    <w:rsid w:val="00256E51"/>
    <w:rsid w:val="002628A6"/>
    <w:rsid w:val="002647F3"/>
    <w:rsid w:val="00267D8E"/>
    <w:rsid w:val="00270D5D"/>
    <w:rsid w:val="00273464"/>
    <w:rsid w:val="00283541"/>
    <w:rsid w:val="00283595"/>
    <w:rsid w:val="00284996"/>
    <w:rsid w:val="00286A18"/>
    <w:rsid w:val="00286B49"/>
    <w:rsid w:val="00290DE3"/>
    <w:rsid w:val="002914EE"/>
    <w:rsid w:val="00291EBD"/>
    <w:rsid w:val="0029341E"/>
    <w:rsid w:val="002945AA"/>
    <w:rsid w:val="00297EFD"/>
    <w:rsid w:val="002B3EAC"/>
    <w:rsid w:val="002C1187"/>
    <w:rsid w:val="002C718B"/>
    <w:rsid w:val="002D0021"/>
    <w:rsid w:val="002D0773"/>
    <w:rsid w:val="002D2807"/>
    <w:rsid w:val="002D3D2E"/>
    <w:rsid w:val="002D3DEF"/>
    <w:rsid w:val="002D43BD"/>
    <w:rsid w:val="002D5829"/>
    <w:rsid w:val="002E082C"/>
    <w:rsid w:val="002E1B2A"/>
    <w:rsid w:val="002E1CE5"/>
    <w:rsid w:val="002E2C48"/>
    <w:rsid w:val="002E3153"/>
    <w:rsid w:val="002F0636"/>
    <w:rsid w:val="003000DB"/>
    <w:rsid w:val="00301066"/>
    <w:rsid w:val="00311A41"/>
    <w:rsid w:val="00312CCE"/>
    <w:rsid w:val="00313042"/>
    <w:rsid w:val="00316B89"/>
    <w:rsid w:val="0032271C"/>
    <w:rsid w:val="0032408C"/>
    <w:rsid w:val="003243D7"/>
    <w:rsid w:val="003276A7"/>
    <w:rsid w:val="003355B7"/>
    <w:rsid w:val="0033688F"/>
    <w:rsid w:val="00337313"/>
    <w:rsid w:val="00340030"/>
    <w:rsid w:val="00340879"/>
    <w:rsid w:val="00356840"/>
    <w:rsid w:val="00357C2E"/>
    <w:rsid w:val="00360537"/>
    <w:rsid w:val="00360933"/>
    <w:rsid w:val="00362691"/>
    <w:rsid w:val="00365CC2"/>
    <w:rsid w:val="00367183"/>
    <w:rsid w:val="003740E5"/>
    <w:rsid w:val="003802CF"/>
    <w:rsid w:val="00384A7C"/>
    <w:rsid w:val="00386B5C"/>
    <w:rsid w:val="003879B6"/>
    <w:rsid w:val="003A0A59"/>
    <w:rsid w:val="003A0C61"/>
    <w:rsid w:val="003B4D0B"/>
    <w:rsid w:val="003B6570"/>
    <w:rsid w:val="003B76CA"/>
    <w:rsid w:val="003C339B"/>
    <w:rsid w:val="003C7014"/>
    <w:rsid w:val="003C7CA5"/>
    <w:rsid w:val="003D09F0"/>
    <w:rsid w:val="003D1A0A"/>
    <w:rsid w:val="003D2503"/>
    <w:rsid w:val="003D2AC8"/>
    <w:rsid w:val="003D3C4D"/>
    <w:rsid w:val="003D4CD5"/>
    <w:rsid w:val="003D6477"/>
    <w:rsid w:val="003D6894"/>
    <w:rsid w:val="003E3A51"/>
    <w:rsid w:val="003F555F"/>
    <w:rsid w:val="003F5AE4"/>
    <w:rsid w:val="004006D2"/>
    <w:rsid w:val="00400E49"/>
    <w:rsid w:val="004030B2"/>
    <w:rsid w:val="0040540D"/>
    <w:rsid w:val="00411168"/>
    <w:rsid w:val="00417B2B"/>
    <w:rsid w:val="0042111C"/>
    <w:rsid w:val="00421751"/>
    <w:rsid w:val="004235D3"/>
    <w:rsid w:val="00424C13"/>
    <w:rsid w:val="00424E45"/>
    <w:rsid w:val="00425BC0"/>
    <w:rsid w:val="0042710F"/>
    <w:rsid w:val="00427B42"/>
    <w:rsid w:val="00430330"/>
    <w:rsid w:val="004344CB"/>
    <w:rsid w:val="004369C5"/>
    <w:rsid w:val="0044128E"/>
    <w:rsid w:val="00441C24"/>
    <w:rsid w:val="0044229A"/>
    <w:rsid w:val="004441E4"/>
    <w:rsid w:val="004444E8"/>
    <w:rsid w:val="004459F6"/>
    <w:rsid w:val="0045403E"/>
    <w:rsid w:val="00455E41"/>
    <w:rsid w:val="00457BC2"/>
    <w:rsid w:val="00462CB4"/>
    <w:rsid w:val="00463E75"/>
    <w:rsid w:val="00463E7E"/>
    <w:rsid w:val="00466F51"/>
    <w:rsid w:val="00473591"/>
    <w:rsid w:val="004818CE"/>
    <w:rsid w:val="00482231"/>
    <w:rsid w:val="004847CE"/>
    <w:rsid w:val="0048716A"/>
    <w:rsid w:val="00487911"/>
    <w:rsid w:val="00491FF5"/>
    <w:rsid w:val="004933C5"/>
    <w:rsid w:val="0049748D"/>
    <w:rsid w:val="004A42A4"/>
    <w:rsid w:val="004A562B"/>
    <w:rsid w:val="004B2A7E"/>
    <w:rsid w:val="004B6F0C"/>
    <w:rsid w:val="004C0418"/>
    <w:rsid w:val="004C5387"/>
    <w:rsid w:val="004C5A19"/>
    <w:rsid w:val="004D31C5"/>
    <w:rsid w:val="004D3B31"/>
    <w:rsid w:val="004D4C35"/>
    <w:rsid w:val="004D4E98"/>
    <w:rsid w:val="004E50A9"/>
    <w:rsid w:val="004E528C"/>
    <w:rsid w:val="004E581C"/>
    <w:rsid w:val="004F4C01"/>
    <w:rsid w:val="004F68C9"/>
    <w:rsid w:val="00506A5F"/>
    <w:rsid w:val="00506B0D"/>
    <w:rsid w:val="00507A87"/>
    <w:rsid w:val="00511B81"/>
    <w:rsid w:val="005131BD"/>
    <w:rsid w:val="0052024D"/>
    <w:rsid w:val="00520C38"/>
    <w:rsid w:val="005218DE"/>
    <w:rsid w:val="00521E43"/>
    <w:rsid w:val="0053252E"/>
    <w:rsid w:val="005342AC"/>
    <w:rsid w:val="00542BD5"/>
    <w:rsid w:val="00545B41"/>
    <w:rsid w:val="00550553"/>
    <w:rsid w:val="0055693B"/>
    <w:rsid w:val="00557EF9"/>
    <w:rsid w:val="00561951"/>
    <w:rsid w:val="00565A48"/>
    <w:rsid w:val="00565E01"/>
    <w:rsid w:val="00571D26"/>
    <w:rsid w:val="00577E58"/>
    <w:rsid w:val="00583287"/>
    <w:rsid w:val="005866FE"/>
    <w:rsid w:val="00586965"/>
    <w:rsid w:val="00586FCB"/>
    <w:rsid w:val="00587193"/>
    <w:rsid w:val="00595DD3"/>
    <w:rsid w:val="00597204"/>
    <w:rsid w:val="005977BD"/>
    <w:rsid w:val="005A239F"/>
    <w:rsid w:val="005A72B2"/>
    <w:rsid w:val="005A7F5F"/>
    <w:rsid w:val="005B32FC"/>
    <w:rsid w:val="005B492A"/>
    <w:rsid w:val="005B5CE9"/>
    <w:rsid w:val="005B7F20"/>
    <w:rsid w:val="005C14D5"/>
    <w:rsid w:val="005C30E5"/>
    <w:rsid w:val="005C447F"/>
    <w:rsid w:val="005C7622"/>
    <w:rsid w:val="005C7E1C"/>
    <w:rsid w:val="005E0339"/>
    <w:rsid w:val="005E1431"/>
    <w:rsid w:val="005E1458"/>
    <w:rsid w:val="005E1F73"/>
    <w:rsid w:val="005E36A9"/>
    <w:rsid w:val="005E50B0"/>
    <w:rsid w:val="005F04E3"/>
    <w:rsid w:val="005F4127"/>
    <w:rsid w:val="005F48E0"/>
    <w:rsid w:val="00601786"/>
    <w:rsid w:val="00602C39"/>
    <w:rsid w:val="006039DC"/>
    <w:rsid w:val="006064D4"/>
    <w:rsid w:val="00607ADA"/>
    <w:rsid w:val="00617788"/>
    <w:rsid w:val="006221C9"/>
    <w:rsid w:val="00626C33"/>
    <w:rsid w:val="00626F74"/>
    <w:rsid w:val="00630D5A"/>
    <w:rsid w:val="0064032D"/>
    <w:rsid w:val="006411E1"/>
    <w:rsid w:val="00642AB4"/>
    <w:rsid w:val="00651631"/>
    <w:rsid w:val="00652293"/>
    <w:rsid w:val="0065361D"/>
    <w:rsid w:val="00654167"/>
    <w:rsid w:val="00655200"/>
    <w:rsid w:val="00661E48"/>
    <w:rsid w:val="006623B1"/>
    <w:rsid w:val="00665547"/>
    <w:rsid w:val="00674210"/>
    <w:rsid w:val="00676864"/>
    <w:rsid w:val="00677C7C"/>
    <w:rsid w:val="006808FE"/>
    <w:rsid w:val="00680BD0"/>
    <w:rsid w:val="00681A91"/>
    <w:rsid w:val="00683BBF"/>
    <w:rsid w:val="00685045"/>
    <w:rsid w:val="00697EB0"/>
    <w:rsid w:val="006A109F"/>
    <w:rsid w:val="006A3A7D"/>
    <w:rsid w:val="006A5A31"/>
    <w:rsid w:val="006A5CEC"/>
    <w:rsid w:val="006B3934"/>
    <w:rsid w:val="006C0F0A"/>
    <w:rsid w:val="006C150A"/>
    <w:rsid w:val="006C59B4"/>
    <w:rsid w:val="006C5E87"/>
    <w:rsid w:val="006E48C0"/>
    <w:rsid w:val="006E5001"/>
    <w:rsid w:val="006E58AD"/>
    <w:rsid w:val="006E62CD"/>
    <w:rsid w:val="006F597F"/>
    <w:rsid w:val="007073E1"/>
    <w:rsid w:val="0071019F"/>
    <w:rsid w:val="00711135"/>
    <w:rsid w:val="00713648"/>
    <w:rsid w:val="00713997"/>
    <w:rsid w:val="007143B4"/>
    <w:rsid w:val="00716C1A"/>
    <w:rsid w:val="007219BA"/>
    <w:rsid w:val="00721E4F"/>
    <w:rsid w:val="007237B6"/>
    <w:rsid w:val="007320B6"/>
    <w:rsid w:val="00732AF2"/>
    <w:rsid w:val="00735094"/>
    <w:rsid w:val="00737553"/>
    <w:rsid w:val="00737FC3"/>
    <w:rsid w:val="00741F1F"/>
    <w:rsid w:val="007424EE"/>
    <w:rsid w:val="00742FBB"/>
    <w:rsid w:val="007441E5"/>
    <w:rsid w:val="007449D3"/>
    <w:rsid w:val="00746829"/>
    <w:rsid w:val="00752C26"/>
    <w:rsid w:val="0075685D"/>
    <w:rsid w:val="0075768A"/>
    <w:rsid w:val="00760409"/>
    <w:rsid w:val="00764643"/>
    <w:rsid w:val="0076735B"/>
    <w:rsid w:val="007757E2"/>
    <w:rsid w:val="00776CB4"/>
    <w:rsid w:val="00780D85"/>
    <w:rsid w:val="00783A8E"/>
    <w:rsid w:val="00784C7A"/>
    <w:rsid w:val="00785A61"/>
    <w:rsid w:val="00786903"/>
    <w:rsid w:val="00794B02"/>
    <w:rsid w:val="007962BF"/>
    <w:rsid w:val="007963F7"/>
    <w:rsid w:val="007A27D3"/>
    <w:rsid w:val="007A3368"/>
    <w:rsid w:val="007A6530"/>
    <w:rsid w:val="007B2496"/>
    <w:rsid w:val="007B3523"/>
    <w:rsid w:val="007B3711"/>
    <w:rsid w:val="007C47F9"/>
    <w:rsid w:val="007C4BC5"/>
    <w:rsid w:val="007D0271"/>
    <w:rsid w:val="007D2149"/>
    <w:rsid w:val="007D2A54"/>
    <w:rsid w:val="007D6108"/>
    <w:rsid w:val="007D7843"/>
    <w:rsid w:val="007E0CD9"/>
    <w:rsid w:val="007E280E"/>
    <w:rsid w:val="007E3E3B"/>
    <w:rsid w:val="007E7C21"/>
    <w:rsid w:val="007F2E85"/>
    <w:rsid w:val="007F30E8"/>
    <w:rsid w:val="007F501A"/>
    <w:rsid w:val="007F5687"/>
    <w:rsid w:val="00801F66"/>
    <w:rsid w:val="00803465"/>
    <w:rsid w:val="00803743"/>
    <w:rsid w:val="008164C1"/>
    <w:rsid w:val="00825584"/>
    <w:rsid w:val="00825FD3"/>
    <w:rsid w:val="00827DF9"/>
    <w:rsid w:val="008309B9"/>
    <w:rsid w:val="0083567D"/>
    <w:rsid w:val="00835F71"/>
    <w:rsid w:val="008362C0"/>
    <w:rsid w:val="008441A7"/>
    <w:rsid w:val="008460A2"/>
    <w:rsid w:val="00851CCD"/>
    <w:rsid w:val="00853D2E"/>
    <w:rsid w:val="008559F8"/>
    <w:rsid w:val="00856937"/>
    <w:rsid w:val="00862B9D"/>
    <w:rsid w:val="00865D59"/>
    <w:rsid w:val="00867AC7"/>
    <w:rsid w:val="00872297"/>
    <w:rsid w:val="00873B5C"/>
    <w:rsid w:val="00875692"/>
    <w:rsid w:val="00880AD1"/>
    <w:rsid w:val="00882E4B"/>
    <w:rsid w:val="008834BC"/>
    <w:rsid w:val="00883EF7"/>
    <w:rsid w:val="00886733"/>
    <w:rsid w:val="00891D63"/>
    <w:rsid w:val="008944B5"/>
    <w:rsid w:val="0089496B"/>
    <w:rsid w:val="00896B48"/>
    <w:rsid w:val="008A1D32"/>
    <w:rsid w:val="008A4AA5"/>
    <w:rsid w:val="008A68F4"/>
    <w:rsid w:val="008C3BBF"/>
    <w:rsid w:val="008C6D8D"/>
    <w:rsid w:val="008C6DF8"/>
    <w:rsid w:val="008D0A70"/>
    <w:rsid w:val="008D1102"/>
    <w:rsid w:val="008D17C6"/>
    <w:rsid w:val="008D4CEF"/>
    <w:rsid w:val="008D5382"/>
    <w:rsid w:val="008D5D50"/>
    <w:rsid w:val="008E5C81"/>
    <w:rsid w:val="008E6CC3"/>
    <w:rsid w:val="008F0AAE"/>
    <w:rsid w:val="008F4B28"/>
    <w:rsid w:val="008F4CF6"/>
    <w:rsid w:val="008F60C5"/>
    <w:rsid w:val="0091036A"/>
    <w:rsid w:val="009110E3"/>
    <w:rsid w:val="00914623"/>
    <w:rsid w:val="009148CD"/>
    <w:rsid w:val="00917246"/>
    <w:rsid w:val="0092008A"/>
    <w:rsid w:val="00921DEB"/>
    <w:rsid w:val="00922556"/>
    <w:rsid w:val="0092380D"/>
    <w:rsid w:val="00925A74"/>
    <w:rsid w:val="00926ECF"/>
    <w:rsid w:val="0093187F"/>
    <w:rsid w:val="00937232"/>
    <w:rsid w:val="0094001A"/>
    <w:rsid w:val="009422C0"/>
    <w:rsid w:val="009440DD"/>
    <w:rsid w:val="0094494B"/>
    <w:rsid w:val="00944A43"/>
    <w:rsid w:val="00946F1B"/>
    <w:rsid w:val="00947DC9"/>
    <w:rsid w:val="00956F1B"/>
    <w:rsid w:val="0096245C"/>
    <w:rsid w:val="00964B8C"/>
    <w:rsid w:val="0097325A"/>
    <w:rsid w:val="00973C51"/>
    <w:rsid w:val="00977A51"/>
    <w:rsid w:val="0098385E"/>
    <w:rsid w:val="0098402F"/>
    <w:rsid w:val="009871CB"/>
    <w:rsid w:val="00987D37"/>
    <w:rsid w:val="0099074C"/>
    <w:rsid w:val="00990C9D"/>
    <w:rsid w:val="0099223A"/>
    <w:rsid w:val="00992330"/>
    <w:rsid w:val="00992FBE"/>
    <w:rsid w:val="00995C9B"/>
    <w:rsid w:val="00995D8B"/>
    <w:rsid w:val="00996E68"/>
    <w:rsid w:val="009B662B"/>
    <w:rsid w:val="009C16FC"/>
    <w:rsid w:val="009C6D43"/>
    <w:rsid w:val="009D1CF3"/>
    <w:rsid w:val="009D427D"/>
    <w:rsid w:val="009D64F0"/>
    <w:rsid w:val="009E2969"/>
    <w:rsid w:val="009E572F"/>
    <w:rsid w:val="009E6945"/>
    <w:rsid w:val="009F26A8"/>
    <w:rsid w:val="00A00C94"/>
    <w:rsid w:val="00A0154E"/>
    <w:rsid w:val="00A027FF"/>
    <w:rsid w:val="00A13A83"/>
    <w:rsid w:val="00A31EEC"/>
    <w:rsid w:val="00A35428"/>
    <w:rsid w:val="00A44F4C"/>
    <w:rsid w:val="00A46101"/>
    <w:rsid w:val="00A475AC"/>
    <w:rsid w:val="00A50A19"/>
    <w:rsid w:val="00A51C83"/>
    <w:rsid w:val="00A53686"/>
    <w:rsid w:val="00A60087"/>
    <w:rsid w:val="00A60EEC"/>
    <w:rsid w:val="00A653E2"/>
    <w:rsid w:val="00A67E95"/>
    <w:rsid w:val="00A71696"/>
    <w:rsid w:val="00A7238B"/>
    <w:rsid w:val="00A7569B"/>
    <w:rsid w:val="00A7592C"/>
    <w:rsid w:val="00A82184"/>
    <w:rsid w:val="00A83C11"/>
    <w:rsid w:val="00A86211"/>
    <w:rsid w:val="00A86F98"/>
    <w:rsid w:val="00A87166"/>
    <w:rsid w:val="00A91D61"/>
    <w:rsid w:val="00A93512"/>
    <w:rsid w:val="00A94565"/>
    <w:rsid w:val="00A94D48"/>
    <w:rsid w:val="00AA3549"/>
    <w:rsid w:val="00AA4661"/>
    <w:rsid w:val="00AA50DD"/>
    <w:rsid w:val="00AA5D9C"/>
    <w:rsid w:val="00AA75B5"/>
    <w:rsid w:val="00AB12D7"/>
    <w:rsid w:val="00AB2A24"/>
    <w:rsid w:val="00AB5EA0"/>
    <w:rsid w:val="00AB6169"/>
    <w:rsid w:val="00AC01FF"/>
    <w:rsid w:val="00AC1F9B"/>
    <w:rsid w:val="00AC3882"/>
    <w:rsid w:val="00AE1B82"/>
    <w:rsid w:val="00AE1CE3"/>
    <w:rsid w:val="00AF19B9"/>
    <w:rsid w:val="00AF4832"/>
    <w:rsid w:val="00AF498D"/>
    <w:rsid w:val="00AF6428"/>
    <w:rsid w:val="00AF7A73"/>
    <w:rsid w:val="00B002C4"/>
    <w:rsid w:val="00B03409"/>
    <w:rsid w:val="00B036D2"/>
    <w:rsid w:val="00B041C7"/>
    <w:rsid w:val="00B2303F"/>
    <w:rsid w:val="00B25293"/>
    <w:rsid w:val="00B25DA6"/>
    <w:rsid w:val="00B26664"/>
    <w:rsid w:val="00B27D56"/>
    <w:rsid w:val="00B31EC4"/>
    <w:rsid w:val="00B40BAE"/>
    <w:rsid w:val="00B4115C"/>
    <w:rsid w:val="00B43F20"/>
    <w:rsid w:val="00B44E28"/>
    <w:rsid w:val="00B45B0A"/>
    <w:rsid w:val="00B46E8C"/>
    <w:rsid w:val="00B55626"/>
    <w:rsid w:val="00B55B0B"/>
    <w:rsid w:val="00B56160"/>
    <w:rsid w:val="00B56605"/>
    <w:rsid w:val="00B60EA6"/>
    <w:rsid w:val="00B61221"/>
    <w:rsid w:val="00B61E6A"/>
    <w:rsid w:val="00B621E9"/>
    <w:rsid w:val="00B6535E"/>
    <w:rsid w:val="00B65850"/>
    <w:rsid w:val="00B66A77"/>
    <w:rsid w:val="00B66FD7"/>
    <w:rsid w:val="00B67659"/>
    <w:rsid w:val="00B74F88"/>
    <w:rsid w:val="00B762F2"/>
    <w:rsid w:val="00B76EC0"/>
    <w:rsid w:val="00B82BE5"/>
    <w:rsid w:val="00B86C2D"/>
    <w:rsid w:val="00B90569"/>
    <w:rsid w:val="00B964BB"/>
    <w:rsid w:val="00B97DA5"/>
    <w:rsid w:val="00BA0044"/>
    <w:rsid w:val="00BA2D2C"/>
    <w:rsid w:val="00BA4D8E"/>
    <w:rsid w:val="00BA615A"/>
    <w:rsid w:val="00BB337B"/>
    <w:rsid w:val="00BB5646"/>
    <w:rsid w:val="00BC1352"/>
    <w:rsid w:val="00BC3804"/>
    <w:rsid w:val="00BC3C71"/>
    <w:rsid w:val="00BC3EE3"/>
    <w:rsid w:val="00BC5F33"/>
    <w:rsid w:val="00BC77A5"/>
    <w:rsid w:val="00BD1CAA"/>
    <w:rsid w:val="00BD1D71"/>
    <w:rsid w:val="00BD3379"/>
    <w:rsid w:val="00BD3483"/>
    <w:rsid w:val="00BD45F2"/>
    <w:rsid w:val="00BE491F"/>
    <w:rsid w:val="00BF3116"/>
    <w:rsid w:val="00BF311C"/>
    <w:rsid w:val="00BF49C4"/>
    <w:rsid w:val="00BF53F3"/>
    <w:rsid w:val="00C008EC"/>
    <w:rsid w:val="00C01566"/>
    <w:rsid w:val="00C01D0A"/>
    <w:rsid w:val="00C110DE"/>
    <w:rsid w:val="00C11A2A"/>
    <w:rsid w:val="00C15BC0"/>
    <w:rsid w:val="00C30A85"/>
    <w:rsid w:val="00C33588"/>
    <w:rsid w:val="00C36A11"/>
    <w:rsid w:val="00C52530"/>
    <w:rsid w:val="00C53A0A"/>
    <w:rsid w:val="00C57BE8"/>
    <w:rsid w:val="00C6466B"/>
    <w:rsid w:val="00C649FA"/>
    <w:rsid w:val="00C65145"/>
    <w:rsid w:val="00C70883"/>
    <w:rsid w:val="00C723B9"/>
    <w:rsid w:val="00C7279A"/>
    <w:rsid w:val="00C72C8B"/>
    <w:rsid w:val="00C73D75"/>
    <w:rsid w:val="00C87336"/>
    <w:rsid w:val="00C902A1"/>
    <w:rsid w:val="00C9046D"/>
    <w:rsid w:val="00C95F66"/>
    <w:rsid w:val="00C972C0"/>
    <w:rsid w:val="00CA171E"/>
    <w:rsid w:val="00CB0595"/>
    <w:rsid w:val="00CB15CF"/>
    <w:rsid w:val="00CB3314"/>
    <w:rsid w:val="00CB3917"/>
    <w:rsid w:val="00CB5220"/>
    <w:rsid w:val="00CB555A"/>
    <w:rsid w:val="00CB59B7"/>
    <w:rsid w:val="00CB72D6"/>
    <w:rsid w:val="00CC3107"/>
    <w:rsid w:val="00CC3CB7"/>
    <w:rsid w:val="00CD18E1"/>
    <w:rsid w:val="00CD2D18"/>
    <w:rsid w:val="00CD75D5"/>
    <w:rsid w:val="00CE0F83"/>
    <w:rsid w:val="00CE450F"/>
    <w:rsid w:val="00CE4A76"/>
    <w:rsid w:val="00CE5AD5"/>
    <w:rsid w:val="00CF27F3"/>
    <w:rsid w:val="00CF38D5"/>
    <w:rsid w:val="00CF3CC5"/>
    <w:rsid w:val="00CF57A3"/>
    <w:rsid w:val="00CF7230"/>
    <w:rsid w:val="00D0078C"/>
    <w:rsid w:val="00D063D3"/>
    <w:rsid w:val="00D07850"/>
    <w:rsid w:val="00D12FDE"/>
    <w:rsid w:val="00D1338A"/>
    <w:rsid w:val="00D146B2"/>
    <w:rsid w:val="00D21EA5"/>
    <w:rsid w:val="00D222E0"/>
    <w:rsid w:val="00D23FA2"/>
    <w:rsid w:val="00D31748"/>
    <w:rsid w:val="00D33B94"/>
    <w:rsid w:val="00D346BA"/>
    <w:rsid w:val="00D3592D"/>
    <w:rsid w:val="00D37EBC"/>
    <w:rsid w:val="00D413A0"/>
    <w:rsid w:val="00D42182"/>
    <w:rsid w:val="00D43188"/>
    <w:rsid w:val="00D4445D"/>
    <w:rsid w:val="00D478BE"/>
    <w:rsid w:val="00D63D74"/>
    <w:rsid w:val="00D64A89"/>
    <w:rsid w:val="00D64EE6"/>
    <w:rsid w:val="00D71200"/>
    <w:rsid w:val="00D7605E"/>
    <w:rsid w:val="00D764A8"/>
    <w:rsid w:val="00D80757"/>
    <w:rsid w:val="00D86CA2"/>
    <w:rsid w:val="00D92132"/>
    <w:rsid w:val="00D94FBD"/>
    <w:rsid w:val="00D96E1C"/>
    <w:rsid w:val="00DA2F25"/>
    <w:rsid w:val="00DA559F"/>
    <w:rsid w:val="00DB0AEC"/>
    <w:rsid w:val="00DB30E0"/>
    <w:rsid w:val="00DB5068"/>
    <w:rsid w:val="00DB6C8B"/>
    <w:rsid w:val="00DC2241"/>
    <w:rsid w:val="00DC504D"/>
    <w:rsid w:val="00DC518E"/>
    <w:rsid w:val="00DC673B"/>
    <w:rsid w:val="00DD2465"/>
    <w:rsid w:val="00DD3A26"/>
    <w:rsid w:val="00DE1E1B"/>
    <w:rsid w:val="00DF000B"/>
    <w:rsid w:val="00DF09FA"/>
    <w:rsid w:val="00DF3458"/>
    <w:rsid w:val="00E03824"/>
    <w:rsid w:val="00E13A78"/>
    <w:rsid w:val="00E176E8"/>
    <w:rsid w:val="00E20A4D"/>
    <w:rsid w:val="00E216E6"/>
    <w:rsid w:val="00E22A34"/>
    <w:rsid w:val="00E240EF"/>
    <w:rsid w:val="00E25A37"/>
    <w:rsid w:val="00E26902"/>
    <w:rsid w:val="00E26F91"/>
    <w:rsid w:val="00E305A6"/>
    <w:rsid w:val="00E326BB"/>
    <w:rsid w:val="00E33741"/>
    <w:rsid w:val="00E354D4"/>
    <w:rsid w:val="00E36331"/>
    <w:rsid w:val="00E37143"/>
    <w:rsid w:val="00E4309C"/>
    <w:rsid w:val="00E479F0"/>
    <w:rsid w:val="00E51D5F"/>
    <w:rsid w:val="00E53359"/>
    <w:rsid w:val="00E54934"/>
    <w:rsid w:val="00E57C84"/>
    <w:rsid w:val="00E60352"/>
    <w:rsid w:val="00E648B4"/>
    <w:rsid w:val="00E6520F"/>
    <w:rsid w:val="00E6531C"/>
    <w:rsid w:val="00E72499"/>
    <w:rsid w:val="00E74FAD"/>
    <w:rsid w:val="00E776AD"/>
    <w:rsid w:val="00E84FA8"/>
    <w:rsid w:val="00E85BB0"/>
    <w:rsid w:val="00E86AF9"/>
    <w:rsid w:val="00EA02B3"/>
    <w:rsid w:val="00EA3945"/>
    <w:rsid w:val="00EB2E57"/>
    <w:rsid w:val="00EB2F97"/>
    <w:rsid w:val="00EC1954"/>
    <w:rsid w:val="00ED1F7D"/>
    <w:rsid w:val="00ED3191"/>
    <w:rsid w:val="00ED518B"/>
    <w:rsid w:val="00ED6D51"/>
    <w:rsid w:val="00ED796A"/>
    <w:rsid w:val="00EE342D"/>
    <w:rsid w:val="00EF064F"/>
    <w:rsid w:val="00EF3831"/>
    <w:rsid w:val="00EF49C0"/>
    <w:rsid w:val="00EF50B4"/>
    <w:rsid w:val="00EF6725"/>
    <w:rsid w:val="00EF6B6B"/>
    <w:rsid w:val="00F05D3C"/>
    <w:rsid w:val="00F06F7C"/>
    <w:rsid w:val="00F12098"/>
    <w:rsid w:val="00F130B8"/>
    <w:rsid w:val="00F17E11"/>
    <w:rsid w:val="00F2069F"/>
    <w:rsid w:val="00F21489"/>
    <w:rsid w:val="00F218AE"/>
    <w:rsid w:val="00F25126"/>
    <w:rsid w:val="00F27955"/>
    <w:rsid w:val="00F32081"/>
    <w:rsid w:val="00F34BA2"/>
    <w:rsid w:val="00F36DCB"/>
    <w:rsid w:val="00F36F2F"/>
    <w:rsid w:val="00F42A2E"/>
    <w:rsid w:val="00F43D93"/>
    <w:rsid w:val="00F44076"/>
    <w:rsid w:val="00F442D3"/>
    <w:rsid w:val="00F478FD"/>
    <w:rsid w:val="00F519E7"/>
    <w:rsid w:val="00F5225D"/>
    <w:rsid w:val="00F5588F"/>
    <w:rsid w:val="00F56A76"/>
    <w:rsid w:val="00F60476"/>
    <w:rsid w:val="00F60B87"/>
    <w:rsid w:val="00F70D8A"/>
    <w:rsid w:val="00F71A74"/>
    <w:rsid w:val="00F72706"/>
    <w:rsid w:val="00F76C39"/>
    <w:rsid w:val="00F830C3"/>
    <w:rsid w:val="00F84639"/>
    <w:rsid w:val="00F84D56"/>
    <w:rsid w:val="00F95994"/>
    <w:rsid w:val="00F9685D"/>
    <w:rsid w:val="00F96EBB"/>
    <w:rsid w:val="00FA1AD8"/>
    <w:rsid w:val="00FA3144"/>
    <w:rsid w:val="00FB3A65"/>
    <w:rsid w:val="00FC3FB7"/>
    <w:rsid w:val="00FD0534"/>
    <w:rsid w:val="00FD2A4F"/>
    <w:rsid w:val="00FD61DA"/>
    <w:rsid w:val="00FD6D94"/>
    <w:rsid w:val="00FD7CB2"/>
    <w:rsid w:val="00FE0164"/>
    <w:rsid w:val="00FE190D"/>
    <w:rsid w:val="00FE6D5E"/>
    <w:rsid w:val="00FF1FDF"/>
    <w:rsid w:val="00FF3D3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DB2EC"/>
  <w14:defaultImageDpi w14:val="330"/>
  <w15:docId w15:val="{7009F04C-4326-42AF-82EF-F1478843D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80BD0"/>
    <w:pPr>
      <w:spacing w:before="60" w:after="60" w:line="288" w:lineRule="auto"/>
      <w:jc w:val="both"/>
    </w:pPr>
    <w:rPr>
      <w:rFonts w:ascii="Arial" w:hAnsi="Arial"/>
      <w:kern w:val="28"/>
      <w:sz w:val="24"/>
    </w:rPr>
  </w:style>
  <w:style w:type="paragraph" w:styleId="1">
    <w:name w:val="heading 1"/>
    <w:basedOn w:val="a"/>
    <w:next w:val="a"/>
    <w:link w:val="10"/>
    <w:autoRedefine/>
    <w:qFormat/>
    <w:rsid w:val="00577E58"/>
    <w:pPr>
      <w:keepNext/>
      <w:pageBreakBefore/>
      <w:numPr>
        <w:numId w:val="1"/>
      </w:numPr>
      <w:suppressAutoHyphens/>
      <w:spacing w:before="240" w:after="120"/>
      <w:ind w:left="851" w:hanging="851"/>
      <w:jc w:val="left"/>
      <w:outlineLvl w:val="0"/>
    </w:pPr>
    <w:rPr>
      <w:b/>
      <w:bCs/>
      <w:sz w:val="32"/>
    </w:rPr>
  </w:style>
  <w:style w:type="paragraph" w:styleId="2">
    <w:name w:val="heading 2"/>
    <w:basedOn w:val="a"/>
    <w:next w:val="a"/>
    <w:autoRedefine/>
    <w:qFormat/>
    <w:rsid w:val="00577E58"/>
    <w:pPr>
      <w:keepNext/>
      <w:numPr>
        <w:ilvl w:val="1"/>
        <w:numId w:val="1"/>
      </w:numPr>
      <w:suppressAutoHyphens/>
      <w:spacing w:before="160" w:after="120"/>
      <w:jc w:val="left"/>
      <w:outlineLvl w:val="1"/>
    </w:pPr>
    <w:rPr>
      <w:b/>
      <w:bCs/>
      <w:sz w:val="28"/>
    </w:rPr>
  </w:style>
  <w:style w:type="paragraph" w:styleId="3">
    <w:name w:val="heading 3"/>
    <w:basedOn w:val="a"/>
    <w:next w:val="a"/>
    <w:autoRedefine/>
    <w:qFormat/>
    <w:rsid w:val="00674210"/>
    <w:pPr>
      <w:keepNext/>
      <w:numPr>
        <w:ilvl w:val="2"/>
        <w:numId w:val="1"/>
      </w:numPr>
      <w:suppressAutoHyphens/>
      <w:spacing w:before="120" w:after="80"/>
      <w:ind w:left="851" w:hanging="851"/>
      <w:jc w:val="left"/>
      <w:outlineLvl w:val="2"/>
    </w:pPr>
    <w:rPr>
      <w:b/>
      <w:bCs/>
    </w:rPr>
  </w:style>
  <w:style w:type="paragraph" w:styleId="4">
    <w:name w:val="heading 4"/>
    <w:basedOn w:val="a"/>
    <w:next w:val="a"/>
    <w:rsid w:val="00F56A76"/>
    <w:pPr>
      <w:keepNext/>
      <w:numPr>
        <w:ilvl w:val="3"/>
        <w:numId w:val="1"/>
      </w:numPr>
      <w:spacing w:before="240"/>
      <w:ind w:hanging="851"/>
      <w:jc w:val="left"/>
      <w:outlineLvl w:val="3"/>
    </w:pPr>
  </w:style>
  <w:style w:type="paragraph" w:styleId="5">
    <w:name w:val="heading 5"/>
    <w:basedOn w:val="a"/>
    <w:next w:val="a"/>
    <w:rsid w:val="00F56A76"/>
    <w:pPr>
      <w:numPr>
        <w:ilvl w:val="4"/>
        <w:numId w:val="1"/>
      </w:numPr>
      <w:spacing w:before="240"/>
      <w:outlineLvl w:val="4"/>
    </w:pPr>
    <w:rPr>
      <w:sz w:val="22"/>
    </w:rPr>
  </w:style>
  <w:style w:type="paragraph" w:styleId="6">
    <w:name w:val="heading 6"/>
    <w:basedOn w:val="a"/>
    <w:next w:val="a"/>
    <w:rsid w:val="00F56A76"/>
    <w:pPr>
      <w:numPr>
        <w:ilvl w:val="5"/>
        <w:numId w:val="1"/>
      </w:numPr>
      <w:spacing w:before="240"/>
      <w:outlineLvl w:val="5"/>
    </w:pPr>
    <w:rPr>
      <w:i/>
      <w:sz w:val="22"/>
    </w:rPr>
  </w:style>
  <w:style w:type="paragraph" w:styleId="7">
    <w:name w:val="heading 7"/>
    <w:basedOn w:val="a"/>
    <w:next w:val="a"/>
    <w:rsid w:val="00F56A76"/>
    <w:pPr>
      <w:numPr>
        <w:ilvl w:val="6"/>
        <w:numId w:val="1"/>
      </w:numPr>
      <w:spacing w:before="240"/>
      <w:outlineLvl w:val="6"/>
    </w:pPr>
    <w:rPr>
      <w:sz w:val="20"/>
    </w:rPr>
  </w:style>
  <w:style w:type="paragraph" w:styleId="8">
    <w:name w:val="heading 8"/>
    <w:basedOn w:val="a"/>
    <w:next w:val="a"/>
    <w:rsid w:val="00F56A76"/>
    <w:pPr>
      <w:numPr>
        <w:ilvl w:val="7"/>
        <w:numId w:val="1"/>
      </w:numPr>
      <w:spacing w:before="240"/>
      <w:outlineLvl w:val="7"/>
    </w:pPr>
    <w:rPr>
      <w:i/>
      <w:sz w:val="20"/>
    </w:rPr>
  </w:style>
  <w:style w:type="paragraph" w:styleId="9">
    <w:name w:val="heading 9"/>
    <w:basedOn w:val="a"/>
    <w:next w:val="a"/>
    <w:rsid w:val="00F56A76"/>
    <w:pPr>
      <w:numPr>
        <w:ilvl w:val="8"/>
        <w:numId w:val="1"/>
      </w:numPr>
      <w:spacing w:before="240"/>
      <w:outlineLvl w:val="8"/>
    </w:pPr>
    <w:rPr>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Number"/>
    <w:basedOn w:val="a"/>
    <w:rsid w:val="00F56A76"/>
    <w:pPr>
      <w:ind w:left="1276" w:hanging="425"/>
    </w:pPr>
  </w:style>
  <w:style w:type="paragraph" w:customStyle="1" w:styleId="FormatvorlageLiteraturlisteArialLinksLinks0cmHngend095cm">
    <w:name w:val="Formatvorlage Literaturliste + Arial Links Links:  0 cm Hängend:  095 cm"/>
    <w:basedOn w:val="Literaturliste"/>
    <w:rsid w:val="00F5225D"/>
    <w:pPr>
      <w:spacing w:line="216" w:lineRule="auto"/>
      <w:ind w:left="539" w:hanging="539"/>
      <w:jc w:val="left"/>
    </w:pPr>
  </w:style>
  <w:style w:type="paragraph" w:styleId="a4">
    <w:name w:val="header"/>
    <w:basedOn w:val="a"/>
    <w:rsid w:val="00F56A76"/>
    <w:pPr>
      <w:tabs>
        <w:tab w:val="center" w:pos="4536"/>
        <w:tab w:val="right" w:pos="9072"/>
      </w:tabs>
      <w:spacing w:before="0"/>
    </w:pPr>
    <w:rPr>
      <w:sz w:val="20"/>
    </w:rPr>
  </w:style>
  <w:style w:type="character" w:styleId="a5">
    <w:name w:val="page number"/>
    <w:basedOn w:val="a0"/>
    <w:rsid w:val="00F56A76"/>
    <w:rPr>
      <w:sz w:val="24"/>
    </w:rPr>
  </w:style>
  <w:style w:type="paragraph" w:styleId="a6">
    <w:name w:val="caption"/>
    <w:basedOn w:val="a"/>
    <w:next w:val="a"/>
    <w:link w:val="a7"/>
    <w:qFormat/>
    <w:rsid w:val="00E85BB0"/>
    <w:pPr>
      <w:spacing w:before="360" w:after="240"/>
      <w:ind w:right="284"/>
    </w:pPr>
    <w:rPr>
      <w:i/>
    </w:rPr>
  </w:style>
  <w:style w:type="paragraph" w:customStyle="1" w:styleId="Zitat1">
    <w:name w:val="Zitat1"/>
    <w:basedOn w:val="a"/>
    <w:next w:val="a"/>
    <w:rsid w:val="00F56A76"/>
    <w:pPr>
      <w:spacing w:before="120" w:after="120" w:line="240" w:lineRule="auto"/>
      <w:ind w:left="1134" w:right="284"/>
    </w:pPr>
  </w:style>
  <w:style w:type="paragraph" w:customStyle="1" w:styleId="Tabbeschrfitung">
    <w:name w:val="Tabbeschrfitung"/>
    <w:basedOn w:val="a6"/>
    <w:rsid w:val="00F56A76"/>
    <w:pPr>
      <w:spacing w:before="0" w:after="0" w:line="240" w:lineRule="auto"/>
      <w:ind w:right="0"/>
      <w:jc w:val="center"/>
    </w:pPr>
    <w:rPr>
      <w:i w:val="0"/>
      <w:sz w:val="20"/>
    </w:rPr>
  </w:style>
  <w:style w:type="paragraph" w:styleId="TOC1">
    <w:name w:val="toc 1"/>
    <w:basedOn w:val="a"/>
    <w:next w:val="a"/>
    <w:uiPriority w:val="39"/>
    <w:rsid w:val="00A13A83"/>
    <w:pPr>
      <w:spacing w:before="400" w:after="120"/>
      <w:ind w:left="567" w:hanging="567"/>
      <w:jc w:val="left"/>
    </w:pPr>
    <w:rPr>
      <w:b/>
      <w:smallCaps/>
      <w:szCs w:val="24"/>
    </w:rPr>
  </w:style>
  <w:style w:type="paragraph" w:styleId="TOC2">
    <w:name w:val="toc 2"/>
    <w:basedOn w:val="TOC1"/>
    <w:next w:val="a"/>
    <w:uiPriority w:val="39"/>
    <w:rsid w:val="00A13A83"/>
    <w:pPr>
      <w:spacing w:before="60" w:after="60"/>
      <w:ind w:left="1134"/>
    </w:pPr>
    <w:rPr>
      <w:smallCaps w:val="0"/>
      <w:sz w:val="22"/>
    </w:rPr>
  </w:style>
  <w:style w:type="paragraph" w:styleId="TOC3">
    <w:name w:val="toc 3"/>
    <w:basedOn w:val="TOC1"/>
    <w:next w:val="a"/>
    <w:uiPriority w:val="39"/>
    <w:rsid w:val="00A13A83"/>
    <w:pPr>
      <w:spacing w:before="60" w:after="60"/>
      <w:ind w:left="1701"/>
    </w:pPr>
    <w:rPr>
      <w:smallCaps w:val="0"/>
      <w:sz w:val="20"/>
    </w:rPr>
  </w:style>
  <w:style w:type="paragraph" w:styleId="a8">
    <w:name w:val="Subtitle"/>
    <w:basedOn w:val="a"/>
    <w:rsid w:val="00F56A76"/>
    <w:pPr>
      <w:spacing w:before="480" w:after="480" w:line="360" w:lineRule="auto"/>
      <w:jc w:val="center"/>
    </w:pPr>
    <w:rPr>
      <w:b/>
      <w:smallCaps/>
      <w:sz w:val="44"/>
    </w:rPr>
  </w:style>
  <w:style w:type="paragraph" w:styleId="a9">
    <w:name w:val="Title"/>
    <w:basedOn w:val="a"/>
    <w:qFormat/>
    <w:rsid w:val="00825584"/>
    <w:pPr>
      <w:contextualSpacing/>
      <w:jc w:val="left"/>
    </w:pPr>
    <w:rPr>
      <w:b/>
      <w:sz w:val="32"/>
      <w:szCs w:val="32"/>
    </w:rPr>
  </w:style>
  <w:style w:type="paragraph" w:customStyle="1" w:styleId="Literaturliste">
    <w:name w:val="Literaturliste"/>
    <w:basedOn w:val="a"/>
    <w:rsid w:val="00F56A76"/>
    <w:pPr>
      <w:spacing w:before="0" w:after="0" w:line="240" w:lineRule="auto"/>
      <w:ind w:left="1418" w:hanging="567"/>
    </w:pPr>
  </w:style>
  <w:style w:type="paragraph" w:styleId="aa">
    <w:name w:val="table of figures"/>
    <w:basedOn w:val="a"/>
    <w:next w:val="a"/>
    <w:uiPriority w:val="99"/>
    <w:rsid w:val="00F56A76"/>
    <w:pPr>
      <w:ind w:left="1588" w:hanging="1588"/>
    </w:pPr>
    <w:rPr>
      <w:sz w:val="20"/>
    </w:rPr>
  </w:style>
  <w:style w:type="paragraph" w:customStyle="1" w:styleId="Abbildungskasten">
    <w:name w:val="Abbildungskasten"/>
    <w:basedOn w:val="ab"/>
    <w:rsid w:val="00F56A76"/>
    <w:pPr>
      <w:pBdr>
        <w:top w:val="single" w:sz="4" w:space="1" w:color="auto"/>
        <w:left w:val="single" w:sz="4" w:space="1" w:color="auto"/>
        <w:bottom w:val="single" w:sz="4" w:space="1" w:color="auto"/>
        <w:right w:val="single" w:sz="4" w:space="0" w:color="auto"/>
      </w:pBdr>
      <w:spacing w:after="60"/>
      <w:ind w:right="140"/>
    </w:pPr>
  </w:style>
  <w:style w:type="paragraph" w:styleId="20">
    <w:name w:val="Body Text 2"/>
    <w:basedOn w:val="a"/>
    <w:rsid w:val="00F56A76"/>
    <w:pPr>
      <w:jc w:val="center"/>
    </w:pPr>
    <w:rPr>
      <w:b/>
      <w:sz w:val="32"/>
    </w:rPr>
  </w:style>
  <w:style w:type="paragraph" w:styleId="ab">
    <w:name w:val="Body Text"/>
    <w:basedOn w:val="a"/>
    <w:rsid w:val="00F56A76"/>
    <w:pPr>
      <w:spacing w:after="120"/>
    </w:pPr>
  </w:style>
  <w:style w:type="paragraph" w:styleId="ac">
    <w:name w:val="footer"/>
    <w:basedOn w:val="a"/>
    <w:rsid w:val="00B55B0B"/>
    <w:pPr>
      <w:tabs>
        <w:tab w:val="center" w:pos="4536"/>
        <w:tab w:val="right" w:pos="9072"/>
      </w:tabs>
    </w:pPr>
  </w:style>
  <w:style w:type="paragraph" w:customStyle="1" w:styleId="Verzeichnisse">
    <w:name w:val="Verzeichnisse"/>
    <w:basedOn w:val="a"/>
    <w:rsid w:val="00A13A83"/>
    <w:pPr>
      <w:spacing w:before="0" w:after="500"/>
      <w:jc w:val="left"/>
    </w:pPr>
    <w:rPr>
      <w:rFonts w:cs="Arial"/>
      <w:b/>
      <w:sz w:val="32"/>
    </w:rPr>
  </w:style>
  <w:style w:type="paragraph" w:styleId="ad">
    <w:name w:val="Bibliography"/>
    <w:basedOn w:val="1"/>
    <w:qFormat/>
    <w:rsid w:val="00EF49C0"/>
    <w:pPr>
      <w:numPr>
        <w:numId w:val="0"/>
      </w:numPr>
    </w:pPr>
    <w:rPr>
      <w:rFonts w:cs="Arial"/>
    </w:rPr>
  </w:style>
  <w:style w:type="paragraph" w:customStyle="1" w:styleId="FormatvorlageVerzeichnis1">
    <w:name w:val="Formatvorlage Verzeichnis 1"/>
    <w:basedOn w:val="TOC1"/>
    <w:rsid w:val="003243D7"/>
    <w:pPr>
      <w:ind w:left="720" w:hanging="720"/>
      <w:jc w:val="both"/>
    </w:pPr>
    <w:rPr>
      <w:bCs/>
      <w:szCs w:val="20"/>
    </w:rPr>
  </w:style>
  <w:style w:type="character" w:styleId="ae">
    <w:name w:val="Hyperlink"/>
    <w:basedOn w:val="a0"/>
    <w:rsid w:val="003B6570"/>
    <w:rPr>
      <w:color w:val="0000FF"/>
      <w:u w:val="single"/>
    </w:rPr>
  </w:style>
  <w:style w:type="paragraph" w:styleId="af">
    <w:name w:val="endnote text"/>
    <w:basedOn w:val="a"/>
    <w:semiHidden/>
    <w:rsid w:val="007E7C21"/>
    <w:rPr>
      <w:sz w:val="20"/>
    </w:rPr>
  </w:style>
  <w:style w:type="character" w:styleId="af0">
    <w:name w:val="endnote reference"/>
    <w:basedOn w:val="a0"/>
    <w:semiHidden/>
    <w:rsid w:val="007E7C21"/>
    <w:rPr>
      <w:vertAlign w:val="superscript"/>
    </w:rPr>
  </w:style>
  <w:style w:type="paragraph" w:customStyle="1" w:styleId="FormatvorlageBeschriftungArial">
    <w:name w:val="Formatvorlage Beschriftung + Arial"/>
    <w:basedOn w:val="a6"/>
    <w:link w:val="FormatvorlageBeschriftungArialChar"/>
    <w:autoRedefine/>
    <w:rsid w:val="00E85BB0"/>
    <w:pPr>
      <w:ind w:right="71"/>
      <w:jc w:val="left"/>
    </w:pPr>
    <w:rPr>
      <w:iCs/>
    </w:rPr>
  </w:style>
  <w:style w:type="character" w:customStyle="1" w:styleId="a7">
    <w:name w:val="题注 字符"/>
    <w:basedOn w:val="a0"/>
    <w:link w:val="a6"/>
    <w:rsid w:val="00E85BB0"/>
    <w:rPr>
      <w:rFonts w:ascii="Arial" w:hAnsi="Arial"/>
      <w:i/>
      <w:spacing w:val="8"/>
      <w:kern w:val="28"/>
      <w:sz w:val="24"/>
      <w:lang w:val="de-DE" w:eastAsia="de-DE" w:bidi="ar-SA"/>
    </w:rPr>
  </w:style>
  <w:style w:type="character" w:customStyle="1" w:styleId="FormatvorlageBeschriftungArialChar">
    <w:name w:val="Formatvorlage Beschriftung + Arial Char"/>
    <w:basedOn w:val="a7"/>
    <w:link w:val="FormatvorlageBeschriftungArial"/>
    <w:rsid w:val="00E85BB0"/>
    <w:rPr>
      <w:rFonts w:ascii="Arial" w:hAnsi="Arial"/>
      <w:i/>
      <w:iCs/>
      <w:spacing w:val="8"/>
      <w:kern w:val="28"/>
      <w:sz w:val="24"/>
      <w:lang w:val="de-DE" w:eastAsia="de-DE" w:bidi="ar-SA"/>
    </w:rPr>
  </w:style>
  <w:style w:type="paragraph" w:styleId="af1">
    <w:name w:val="Document Map"/>
    <w:basedOn w:val="a"/>
    <w:semiHidden/>
    <w:rsid w:val="00FA1AD8"/>
    <w:pPr>
      <w:shd w:val="clear" w:color="auto" w:fill="000080"/>
    </w:pPr>
    <w:rPr>
      <w:rFonts w:ascii="Tahoma" w:hAnsi="Tahoma" w:cs="Tahoma"/>
      <w:sz w:val="20"/>
    </w:rPr>
  </w:style>
  <w:style w:type="table" w:customStyle="1" w:styleId="Tabellengitternetz">
    <w:name w:val="Tabellengitternetz"/>
    <w:basedOn w:val="a1"/>
    <w:rsid w:val="0023440B"/>
    <w:pPr>
      <w:spacing w:before="60" w:after="60" w:line="288" w:lineRule="auto"/>
      <w:jc w:val="both"/>
    </w:pPr>
    <w:rPr>
      <w:rFonts w:ascii="Arial" w:hAnsi="Arial"/>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Verzeichnis1BlockLinks0cmHngend127cm">
    <w:name w:val="Formatvorlage Verzeichnis 1 + Block Links:  0 cm Hängend:  127 cm"/>
    <w:basedOn w:val="TOC1"/>
    <w:rsid w:val="003243D7"/>
    <w:pPr>
      <w:ind w:left="720" w:hanging="720"/>
      <w:jc w:val="both"/>
    </w:pPr>
    <w:rPr>
      <w:bCs/>
      <w:szCs w:val="20"/>
    </w:rPr>
  </w:style>
  <w:style w:type="paragraph" w:customStyle="1" w:styleId="Zentriert">
    <w:name w:val="Zentriert"/>
    <w:basedOn w:val="a"/>
    <w:rsid w:val="00430330"/>
    <w:pPr>
      <w:spacing w:before="240"/>
      <w:jc w:val="center"/>
    </w:pPr>
  </w:style>
  <w:style w:type="paragraph" w:customStyle="1" w:styleId="VorlageFett">
    <w:name w:val="Vorlage Fett"/>
    <w:basedOn w:val="a"/>
    <w:rsid w:val="006C5E87"/>
    <w:rPr>
      <w:b/>
      <w:bCs/>
    </w:rPr>
  </w:style>
  <w:style w:type="character" w:customStyle="1" w:styleId="FormatvorlageFettKursiv">
    <w:name w:val="Formatvorlage Fett Kursiv"/>
    <w:basedOn w:val="a0"/>
    <w:rsid w:val="006C5E87"/>
    <w:rPr>
      <w:b/>
      <w:bCs/>
      <w:i/>
      <w:iCs/>
    </w:rPr>
  </w:style>
  <w:style w:type="paragraph" w:customStyle="1" w:styleId="Titelblatt3">
    <w:name w:val="Titelblatt 3"/>
    <w:basedOn w:val="a"/>
    <w:rsid w:val="00737FC3"/>
    <w:pPr>
      <w:tabs>
        <w:tab w:val="left" w:pos="2520"/>
      </w:tabs>
      <w:jc w:val="left"/>
    </w:pPr>
    <w:rPr>
      <w:rFonts w:cs="Arial"/>
      <w:sz w:val="26"/>
      <w:szCs w:val="26"/>
    </w:rPr>
  </w:style>
  <w:style w:type="paragraph" w:customStyle="1" w:styleId="Titelblatt1">
    <w:name w:val="Titelblatt 1"/>
    <w:basedOn w:val="a"/>
    <w:rsid w:val="00737FC3"/>
    <w:pPr>
      <w:jc w:val="center"/>
    </w:pPr>
    <w:rPr>
      <w:b/>
      <w:bCs/>
      <w:sz w:val="22"/>
    </w:rPr>
  </w:style>
  <w:style w:type="paragraph" w:customStyle="1" w:styleId="Titelblatt2">
    <w:name w:val="Titelblatt 2"/>
    <w:basedOn w:val="a"/>
    <w:rsid w:val="00737FC3"/>
    <w:pPr>
      <w:jc w:val="center"/>
    </w:pPr>
    <w:rPr>
      <w:b/>
      <w:bCs/>
      <w:sz w:val="26"/>
    </w:rPr>
  </w:style>
  <w:style w:type="paragraph" w:customStyle="1" w:styleId="Rechtsausgerichtet">
    <w:name w:val="Rechts ausgerichtet"/>
    <w:basedOn w:val="a"/>
    <w:rsid w:val="00737FC3"/>
    <w:pPr>
      <w:jc w:val="right"/>
    </w:pPr>
  </w:style>
  <w:style w:type="numbering" w:customStyle="1" w:styleId="FormatvorlageAufgezhlt">
    <w:name w:val="Formatvorlage Aufgezählt"/>
    <w:basedOn w:val="a2"/>
    <w:rsid w:val="00737FC3"/>
    <w:pPr>
      <w:numPr>
        <w:numId w:val="2"/>
      </w:numPr>
    </w:pPr>
  </w:style>
  <w:style w:type="paragraph" w:customStyle="1" w:styleId="FormatvorlageStandardariallinks0">
    <w:name w:val="Formatvorlage Standardarial links 0"/>
    <w:aliases w:val="63 + Fett"/>
    <w:basedOn w:val="a"/>
    <w:next w:val="a"/>
    <w:link w:val="FormatvorlageStandardariallinks0Zchn"/>
    <w:rsid w:val="00737FC3"/>
    <w:rPr>
      <w:b/>
      <w:bCs/>
    </w:rPr>
  </w:style>
  <w:style w:type="character" w:customStyle="1" w:styleId="FormatvorlageStandardariallinks0Zchn">
    <w:name w:val="Formatvorlage Standardarial links 0 Zchn"/>
    <w:aliases w:val="63 + Fett Zchn"/>
    <w:basedOn w:val="a0"/>
    <w:link w:val="FormatvorlageStandardariallinks0"/>
    <w:rsid w:val="00737FC3"/>
    <w:rPr>
      <w:rFonts w:ascii="Arial" w:hAnsi="Arial"/>
      <w:b/>
      <w:bCs/>
      <w:spacing w:val="8"/>
      <w:kern w:val="28"/>
      <w:sz w:val="24"/>
      <w:lang w:val="de-DE" w:eastAsia="de-DE" w:bidi="ar-SA"/>
    </w:rPr>
  </w:style>
  <w:style w:type="paragraph" w:customStyle="1" w:styleId="Literaturlisteeinzeilig">
    <w:name w:val="Literaturliste einzeilig"/>
    <w:basedOn w:val="a"/>
    <w:qFormat/>
    <w:rsid w:val="003243D7"/>
    <w:pPr>
      <w:spacing w:line="240" w:lineRule="auto"/>
    </w:pPr>
  </w:style>
  <w:style w:type="paragraph" w:styleId="af2">
    <w:name w:val="Balloon Text"/>
    <w:basedOn w:val="a"/>
    <w:link w:val="af3"/>
    <w:rsid w:val="00C65145"/>
    <w:pPr>
      <w:spacing w:before="0" w:after="0" w:line="240" w:lineRule="auto"/>
    </w:pPr>
    <w:rPr>
      <w:rFonts w:ascii="Tahoma" w:hAnsi="Tahoma" w:cs="Tahoma"/>
      <w:sz w:val="16"/>
      <w:szCs w:val="16"/>
    </w:rPr>
  </w:style>
  <w:style w:type="character" w:customStyle="1" w:styleId="af3">
    <w:name w:val="批注框文本 字符"/>
    <w:basedOn w:val="a0"/>
    <w:link w:val="af2"/>
    <w:rsid w:val="00C65145"/>
    <w:rPr>
      <w:rFonts w:ascii="Tahoma" w:hAnsi="Tahoma" w:cs="Tahoma"/>
      <w:kern w:val="28"/>
      <w:sz w:val="16"/>
      <w:szCs w:val="16"/>
    </w:rPr>
  </w:style>
  <w:style w:type="table" w:styleId="af4">
    <w:name w:val="Table Grid"/>
    <w:basedOn w:val="a1"/>
    <w:rsid w:val="005A7F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577E58"/>
    <w:rPr>
      <w:rFonts w:ascii="Arial" w:hAnsi="Arial"/>
      <w:b/>
      <w:bCs/>
      <w:kern w:val="28"/>
      <w:sz w:val="32"/>
    </w:rPr>
  </w:style>
  <w:style w:type="paragraph" w:customStyle="1" w:styleId="berschrift4Fett">
    <w:name w:val="Überschrift 4 Fett"/>
    <w:basedOn w:val="a"/>
    <w:link w:val="berschrift4FettZchn"/>
    <w:qFormat/>
    <w:rsid w:val="00E33741"/>
    <w:pPr>
      <w:spacing w:before="120" w:after="80"/>
    </w:pPr>
    <w:rPr>
      <w:b/>
    </w:rPr>
  </w:style>
  <w:style w:type="character" w:customStyle="1" w:styleId="berschrift4FettZchn">
    <w:name w:val="Überschrift 4 Fett Zchn"/>
    <w:basedOn w:val="a0"/>
    <w:link w:val="berschrift4Fett"/>
    <w:rsid w:val="00E33741"/>
    <w:rPr>
      <w:rFonts w:ascii="Arial" w:hAnsi="Arial"/>
      <w:b/>
      <w:kern w:val="28"/>
      <w:sz w:val="24"/>
    </w:rPr>
  </w:style>
  <w:style w:type="paragraph" w:customStyle="1" w:styleId="FormatvorlageLinksNach12PtZeilenabstandeinfach">
    <w:name w:val="Formatvorlage Links Nach:  12 Pt. Zeilenabstand:  einfach"/>
    <w:basedOn w:val="a"/>
    <w:rsid w:val="0053252E"/>
    <w:pPr>
      <w:spacing w:after="240" w:line="240" w:lineRule="auto"/>
      <w:jc w:val="left"/>
    </w:pPr>
    <w:rPr>
      <w:rFonts w:asciiTheme="minorHAnsi" w:hAnsiTheme="minorHAnsi"/>
    </w:rPr>
  </w:style>
  <w:style w:type="paragraph" w:styleId="af5">
    <w:name w:val="List Paragraph"/>
    <w:basedOn w:val="a"/>
    <w:uiPriority w:val="34"/>
    <w:rsid w:val="001231BA"/>
    <w:pPr>
      <w:ind w:left="720"/>
      <w:contextualSpacing/>
    </w:pPr>
  </w:style>
  <w:style w:type="paragraph" w:customStyle="1" w:styleId="Verzeichnis">
    <w:name w:val="Verzeichnis"/>
    <w:basedOn w:val="a"/>
    <w:link w:val="VerzeichnisZchn"/>
    <w:qFormat/>
    <w:rsid w:val="008F4B28"/>
    <w:pPr>
      <w:spacing w:before="360" w:after="240"/>
      <w:jc w:val="left"/>
    </w:pPr>
    <w:rPr>
      <w:rFonts w:cs="Arial"/>
      <w:b/>
      <w:sz w:val="32"/>
    </w:rPr>
  </w:style>
  <w:style w:type="character" w:customStyle="1" w:styleId="VerzeichnisZchn">
    <w:name w:val="Verzeichnis Zchn"/>
    <w:basedOn w:val="a0"/>
    <w:link w:val="Verzeichnis"/>
    <w:rsid w:val="008F4B28"/>
    <w:rPr>
      <w:rFonts w:ascii="Arial" w:hAnsi="Arial" w:cs="Arial"/>
      <w:b/>
      <w:kern w:val="28"/>
      <w:sz w:val="32"/>
    </w:rPr>
  </w:style>
  <w:style w:type="character" w:styleId="af6">
    <w:name w:val="Placeholder Text"/>
    <w:basedOn w:val="a0"/>
    <w:uiPriority w:val="99"/>
    <w:semiHidden/>
    <w:rsid w:val="00676864"/>
    <w:rPr>
      <w:color w:val="666666"/>
    </w:rPr>
  </w:style>
  <w:style w:type="table" w:styleId="af7">
    <w:name w:val="Grid Table Light"/>
    <w:basedOn w:val="a1"/>
    <w:uiPriority w:val="40"/>
    <w:rsid w:val="00BC5F3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9503">
      <w:bodyDiv w:val="1"/>
      <w:marLeft w:val="0"/>
      <w:marRight w:val="0"/>
      <w:marTop w:val="0"/>
      <w:marBottom w:val="0"/>
      <w:divBdr>
        <w:top w:val="none" w:sz="0" w:space="0" w:color="auto"/>
        <w:left w:val="none" w:sz="0" w:space="0" w:color="auto"/>
        <w:bottom w:val="none" w:sz="0" w:space="0" w:color="auto"/>
        <w:right w:val="none" w:sz="0" w:space="0" w:color="auto"/>
      </w:divBdr>
    </w:div>
    <w:div w:id="254755505">
      <w:bodyDiv w:val="1"/>
      <w:marLeft w:val="0"/>
      <w:marRight w:val="0"/>
      <w:marTop w:val="0"/>
      <w:marBottom w:val="0"/>
      <w:divBdr>
        <w:top w:val="none" w:sz="0" w:space="0" w:color="auto"/>
        <w:left w:val="none" w:sz="0" w:space="0" w:color="auto"/>
        <w:bottom w:val="none" w:sz="0" w:space="0" w:color="auto"/>
        <w:right w:val="none" w:sz="0" w:space="0" w:color="auto"/>
      </w:divBdr>
    </w:div>
    <w:div w:id="593323654">
      <w:bodyDiv w:val="1"/>
      <w:marLeft w:val="0"/>
      <w:marRight w:val="0"/>
      <w:marTop w:val="0"/>
      <w:marBottom w:val="0"/>
      <w:divBdr>
        <w:top w:val="none" w:sz="0" w:space="0" w:color="auto"/>
        <w:left w:val="none" w:sz="0" w:space="0" w:color="auto"/>
        <w:bottom w:val="none" w:sz="0" w:space="0" w:color="auto"/>
        <w:right w:val="none" w:sz="0" w:space="0" w:color="auto"/>
      </w:divBdr>
    </w:div>
    <w:div w:id="1137334130">
      <w:bodyDiv w:val="1"/>
      <w:marLeft w:val="0"/>
      <w:marRight w:val="0"/>
      <w:marTop w:val="0"/>
      <w:marBottom w:val="0"/>
      <w:divBdr>
        <w:top w:val="none" w:sz="0" w:space="0" w:color="auto"/>
        <w:left w:val="none" w:sz="0" w:space="0" w:color="auto"/>
        <w:bottom w:val="none" w:sz="0" w:space="0" w:color="auto"/>
        <w:right w:val="none" w:sz="0" w:space="0" w:color="auto"/>
      </w:divBdr>
    </w:div>
    <w:div w:id="190679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jpg"/><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F42BA2-CD08-4C68-A725-70B5CD0C4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51</Pages>
  <Words>17206</Words>
  <Characters>98080</Characters>
  <Application>Microsoft Office Word</Application>
  <DocSecurity>0</DocSecurity>
  <Lines>817</Lines>
  <Paragraphs>230</Paragraphs>
  <ScaleCrop>false</ScaleCrop>
  <HeadingPairs>
    <vt:vector size="2" baseType="variant">
      <vt:variant>
        <vt:lpstr>Titel</vt:lpstr>
      </vt:variant>
      <vt:variant>
        <vt:i4>1</vt:i4>
      </vt:variant>
    </vt:vector>
  </HeadingPairs>
  <TitlesOfParts>
    <vt:vector size="1" baseType="lpstr">
      <vt:lpstr>Friedrich-Alexander-Universität Erlangen-Nürnberg</vt:lpstr>
    </vt:vector>
  </TitlesOfParts>
  <Manager>michael.masuch@faps.fau.de</Manager>
  <Company>FAPS</Company>
  <LinksUpToDate>false</LinksUpToDate>
  <CharactersWithSpaces>115056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Friedrich-Alexander-Universität Erlangen-Nürnberg</dc:title>
  <dc:creator>michael.masuch@faps.fau.de</dc:creator>
  <cp:lastModifiedBy>Liu, Yutong</cp:lastModifiedBy>
  <cp:revision>34</cp:revision>
  <cp:lastPrinted>2013-10-10T08:55:00Z</cp:lastPrinted>
  <dcterms:created xsi:type="dcterms:W3CDTF">2026-08-21T04:44:00Z</dcterms:created>
  <dcterms:modified xsi:type="dcterms:W3CDTF">2026-08-27T23:14:00Z</dcterms:modified>
</cp:coreProperties>
</file>