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40"/>
        </w:rPr>
        <w:t>Risikomodell — SC Risk System</w:t>
      </w:r>
    </w:p>
    <w:p>
      <w:pPr>
        <w:jc w:val="center"/>
      </w:pPr>
      <w:r>
        <w:rPr>
          <w:color w:val="888888"/>
          <w:sz w:val="20"/>
        </w:rPr>
        <w:t>Stand: 2026-06-01</w:t>
      </w:r>
    </w:p>
    <w:p/>
    <w:p>
      <w:pPr>
        <w:spacing w:before="360" w:after="120"/>
      </w:pPr>
      <w:r>
        <w:rPr>
          <w:b/>
          <w:color w:val="1A237E"/>
          <w:sz w:val="32"/>
        </w:rPr>
        <w:t>Was berechnen wir?</w:t>
      </w:r>
    </w:p>
    <w:p>
      <w:pPr>
        <w:spacing w:after="80"/>
      </w:pPr>
      <w:r>
        <w:rPr>
          <w:sz w:val="21"/>
        </w:rPr>
        <w:t>Für jede betroffene Fabrik (Facility) berechnen wir einen RiskScore (0–100). Ein hoher Score bedeutet: Diese Fabrik ist sehr gefährdet, und es gibt kaum Alternativen.</w:t>
      </w:r>
    </w:p>
    <w:p>
      <w:pPr>
        <w:spacing w:after="80"/>
      </w:pPr>
      <w:r>
        <w:rPr>
          <w:sz w:val="21"/>
        </w:rPr>
        <w:t>Die drei Fabriken mit dem höchsten Score erscheinen im Risikobericht.</w:t>
      </w:r>
    </w:p>
    <w:p>
      <w:pPr>
        <w:spacing w:before="360" w:after="120"/>
      </w:pPr>
      <w:r>
        <w:rPr>
          <w:b/>
          <w:color w:val="1A237E"/>
          <w:sz w:val="32"/>
        </w:rPr>
        <w:t>Die Hauptformel</w:t>
      </w:r>
    </w:p>
    <w:p>
      <w:pPr>
        <w:spacing w:after="120"/>
        <w:ind w:left="567"/>
      </w:pPr>
      <w:r>
        <w:rPr>
          <w:rFonts w:ascii="Courier New" w:hAnsi="Courier New"/>
          <w:color w:val="1A237E"/>
          <w:sz w:val="19"/>
        </w:rPr>
        <w:t>RiskScore = Severity  ×  TierWeight  ×  Vulnerability  ×  (1 − ResilienceDiscount)</w:t>
      </w:r>
    </w:p>
    <w:p>
      <w:pPr>
        <w:spacing w:after="80"/>
      </w:pPr>
      <w:r>
        <w:rPr>
          <w:sz w:val="21"/>
        </w:rPr>
        <w:t>Danach wird normalisiert:</w:t>
      </w:r>
    </w:p>
    <w:p>
      <w:pPr>
        <w:spacing w:after="120"/>
        <w:ind w:left="567"/>
      </w:pPr>
      <w:r>
        <w:rPr>
          <w:rFonts w:ascii="Courier New" w:hAnsi="Courier New"/>
          <w:color w:val="1A237E"/>
          <w:sz w:val="19"/>
        </w:rPr>
        <w:t>RiskScore (0–100)  =  RiskScore_roh  /  5.0  ×  100</w:t>
      </w:r>
    </w:p>
    <w:p>
      <w:pPr>
        <w:spacing w:after="80"/>
      </w:pPr>
      <w:r>
        <w:rPr>
          <w:sz w:val="21"/>
        </w:rPr>
        <w:t>Das Maximum ist 5.0 (Severity=5, TierWeight=1.0, Vulnerability=1.0, kein Discount).</w:t>
      </w:r>
    </w:p>
    <w:p>
      <w:pPr>
        <w:spacing w:before="360" w:after="120"/>
      </w:pPr>
      <w:r>
        <w:rPr>
          <w:b/>
          <w:color w:val="1A237E"/>
          <w:sz w:val="32"/>
        </w:rPr>
        <w:t>Schritt 1 — Severity</w:t>
      </w:r>
    </w:p>
    <w:p>
      <w:pPr>
        <w:spacing w:after="80"/>
      </w:pPr>
      <w:r>
        <w:rPr>
          <w:sz w:val="21"/>
        </w:rPr>
        <w:t>Wie schlimm ist das Ereignis? Das LLM liest den Nachrichtentext (Risk Assessment Agent) und gibt eine Zahl von 1 bis 5 zurück.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Wert</w:t>
            </w:r>
          </w:p>
        </w:tc>
        <w:tc>
          <w:tcPr>
            <w:tcW w:type="dxa" w:w="2268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Bedeutung</w:t>
            </w:r>
          </w:p>
        </w:tc>
        <w:tc>
          <w:tcPr>
            <w:tcW w:type="dxa" w:w="5102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Beispiel</w:t>
            </w:r>
          </w:p>
        </w:tc>
      </w:tr>
      <w:tr>
        <w:tc>
          <w:tcPr>
            <w:tcW w:type="dxa" w:w="1134"/>
            <w:shd w:val="clear" w:color="auto" w:fill="DCEDC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68"/>
            <w:shd w:val="clear" w:color="auto" w:fill="DCEDC8"/>
          </w:tcPr>
          <w:p>
            <w:r>
              <w:rPr>
                <w:sz w:val="20"/>
              </w:rPr>
              <w:t>Sehr gering</w:t>
            </w:r>
          </w:p>
        </w:tc>
        <w:tc>
          <w:tcPr>
            <w:tcW w:type="dxa" w:w="5102"/>
            <w:shd w:val="clear" w:color="auto" w:fill="DCEDC8"/>
          </w:tcPr>
          <w:p>
            <w:r>
              <w:rPr>
                <w:sz w:val="20"/>
              </w:rPr>
              <w:t>Kleiner lokaler Streik, nur 1 Tag</w:t>
            </w:r>
          </w:p>
        </w:tc>
      </w:tr>
      <w:tr>
        <w:tc>
          <w:tcPr>
            <w:tcW w:type="dxa" w:w="1134"/>
            <w:shd w:val="clear" w:color="auto" w:fill="F9FBE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68"/>
            <w:shd w:val="clear" w:color="auto" w:fill="F9FBE7"/>
          </w:tcPr>
          <w:p>
            <w:r>
              <w:rPr>
                <w:sz w:val="20"/>
              </w:rPr>
              <w:t>Gering</w:t>
            </w:r>
          </w:p>
        </w:tc>
        <w:tc>
          <w:tcPr>
            <w:tcW w:type="dxa" w:w="5102"/>
            <w:shd w:val="clear" w:color="auto" w:fill="F9FBE7"/>
          </w:tcPr>
          <w:p>
            <w:r>
              <w:rPr>
                <w:sz w:val="20"/>
              </w:rPr>
              <w:t>Kurze Lieferverzögerung</w:t>
            </w:r>
          </w:p>
        </w:tc>
      </w:tr>
      <w:tr>
        <w:tc>
          <w:tcPr>
            <w:tcW w:type="dxa" w:w="1134"/>
            <w:shd w:val="clear" w:color="auto" w:fill="FFF9C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sz w:val="20"/>
              </w:rPr>
              <w:t>Mittel</w:t>
            </w:r>
          </w:p>
        </w:tc>
        <w:tc>
          <w:tcPr>
            <w:tcW w:type="dxa" w:w="5102"/>
            <w:shd w:val="clear" w:color="auto" w:fill="FFF9C4"/>
          </w:tcPr>
          <w:p>
            <w:r>
              <w:rPr>
                <w:sz w:val="20"/>
              </w:rPr>
              <w:t>Monatelanger Streik</w:t>
            </w:r>
          </w:p>
        </w:tc>
      </w:tr>
      <w:tr>
        <w:tc>
          <w:tcPr>
            <w:tcW w:type="dxa" w:w="1134"/>
            <w:shd w:val="clear" w:color="auto" w:fill="FFE0B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268"/>
            <w:shd w:val="clear" w:color="auto" w:fill="FFE0B2"/>
          </w:tcPr>
          <w:p>
            <w:r>
              <w:rPr>
                <w:sz w:val="20"/>
              </w:rPr>
              <w:t>Hoch</w:t>
            </w:r>
          </w:p>
        </w:tc>
        <w:tc>
          <w:tcPr>
            <w:tcW w:type="dxa" w:w="5102"/>
            <w:shd w:val="clear" w:color="auto" w:fill="FFE0B2"/>
          </w:tcPr>
          <w:p>
            <w:r>
              <w:rPr>
                <w:sz w:val="20"/>
              </w:rPr>
              <w:t>Exportverbot für kritisches Material</w:t>
            </w:r>
          </w:p>
        </w:tc>
      </w:tr>
      <w:tr>
        <w:tc>
          <w:tcPr>
            <w:tcW w:type="dxa" w:w="1134"/>
            <w:shd w:val="clear" w:color="auto" w:fill="FFCDD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268"/>
            <w:shd w:val="clear" w:color="auto" w:fill="FFCDD2"/>
          </w:tcPr>
          <w:p>
            <w:r>
              <w:rPr>
                <w:sz w:val="20"/>
              </w:rPr>
              <w:t>Kritisch</w:t>
            </w:r>
          </w:p>
        </w:tc>
        <w:tc>
          <w:tcPr>
            <w:tcW w:type="dxa" w:w="5102"/>
            <w:shd w:val="clear" w:color="auto" w:fill="FFCDD2"/>
          </w:tcPr>
          <w:p>
            <w:r>
              <w:rPr>
                <w:sz w:val="20"/>
              </w:rPr>
              <w:t>Kompletter Lieferstopp, keine Alternative</w:t>
            </w:r>
          </w:p>
        </w:tc>
      </w:tr>
    </w:tbl>
    <w:p/>
    <w:p>
      <w:pPr>
        <w:spacing w:before="360" w:after="120"/>
      </w:pPr>
      <w:r>
        <w:rPr>
          <w:b/>
          <w:color w:val="1A237E"/>
          <w:sz w:val="32"/>
        </w:rPr>
        <w:t>Schritt 2 — TierWeight</w:t>
      </w:r>
    </w:p>
    <w:p>
      <w:pPr>
        <w:spacing w:after="80"/>
      </w:pPr>
      <w:r>
        <w:rPr>
          <w:sz w:val="21"/>
        </w:rPr>
        <w:t>TierWeight hängt davon ab, wie weit eine Fabrik vom Ereignisursprung (origin_tier) entfernt ist. Das LLM bestimmt origin_tier aus dem Nachrichtentext (z.B. 'Kobaltmine' → Upstream, 'Zellfabrik-Brand' → Midstream-Cell).</w:t>
      </w:r>
    </w:p>
    <w:p>
      <w:pPr>
        <w:spacing w:after="120"/>
        <w:ind w:left="567"/>
      </w:pPr>
      <w:r>
        <w:rPr>
          <w:rFonts w:ascii="Courier New" w:hAnsi="Courier New"/>
          <w:color w:val="1A237E"/>
          <w:sz w:val="19"/>
        </w:rPr>
        <w:t>TierWeight  =  DISTANCE_WEIGHT[ |TIER_ORDER[facility] − TIER_ORDER[origin_tier]| ]</w:t>
      </w:r>
    </w:p>
    <w:p>
      <w:pPr>
        <w:spacing w:before="240" w:after="80"/>
      </w:pPr>
      <w:r>
        <w:rPr>
          <w:b/>
          <w:color w:val="37474F"/>
          <w:sz w:val="22"/>
        </w:rPr>
        <w:t>Stufen-Reihenfolge (TIER_ORDER):</w:t>
      </w:r>
    </w:p>
    <w:p>
      <w:pPr>
        <w:spacing w:after="120"/>
        <w:ind w:left="567"/>
      </w:pPr>
      <w:r>
        <w:rPr>
          <w:rFonts w:ascii="Courier New" w:hAnsi="Courier New"/>
          <w:color w:val="1A237E"/>
          <w:sz w:val="19"/>
        </w:rPr>
        <w:t>Upstream = 0  →  Midstream-BGM = 1  →  Midstream-Cell = 2  →  Downstream = 3</w:t>
      </w:r>
    </w:p>
    <w:p>
      <w:pPr>
        <w:spacing w:before="240" w:after="80"/>
      </w:pPr>
      <w:r>
        <w:rPr>
          <w:b/>
          <w:color w:val="37474F"/>
          <w:sz w:val="22"/>
        </w:rPr>
        <w:t>Distanz-Gewichte: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Distanz</w:t>
            </w:r>
          </w:p>
        </w:tc>
        <w:tc>
          <w:tcPr>
            <w:tcW w:type="dxa" w:w="1701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TierWeight</w:t>
            </w:r>
          </w:p>
        </w:tc>
        <w:tc>
          <w:tcPr>
            <w:tcW w:type="dxa" w:w="6236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Bedeutung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Gleiche Stufe wie Ereignis → direkt betroffen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0.6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Eine Stufe entfernt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0.35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Zwei Stufen entfernt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Drei Stufen entfernt</w:t>
            </w:r>
          </w:p>
        </w:tc>
      </w:tr>
    </w:tbl>
    <w:p/>
    <w:p>
      <w:pPr>
        <w:spacing w:before="240" w:after="80"/>
      </w:pPr>
      <w:r>
        <w:rPr>
          <w:b/>
          <w:color w:val="37474F"/>
          <w:sz w:val="22"/>
        </w:rPr>
        <w:t>Beispiel S1 — Kobaltstreik (origin_tier = Upstream):</w:t>
      </w:r>
    </w:p>
    <w:p>
      <w:pPr>
        <w:spacing w:after="120"/>
        <w:ind w:left="567"/>
      </w:pPr>
      <w:r>
        <w:rPr>
          <w:rFonts w:ascii="Courier New" w:hAnsi="Courier New"/>
          <w:color w:val="1A237E"/>
          <w:sz w:val="19"/>
        </w:rPr>
        <w:t>Upstream       → Distanz 0 → TierWeight 1.0</w:t>
        <w:br/>
        <w:t>Midstream-BGM  → Distanz 1 → TierWeight 0.6</w:t>
        <w:br/>
        <w:t>Midstream-Cell → Distanz 2 → TierWeight 0.35</w:t>
        <w:br/>
        <w:t>Downstream     → Distanz 3 → TierWeight 0.15</w:t>
      </w:r>
    </w:p>
    <w:p>
      <w:pPr>
        <w:spacing w:before="240" w:after="80"/>
      </w:pPr>
      <w:r>
        <w:rPr>
          <w:b/>
          <w:color w:val="37474F"/>
          <w:sz w:val="22"/>
        </w:rPr>
        <w:t>Beispiel — Werksunfall Midstream-Cell (origin_tier = Midstream-Cell):</w:t>
      </w:r>
    </w:p>
    <w:p>
      <w:pPr>
        <w:spacing w:after="120"/>
        <w:ind w:left="567"/>
      </w:pPr>
      <w:r>
        <w:rPr>
          <w:rFonts w:ascii="Courier New" w:hAnsi="Courier New"/>
          <w:color w:val="1A237E"/>
          <w:sz w:val="19"/>
        </w:rPr>
        <w:t>Upstream       → Distanz 2 → TierWeight 0.35</w:t>
        <w:br/>
        <w:t>Midstream-BGM  → Distanz 1 → TierWeight 0.6</w:t>
        <w:br/>
        <w:t>Midstream-Cell → Distanz 0 → TierWeight 1.0   ← Unfallort</w:t>
        <w:br/>
        <w:t>Downstream     → Distanz 1 → TierWeight 0.6</w:t>
      </w:r>
    </w:p>
    <w:p>
      <w:pPr>
        <w:spacing w:after="80"/>
      </w:pPr>
      <w:r>
        <w:rPr>
          <w:sz w:val="21"/>
        </w:rPr>
        <w:t>Quelle: origin_tier vom Risk Assessment Agent (LLM); segment-Feld aus NAATBatt.</w:t>
      </w:r>
    </w:p>
    <w:p>
      <w:pPr>
        <w:spacing w:before="360" w:after="120"/>
      </w:pPr>
      <w:r>
        <w:rPr>
          <w:b/>
          <w:color w:val="1A237E"/>
          <w:sz w:val="32"/>
        </w:rPr>
        <w:t>Schritt 3 — Vulnerability</w:t>
      </w:r>
    </w:p>
    <w:p>
      <w:pPr>
        <w:spacing w:after="120"/>
        <w:ind w:left="567"/>
      </w:pPr>
      <w:r>
        <w:rPr>
          <w:rFonts w:ascii="Courier New" w:hAnsi="Courier New"/>
          <w:color w:val="1A237E"/>
          <w:sz w:val="19"/>
        </w:rPr>
        <w:t>Vulnerability  =  0.30 × ImportDep</w:t>
        <w:br/>
        <w:t xml:space="preserve">               +  0.30 × SingleSource</w:t>
        <w:br/>
        <w:t xml:space="preserve">               +  0.25 × CapacityShare</w:t>
        <w:br/>
        <w:t xml:space="preserve">               +  0.15 × LeadTime</w:t>
      </w:r>
    </w:p>
    <w:p>
      <w:pPr>
        <w:spacing w:after="80"/>
      </w:pPr>
      <w:r>
        <w:rPr>
          <w:sz w:val="21"/>
        </w:rPr>
        <w:t>Ergebnis liegt immer zwischen 0 und 1.</w:t>
      </w:r>
    </w:p>
    <w:p>
      <w:pPr>
        <w:spacing w:before="240" w:after="80"/>
      </w:pPr>
      <w:r>
        <w:rPr>
          <w:b/>
          <w:color w:val="283593"/>
          <w:sz w:val="26"/>
        </w:rPr>
        <w:t>Die vier Felder im Detail</w:t>
      </w:r>
    </w:p>
    <w:p>
      <w:pPr>
        <w:spacing w:after="80"/>
      </w:pPr>
      <w:r>
        <w:rPr>
          <w:b/>
          <w:sz w:val="21"/>
        </w:rPr>
        <w:t>ImportDep</w:t>
      </w:r>
      <w:r>
        <w:rPr>
          <w:b w:val="0"/>
          <w:sz w:val="21"/>
        </w:rPr>
        <w:t xml:space="preserve">  (0 oder 1) — Ist das Material importabhängig?</w:t>
      </w:r>
    </w:p>
    <w:p>
      <w:pPr>
        <w:spacing w:after="80"/>
      </w:pPr>
      <w:r>
        <w:rPr>
          <w:sz w:val="21"/>
        </w:rPr>
        <w:t xml:space="preserve">  1 = Das Material kommt hauptsächlich aus dem Ausland → kein lokaler Ersatz möglich</w:t>
      </w:r>
    </w:p>
    <w:p>
      <w:pPr>
        <w:spacing w:after="80"/>
      </w:pPr>
      <w:r>
        <w:rPr>
          <w:sz w:val="21"/>
        </w:rPr>
        <w:t xml:space="preserve">  0 = Es gibt lokale Alternativen</w:t>
      </w:r>
    </w:p>
    <w:p>
      <w:pPr>
        <w:spacing w:after="80"/>
      </w:pPr>
      <w:r>
        <w:rPr>
          <w:sz w:val="21"/>
        </w:rPr>
        <w:t xml:space="preserve">  [simuliert — nach Materialtyp gesetzt]</w:t>
      </w:r>
    </w:p>
    <w:p>
      <w:pPr>
        <w:spacing w:after="80"/>
      </w:pPr>
      <w:r>
        <w:rPr>
          <w:b/>
          <w:sz w:val="21"/>
        </w:rPr>
        <w:t>SingleSource</w:t>
      </w:r>
      <w:r>
        <w:rPr>
          <w:b w:val="0"/>
          <w:sz w:val="21"/>
        </w:rPr>
        <w:t xml:space="preserve">  (0 oder 1) — Gibt es nur wenige Anbieter weltweit?</w:t>
      </w:r>
    </w:p>
    <w:p>
      <w:pPr>
        <w:spacing w:after="80"/>
      </w:pPr>
      <w:r>
        <w:rPr>
          <w:sz w:val="21"/>
        </w:rPr>
        <w:t xml:space="preserve">  1 = ≤ 2 kommerzielle Anbieter in Nordamerika → kein Marktausgleich möglich</w:t>
      </w:r>
    </w:p>
    <w:p>
      <w:pPr>
        <w:spacing w:after="80"/>
      </w:pPr>
      <w:r>
        <w:rPr>
          <w:sz w:val="21"/>
        </w:rPr>
        <w:t xml:space="preserve">  [simuliert — vorberechnet nach Materialtyp]</w:t>
      </w:r>
    </w:p>
    <w:p>
      <w:pPr>
        <w:spacing w:after="80"/>
      </w:pPr>
      <w:r>
        <w:rPr>
          <w:b/>
          <w:sz w:val="21"/>
        </w:rPr>
        <w:t>CapacityShare</w:t>
      </w:r>
      <w:r>
        <w:rPr>
          <w:b w:val="0"/>
          <w:sz w:val="21"/>
        </w:rPr>
        <w:t xml:space="preserve">  (0.0 – 1.0) — Marktanteil dieser Fabrik</w:t>
      </w:r>
    </w:p>
    <w:p>
      <w:pPr>
        <w:spacing w:after="120"/>
        <w:ind w:left="567"/>
      </w:pPr>
      <w:r>
        <w:rPr>
          <w:rFonts w:ascii="Courier New" w:hAnsi="Courier New"/>
          <w:color w:val="1A237E"/>
          <w:sz w:val="19"/>
        </w:rPr>
        <w:t>CapacityShare = Kapazität dieser Fabrik / Gesamtkapazität aller Fabriken (gleiches Material)</w:t>
      </w:r>
    </w:p>
    <w:p>
      <w:pPr>
        <w:spacing w:after="80"/>
      </w:pPr>
      <w:r>
        <w:rPr>
          <w:sz w:val="21"/>
        </w:rPr>
        <w:t xml:space="preserve">  Beispiel: 12.000 MT / 85.000 MT = 0.14</w:t>
      </w:r>
    </w:p>
    <w:p>
      <w:pPr>
        <w:spacing w:after="80"/>
      </w:pPr>
      <w:r>
        <w:rPr>
          <w:b/>
          <w:sz w:val="21"/>
        </w:rPr>
        <w:t>LeadTime</w:t>
      </w:r>
      <w:r>
        <w:rPr>
          <w:b w:val="0"/>
          <w:sz w:val="21"/>
        </w:rPr>
        <w:t xml:space="preserve">  (0.0 – 1.0) — Wie lange dauert Wiederbeschaffung?</w:t>
      </w:r>
    </w:p>
    <w:p>
      <w:pPr>
        <w:spacing w:after="120"/>
        <w:ind w:left="567"/>
      </w:pPr>
      <w:r>
        <w:rPr>
          <w:rFonts w:ascii="Courier New" w:hAnsi="Courier New"/>
          <w:color w:val="1A237E"/>
          <w:sz w:val="19"/>
        </w:rPr>
        <w:t>LeadTime_norm = lead_time_weeks / 12   (gecappt auf 1.0)</w:t>
      </w:r>
    </w:p>
    <w:p>
      <w:pPr>
        <w:spacing w:after="80"/>
      </w:pPr>
      <w:r>
        <w:rPr>
          <w:sz w:val="21"/>
        </w:rPr>
        <w:t xml:space="preserve">  [simuliert]: Upstream=12W, Midstream-BGM=8W, Midstream-Cell=6W, Downstream=4W</w:t>
      </w:r>
    </w:p>
    <w:p>
      <w:pPr>
        <w:spacing w:before="240" w:after="80"/>
      </w:pPr>
      <w:r>
        <w:rPr>
          <w:b/>
          <w:color w:val="283593"/>
          <w:sz w:val="26"/>
        </w:rPr>
        <w:t>Warum diese Gewichte?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Feld</w:t>
            </w:r>
          </w:p>
        </w:tc>
        <w:tc>
          <w:tcPr>
            <w:tcW w:type="dxa" w:w="1701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Gewicht</w:t>
            </w:r>
          </w:p>
        </w:tc>
        <w:tc>
          <w:tcPr>
            <w:tcW w:type="dxa" w:w="5669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Begründung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ImportDep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30 %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Kein lokaler Ersatz = sofortiger Engpass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SingleSource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30 %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Wenige Anbieter = kein Marktausgleich möglich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CapacityShare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25 %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Großer Marktanteil = großer systemischer Schaden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LeadTime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15 %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Lange Wartezeit verschlimmert kurzfristigen Engpass</w:t>
            </w:r>
          </w:p>
        </w:tc>
      </w:tr>
    </w:tbl>
    <w:p/>
    <w:p>
      <w:pPr>
        <w:spacing w:before="360" w:after="120"/>
      </w:pPr>
      <w:r>
        <w:rPr>
          <w:b/>
          <w:color w:val="1A237E"/>
          <w:sz w:val="32"/>
        </w:rPr>
        <w:t>Schritt 4 — ResilienceDiscount</w:t>
      </w:r>
    </w:p>
    <w:p>
      <w:pPr>
        <w:spacing w:after="80"/>
      </w:pPr>
      <w:r>
        <w:rPr>
          <w:sz w:val="21"/>
        </w:rPr>
        <w:t>Wenn es viele Ersatzlieferanten gibt, wird der RiskScore reduziert. Der Discount ist auf 0.5 begrenzt — auch mit Alternativen bleiben Umstellungszeit, Verträge und Qualitätsprüfung als Restrisiko.</w:t>
      </w:r>
    </w:p>
    <w:p>
      <w:pPr>
        <w:spacing w:after="120"/>
        <w:ind w:left="567"/>
      </w:pPr>
      <w:r>
        <w:rPr>
          <w:rFonts w:ascii="Courier New" w:hAnsi="Courier New"/>
          <w:color w:val="1A237E"/>
          <w:sz w:val="19"/>
        </w:rPr>
        <w:t>AltCapacityRatio   =  Σ Kapazität Ersatzfabriken  /  Σ Kapazität betroffener Fabriken</w:t>
        <w:br/>
        <w:br/>
        <w:t>ResilienceDiscount =  min(AltCapacityRatio / 2,  0.5)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AltCapacityRatio</w:t>
            </w:r>
          </w:p>
        </w:tc>
        <w:tc>
          <w:tcPr>
            <w:tcW w:type="dxa" w:w="1984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Discount</w:t>
            </w:r>
          </w:p>
        </w:tc>
        <w:tc>
          <w:tcPr>
            <w:tcW w:type="dxa" w:w="5102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Bedeutung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0 %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Keine Alternativen — kein Abzug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25 %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Ersatz deckt die Hälfte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≥ 1.0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50 % (Max)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Ausreichend Ersatz vorhanden</w:t>
            </w:r>
          </w:p>
        </w:tc>
      </w:tr>
    </w:tbl>
    <w:p/>
    <w:p>
      <w:pPr>
        <w:spacing w:before="360" w:after="120"/>
      </w:pPr>
      <w:r>
        <w:rPr>
          <w:b/>
          <w:color w:val="1A237E"/>
          <w:sz w:val="32"/>
        </w:rPr>
        <w:t>Beispielrechnung — S1: Kobaltstreik DRC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417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Wert</w:t>
            </w:r>
          </w:p>
        </w:tc>
        <w:tc>
          <w:tcPr>
            <w:tcW w:type="dxa" w:w="5953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Herkunft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LLM: monatelanger Streik, keine Ersatzlieferung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TierWeight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Upstream-Mine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ImportDep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Kobalt kommt aus dem Ausland [simuliert]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SingleSource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≤ 2 Anbieter in Nordamerika [simuliert]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CapacityShare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0.14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12.000 / 85.000 MT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LeadTime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30 Wochen → gecappt auf 1.0 [simuliert]</w:t>
            </w:r>
          </w:p>
        </w:tc>
      </w:tr>
    </w:tbl>
    <w:p/>
    <w:p>
      <w:pPr>
        <w:spacing w:after="120"/>
        <w:ind w:left="567"/>
      </w:pPr>
      <w:r>
        <w:rPr>
          <w:rFonts w:ascii="Courier New" w:hAnsi="Courier New"/>
          <w:color w:val="1A237E"/>
          <w:sz w:val="19"/>
        </w:rPr>
        <w:t>Vulnerability  = 0.30×1 + 0.30×1 + 0.25×0.14 + 0.15×1.0</w:t>
        <w:br/>
        <w:t xml:space="preserve">               = 0.30 + 0.30 + 0.035 + 0.15  =  0.785</w:t>
        <w:br/>
        <w:br/>
        <w:t>AltCapacityRatio    = 38.000 / 24.000  =  1.58</w:t>
        <w:br/>
        <w:t>ResilienceDiscount  = min(1.58 / 2, 0.5)  =  0.5</w:t>
        <w:br/>
        <w:br/>
        <w:t>RiskScore_roh       = 4 × 1.0 × 0.785 × (1 − 0.5)  =  1.57</w:t>
        <w:br/>
        <w:t>RiskScore (0–100)   = 1.57 / 5.0 × 100  =  31.4</w:t>
      </w:r>
    </w:p>
    <w:p>
      <w:pPr>
        <w:spacing w:before="360" w:after="120"/>
      </w:pPr>
      <w:r>
        <w:rPr>
          <w:b/>
          <w:color w:val="1A237E"/>
          <w:sz w:val="32"/>
        </w:rPr>
        <w:t>Globale Kennzahlen (separat vom RiskScore)</w:t>
      </w:r>
    </w:p>
    <w:p>
      <w:pPr>
        <w:spacing w:after="80"/>
      </w:pPr>
      <w:r>
        <w:rPr>
          <w:sz w:val="21"/>
        </w:rPr>
        <w:t>Diese Zahlen stehen im Berichts-Header. Sie zeigen das Gesamtbild des Ereignisses und werden nicht für das Ranking der einzelnen Fabriken verwendet.</w:t>
      </w:r>
    </w:p>
    <w:p>
      <w:pPr>
        <w:spacing w:after="120"/>
        <w:ind w:left="567"/>
      </w:pPr>
      <w:r>
        <w:rPr>
          <w:rFonts w:ascii="Courier New" w:hAnsi="Courier New"/>
          <w:color w:val="1A237E"/>
          <w:sz w:val="19"/>
        </w:rPr>
        <w:t>BetroffeneKapazität%   =  Σ Kapazität betroffener Fabriken / Σ Gesamtkapazität × 100</w:t>
        <w:br/>
        <w:t>AlternativeKapazität%  =  Σ Kapazität der Ersatzfabriken   / Σ Gesamtkapazität × 100</w:t>
      </w:r>
    </w:p>
    <w:p>
      <w:pPr>
        <w:spacing w:after="80"/>
      </w:pPr>
      <w:r>
        <w:rPr>
          <w:sz w:val="21"/>
        </w:rPr>
        <w:t>Beispiel S1:  BetroffeneKapazität% = 28 %   |   AlternativeKapazität% = 45 %</w:t>
      </w:r>
    </w:p>
    <w:p>
      <w:pPr>
        <w:spacing w:before="360" w:after="120"/>
      </w:pPr>
      <w:r>
        <w:rPr>
          <w:b/>
          <w:color w:val="1A237E"/>
          <w:sz w:val="32"/>
        </w:rPr>
        <w:t>Risiko-Klassifikation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RiskScore</w:t>
            </w:r>
          </w:p>
        </w:tc>
        <w:tc>
          <w:tcPr>
            <w:tcW w:type="dxa" w:w="1984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Kategorie</w:t>
            </w:r>
          </w:p>
        </w:tc>
        <w:tc>
          <w:tcPr>
            <w:tcW w:type="dxa" w:w="5953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Empfehlung</w:t>
            </w:r>
          </w:p>
        </w:tc>
      </w:tr>
      <w:tr>
        <w:tc>
          <w:tcPr>
            <w:tcW w:type="dxa" w:w="1701"/>
            <w:shd w:val="clear" w:color="auto" w:fill="DCEDC8"/>
          </w:tcPr>
          <w:p>
            <w:r>
              <w:rPr>
                <w:sz w:val="20"/>
              </w:rPr>
              <w:t>0 – 25</w:t>
            </w:r>
          </w:p>
        </w:tc>
        <w:tc>
          <w:tcPr>
            <w:tcW w:type="dxa" w:w="1984"/>
            <w:shd w:val="clear" w:color="auto" w:fill="DCEDC8"/>
          </w:tcPr>
          <w:p>
            <w:r>
              <w:rPr>
                <w:sz w:val="20"/>
              </w:rPr>
              <w:t>Niedrig</w:t>
            </w:r>
          </w:p>
        </w:tc>
        <w:tc>
          <w:tcPr>
            <w:tcW w:type="dxa" w:w="5953"/>
            <w:shd w:val="clear" w:color="auto" w:fill="DCEDC8"/>
          </w:tcPr>
          <w:p>
            <w:r>
              <w:rPr>
                <w:sz w:val="20"/>
              </w:rPr>
              <w:t>Beobachten</w:t>
            </w:r>
          </w:p>
        </w:tc>
      </w:tr>
      <w:tr>
        <w:tc>
          <w:tcPr>
            <w:tcW w:type="dxa" w:w="1701"/>
            <w:shd w:val="clear" w:color="auto" w:fill="FFF9C4"/>
          </w:tcPr>
          <w:p>
            <w:r>
              <w:rPr>
                <w:sz w:val="20"/>
              </w:rPr>
              <w:t>25 – 50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sz w:val="20"/>
              </w:rPr>
              <w:t>Mittel</w:t>
            </w:r>
          </w:p>
        </w:tc>
        <w:tc>
          <w:tcPr>
            <w:tcW w:type="dxa" w:w="5953"/>
            <w:shd w:val="clear" w:color="auto" w:fill="FFF9C4"/>
          </w:tcPr>
          <w:p>
            <w:r>
              <w:rPr>
                <w:sz w:val="20"/>
              </w:rPr>
              <w:t>Proaktiv bewerten</w:t>
            </w:r>
          </w:p>
        </w:tc>
      </w:tr>
      <w:tr>
        <w:tc>
          <w:tcPr>
            <w:tcW w:type="dxa" w:w="1701"/>
            <w:shd w:val="clear" w:color="auto" w:fill="FFE0B2"/>
          </w:tcPr>
          <w:p>
            <w:r>
              <w:rPr>
                <w:sz w:val="20"/>
              </w:rPr>
              <w:t>50 – 75</w:t>
            </w:r>
          </w:p>
        </w:tc>
        <w:tc>
          <w:tcPr>
            <w:tcW w:type="dxa" w:w="1984"/>
            <w:shd w:val="clear" w:color="auto" w:fill="FFE0B2"/>
          </w:tcPr>
          <w:p>
            <w:r>
              <w:rPr>
                <w:sz w:val="20"/>
              </w:rPr>
              <w:t>Hoch</w:t>
            </w:r>
          </w:p>
        </w:tc>
        <w:tc>
          <w:tcPr>
            <w:tcW w:type="dxa" w:w="5953"/>
            <w:shd w:val="clear" w:color="auto" w:fill="FFE0B2"/>
          </w:tcPr>
          <w:p>
            <w:r>
              <w:rPr>
                <w:sz w:val="20"/>
              </w:rPr>
              <w:t>Maßnahmen entwickeln</w:t>
            </w:r>
          </w:p>
        </w:tc>
      </w:tr>
      <w:tr>
        <w:tc>
          <w:tcPr>
            <w:tcW w:type="dxa" w:w="1701"/>
            <w:shd w:val="clear" w:color="auto" w:fill="FFCDD2"/>
          </w:tcPr>
          <w:p>
            <w:r>
              <w:rPr>
                <w:sz w:val="20"/>
              </w:rPr>
              <w:t>75 – 100</w:t>
            </w:r>
          </w:p>
        </w:tc>
        <w:tc>
          <w:tcPr>
            <w:tcW w:type="dxa" w:w="1984"/>
            <w:shd w:val="clear" w:color="auto" w:fill="FFCDD2"/>
          </w:tcPr>
          <w:p>
            <w:r>
              <w:rPr>
                <w:sz w:val="20"/>
              </w:rPr>
              <w:t>Kritisch</w:t>
            </w:r>
          </w:p>
        </w:tc>
        <w:tc>
          <w:tcPr>
            <w:tcW w:type="dxa" w:w="5953"/>
            <w:shd w:val="clear" w:color="auto" w:fill="FFCDD2"/>
          </w:tcPr>
          <w:p>
            <w:r>
              <w:rPr>
                <w:sz w:val="20"/>
              </w:rPr>
              <w:t>Sofort handeln</w:t>
            </w:r>
          </w:p>
        </w:tc>
      </w:tr>
    </w:tbl>
    <w:p/>
    <w:p>
      <w:pPr>
        <w:spacing w:before="360" w:after="120"/>
      </w:pPr>
      <w:r>
        <w:rPr>
          <w:b/>
          <w:color w:val="1A237E"/>
          <w:sz w:val="32"/>
        </w:rPr>
        <w:t>Überblick: Wer berechnet was?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4535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2551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Intake Agent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material, region, filtered_text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LLM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Risk Assessment Agent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Severity (1–5), risk_type, reason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LLM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Network Agent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TierWeight, affected_nodes, alt_nodes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Deterministisch (NetworkX)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Data Retrieval Agent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Vulnerability-Felder, AltCapacityRatio, Kapazität%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Deterministisch (CSV + Arithmetik)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Synthesis Agent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RiskScore (0–100), Top-3-Ranking, Risikobericht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LLM + Deterministisch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Validation Agent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valid, failure_type (minor/severe), issues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LLM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