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Calibri" w:hAnsi="Calibri"/>
          <w:b/>
          <w:i w:val="0"/>
          <w:color w:val="27866C"/>
          <w:sz w:val="20"/>
        </w:rPr>
        <w:t>BÁO CÁO NHÀ ĐẦU TƯ</w:t>
      </w:r>
    </w:p>
    <w:p>
      <w:pPr>
        <w:spacing w:before="360" w:after="160"/>
        <w:jc w:val="center"/>
      </w:pPr>
      <w:r>
        <w:rPr>
          <w:rFonts w:ascii="Calibri" w:hAnsi="Calibri"/>
          <w:b/>
          <w:i w:val="0"/>
          <w:color w:val="153B32"/>
          <w:sz w:val="68"/>
        </w:rPr>
        <w:t>YUTA</w:t>
      </w:r>
    </w:p>
    <w:p>
      <w:pPr>
        <w:spacing w:after="360"/>
        <w:jc w:val="center"/>
      </w:pPr>
      <w:r>
        <w:rPr>
          <w:rFonts w:ascii="Calibri" w:hAnsi="Calibri"/>
          <w:b/>
          <w:i w:val="0"/>
          <w:color w:val="17201D"/>
          <w:sz w:val="36"/>
        </w:rPr>
        <w:t>Dự toán chi phí vận hành sản phẩm</w:t>
        <w:br/>
        <w:t>ở quy mô 40, 80 và 100 nhà hàng</w:t>
      </w:r>
    </w:p>
    <w:p>
      <w:pPr>
        <w:spacing w:after="560"/>
        <w:jc w:val="center"/>
      </w:pPr>
      <w:r>
        <w:rPr>
          <w:rFonts w:ascii="Calibri" w:hAnsi="Calibri"/>
          <w:b w:val="0"/>
          <w:i/>
          <w:color w:val="58645F"/>
          <w:sz w:val="24"/>
        </w:rPr>
        <w:t>Bản đánh giá sơ bộ cho giai đoạn hiện tại</w:t>
      </w:r>
    </w:p>
    <w:tbl>
      <w:tblPr>
        <w:tblW w:type="dxa" w:w="9360"/>
        <w:jc w:val="left"/>
        <w:tblLayout w:type="fixed"/>
        <w:tblLook w:firstColumn="1" w:firstRow="1" w:lastColumn="0" w:lastRow="0" w:noHBand="0" w:noVBand="1" w:val="04A0"/>
        <w:tblInd w:w="120" w:type="dxa"/>
        <w:tblBorders>
          <w:top w:val="single" w:sz="0" w:color="EAF5F1"/>
          <w:left w:val="single" w:sz="0" w:color="EAF5F1"/>
          <w:bottom w:val="single" w:sz="0" w:color="EAF5F1"/>
          <w:right w:val="single" w:sz="0" w:color="EAF5F1"/>
          <w:insideH w:val="single" w:sz="0" w:color="EAF5F1"/>
          <w:insideV w:val="single" w:sz="0" w:color="EAF5F1"/>
        </w:tblBorders>
      </w:tblPr>
      <w:tblGrid>
        <w:gridCol w:w="3120"/>
        <w:gridCol w:w="3120"/>
        <w:gridCol w:w="3120"/>
      </w:tblGrid>
      <w:tr>
        <w:tc>
          <w:tcPr>
            <w:tcW w:type="dxa" w:w="3120"/>
            <w:vAlign w:val="center"/>
            <w:tcMar>
              <w:top w:w="100" w:type="dxa"/>
              <w:start w:w="120" w:type="dxa"/>
              <w:bottom w:w="100" w:type="dxa"/>
              <w:end w:w="120" w:type="dxa"/>
            </w:tcMar>
            <w:shd w:fill="EAF5F1"/>
          </w:tcPr>
          <w:p>
            <w:pPr>
              <w:spacing w:after="60"/>
              <w:jc w:val="center"/>
            </w:pPr>
            <w:r>
              <w:rPr>
                <w:rFonts w:ascii="Calibri" w:hAnsi="Calibri"/>
                <w:b/>
                <w:i w:val="0"/>
                <w:color w:val="27866C"/>
                <w:sz w:val="17"/>
              </w:rPr>
              <w:t>40 NHÀ HÀNG</w:t>
            </w:r>
          </w:p>
          <w:p>
            <w:pPr>
              <w:spacing w:after="20"/>
              <w:jc w:val="center"/>
            </w:pPr>
            <w:r>
              <w:rPr>
                <w:rFonts w:ascii="Calibri" w:hAnsi="Calibri"/>
                <w:b/>
                <w:i w:val="0"/>
                <w:color w:val="153B32"/>
                <w:sz w:val="34"/>
              </w:rPr>
              <w:t>€250–500</w:t>
            </w:r>
          </w:p>
          <w:p>
            <w:pPr>
              <w:spacing w:after="0"/>
              <w:jc w:val="center"/>
            </w:pPr>
            <w:r>
              <w:rPr>
                <w:rFonts w:ascii="Calibri" w:hAnsi="Calibri"/>
                <w:b w:val="0"/>
                <w:i w:val="0"/>
                <w:color w:val="58645F"/>
                <w:sz w:val="17"/>
              </w:rPr>
              <w:t>/ tháng</w:t>
            </w:r>
          </w:p>
        </w:tc>
        <w:tc>
          <w:tcPr>
            <w:tcW w:type="dxa" w:w="3120"/>
            <w:vAlign w:val="center"/>
            <w:tcMar>
              <w:top w:w="100" w:type="dxa"/>
              <w:start w:w="120" w:type="dxa"/>
              <w:bottom w:w="100" w:type="dxa"/>
              <w:end w:w="120" w:type="dxa"/>
            </w:tcMar>
            <w:shd w:fill="EAF5F1"/>
          </w:tcPr>
          <w:p>
            <w:pPr>
              <w:spacing w:after="60"/>
              <w:jc w:val="center"/>
            </w:pPr>
            <w:r>
              <w:rPr>
                <w:rFonts w:ascii="Calibri" w:hAnsi="Calibri"/>
                <w:b/>
                <w:i w:val="0"/>
                <w:color w:val="27866C"/>
                <w:sz w:val="17"/>
              </w:rPr>
              <w:t>80 NHÀ HÀNG</w:t>
            </w:r>
          </w:p>
          <w:p>
            <w:pPr>
              <w:spacing w:after="20"/>
              <w:jc w:val="center"/>
            </w:pPr>
            <w:r>
              <w:rPr>
                <w:rFonts w:ascii="Calibri" w:hAnsi="Calibri"/>
                <w:b/>
                <w:i w:val="0"/>
                <w:color w:val="153B32"/>
                <w:sz w:val="34"/>
              </w:rPr>
              <w:t>€400–800</w:t>
            </w:r>
          </w:p>
          <w:p>
            <w:pPr>
              <w:spacing w:after="0"/>
              <w:jc w:val="center"/>
            </w:pPr>
            <w:r>
              <w:rPr>
                <w:rFonts w:ascii="Calibri" w:hAnsi="Calibri"/>
                <w:b w:val="0"/>
                <w:i w:val="0"/>
                <w:color w:val="58645F"/>
                <w:sz w:val="17"/>
              </w:rPr>
              <w:t>/ tháng</w:t>
            </w:r>
          </w:p>
        </w:tc>
        <w:tc>
          <w:tcPr>
            <w:tcW w:type="dxa" w:w="3120"/>
            <w:vAlign w:val="center"/>
            <w:tcMar>
              <w:top w:w="100" w:type="dxa"/>
              <w:start w:w="120" w:type="dxa"/>
              <w:bottom w:w="100" w:type="dxa"/>
              <w:end w:w="120" w:type="dxa"/>
            </w:tcMar>
            <w:shd w:fill="EAF5F1"/>
          </w:tcPr>
          <w:p>
            <w:pPr>
              <w:spacing w:after="60"/>
              <w:jc w:val="center"/>
            </w:pPr>
            <w:r>
              <w:rPr>
                <w:rFonts w:ascii="Calibri" w:hAnsi="Calibri"/>
                <w:b/>
                <w:i w:val="0"/>
                <w:color w:val="27866C"/>
                <w:sz w:val="17"/>
              </w:rPr>
              <w:t>100 NHÀ HÀNG</w:t>
            </w:r>
          </w:p>
          <w:p>
            <w:pPr>
              <w:spacing w:after="20"/>
              <w:jc w:val="center"/>
            </w:pPr>
            <w:r>
              <w:rPr>
                <w:rFonts w:ascii="Calibri" w:hAnsi="Calibri"/>
                <w:b/>
                <w:i w:val="0"/>
                <w:color w:val="153B32"/>
                <w:sz w:val="34"/>
              </w:rPr>
              <w:t>€500–1.000</w:t>
            </w:r>
          </w:p>
          <w:p>
            <w:pPr>
              <w:spacing w:after="0"/>
              <w:jc w:val="center"/>
            </w:pPr>
            <w:r>
              <w:rPr>
                <w:rFonts w:ascii="Calibri" w:hAnsi="Calibri"/>
                <w:b w:val="0"/>
                <w:i w:val="0"/>
                <w:color w:val="58645F"/>
                <w:sz w:val="17"/>
              </w:rPr>
              <w:t>/ tháng</w:t>
            </w:r>
          </w:p>
        </w:tc>
      </w:tr>
    </w:tbl>
    <w:p>
      <w:pPr>
        <w:spacing w:before="600" w:after="60"/>
        <w:jc w:val="center"/>
      </w:pPr>
      <w:r>
        <w:rPr>
          <w:rFonts w:ascii="Calibri" w:hAnsi="Calibri"/>
          <w:b w:val="0"/>
          <w:i w:val="0"/>
          <w:color w:val="58645F"/>
          <w:sz w:val="20"/>
        </w:rPr>
        <w:t>Ngày lập: 18 tháng 8 năm 2026</w:t>
      </w:r>
    </w:p>
    <w:p>
      <w:pPr>
        <w:spacing w:after="60"/>
        <w:jc w:val="center"/>
      </w:pPr>
      <w:r>
        <w:rPr>
          <w:rFonts w:ascii="Calibri" w:hAnsi="Calibri"/>
          <w:b w:val="0"/>
          <w:i w:val="0"/>
          <w:color w:val="58645F"/>
          <w:sz w:val="20"/>
        </w:rPr>
        <w:t>Đơn vị chuẩn bị: YUTA</w:t>
      </w:r>
    </w:p>
    <w:p>
      <w:pPr>
        <w:jc w:val="center"/>
      </w:pPr>
      <w:r>
        <w:rPr>
          <w:rFonts w:ascii="Calibri" w:hAnsi="Calibri"/>
          <w:b/>
          <w:i w:val="0"/>
          <w:color w:val="A13B34"/>
          <w:sz w:val="18"/>
        </w:rPr>
        <w:t>Tài liệu làm việc bảo mật - Dự toán chưa kiểm toán</w:t>
      </w:r>
    </w:p>
    <w:p>
      <w:r>
        <w:br w:type="page"/>
      </w:r>
    </w:p>
    <w:p>
      <w:pPr>
        <w:pStyle w:val="Heading1"/>
        <w:keepNext/>
      </w:pPr>
      <w:r>
        <w:t>1. Tóm tắt điều hành</w:t>
      </w:r>
    </w:p>
    <w:tbl>
      <w:tblPr>
        <w:tblW w:type="dxa" w:w="9360"/>
        <w:jc w:val="left"/>
        <w:tblLayout w:type="fixed"/>
        <w:tblLook w:firstColumn="1" w:firstRow="1" w:lastColumn="0" w:lastRow="0" w:noHBand="0" w:noVBand="1" w:val="04A0"/>
        <w:tblInd w:w="120" w:type="dxa"/>
        <w:tblBorders>
          <w:top w:val="single" w:sz="0" w:color="EAF5F1"/>
          <w:left w:val="single" w:sz="0" w:color="EAF5F1"/>
          <w:bottom w:val="single" w:sz="0" w:color="EAF5F1"/>
          <w:right w:val="single" w:sz="0" w:color="EAF5F1"/>
          <w:insideH w:val="single" w:sz="0" w:color="EAF5F1"/>
          <w:insideV w:val="single" w:sz="0" w:color="EAF5F1"/>
        </w:tblBorders>
      </w:tblPr>
      <w:tblGrid>
        <w:gridCol w:w="9360"/>
      </w:tblGrid>
      <w:tr>
        <w:trPr>
          <w:cantSplit/>
        </w:trPr>
        <w:tc>
          <w:tcPr>
            <w:tcW w:type="dxa" w:w="9360"/>
            <w:vAlign w:val="center"/>
            <w:tcMar>
              <w:top w:w="180" w:type="dxa"/>
              <w:start w:w="220" w:type="dxa"/>
              <w:bottom w:w="180" w:type="dxa"/>
              <w:end w:w="220" w:type="dxa"/>
            </w:tcMar>
            <w:shd w:fill="EAF5F1"/>
          </w:tcPr>
          <w:p>
            <w:pPr>
              <w:spacing w:after="0"/>
            </w:pPr>
            <w:r>
              <w:rPr>
                <w:rFonts w:ascii="Calibri" w:hAnsi="Calibri"/>
                <w:b/>
                <w:i w:val="0"/>
                <w:color w:val="153B32"/>
                <w:sz w:val="22"/>
              </w:rPr>
              <w:t xml:space="preserve">KẾT LUẬN  </w:t>
            </w:r>
            <w:r>
              <w:rPr>
                <w:rFonts w:ascii="Calibri" w:hAnsi="Calibri"/>
                <w:b w:val="0"/>
                <w:i w:val="0"/>
                <w:color w:val="17201D"/>
                <w:sz w:val="22"/>
              </w:rPr>
              <w:t>Ở quy mô đến 100 nhà hàng, chi phí hạ tầng cloud không phải yếu tố hạn chế chính. Ngân sách hợp lý cho production giai đoạn đầu là khoảng €250–1.000 mỗi tháng, tương đương khoảng €5–12,5 cho mỗi nhà hàng, chưa gồm SMS, thiết bị tại chỗ, nhân sự và hỗ trợ khách hàng.</w:t>
            </w:r>
          </w:p>
        </w:tc>
      </w:tr>
    </w:tbl>
    <w:p>
      <w:pPr>
        <w:spacing w:after="0"/>
      </w:pPr>
    </w:p>
    <w:p>
      <w:pPr>
        <w:spacing w:after="120"/>
      </w:pPr>
      <w:r>
        <w:rPr>
          <w:rFonts w:ascii="Calibri" w:hAnsi="Calibri"/>
          <w:b w:val="0"/>
          <w:i w:val="0"/>
          <w:color w:val="17201D"/>
          <w:sz w:val="22"/>
        </w:rPr>
        <w:t>YUTA nên tiếp tục theo mô hình kết hợp: sử dụng dịch vụ được quản lý sẵn cho database, hosting, lưu file, email, AI và giám sát; đồng thời tự sở hữu logic nghiệp vụ, quyền truy cập, dữ liệu theo organization/establishment, quy trình xác nhận và lịch sử hành động.</w:t>
      </w:r>
    </w:p>
    <w:p>
      <w:pPr>
        <w:spacing w:after="120"/>
      </w:pPr>
      <w:r>
        <w:rPr>
          <w:rFonts w:ascii="Calibri" w:hAnsi="Calibri"/>
          <w:b w:val="0"/>
          <w:i w:val="0"/>
          <w:color w:val="17201D"/>
          <w:sz w:val="22"/>
        </w:rPr>
        <w:t>Cách tiếp cận này giữ chi phí cố định thấp, rút ngắn thời gian ra thị trường và tránh việc đội ngũ phải tự vận hành những hạ tầng không tạo lợi thế cạnh tranh. Khi số lượng nhà hàng tăng, chi phí trên mỗi nhà hàng giảm nhờ phần lớn nền tảng được dùng chung.</w:t>
      </w:r>
    </w:p>
    <w:p>
      <w:pPr>
        <w:pStyle w:val="Heading1"/>
        <w:keepNext/>
      </w:pPr>
      <w:r>
        <w:t>2. Trạng thái sản phẩm được dùng làm cơ sở</w:t>
      </w:r>
    </w:p>
    <w:p>
      <w:pPr>
        <w:spacing w:after="120"/>
      </w:pPr>
      <w:r>
        <w:rPr>
          <w:rFonts w:ascii="Calibri" w:hAnsi="Calibri"/>
          <w:b/>
          <w:i w:val="0"/>
          <w:color w:val="17201D"/>
          <w:sz w:val="22"/>
        </w:rPr>
        <w:t xml:space="preserve">Nền tảng hiện tại. </w:t>
      </w:r>
      <w:r>
        <w:rPr>
          <w:rFonts w:ascii="Calibri" w:hAnsi="Calibri"/>
          <w:b w:val="0"/>
          <w:i w:val="0"/>
          <w:color w:val="17201D"/>
          <w:sz w:val="22"/>
        </w:rPr>
      </w:r>
      <w:r>
        <w:rPr>
          <w:rFonts w:ascii="Calibri" w:hAnsi="Calibri"/>
          <w:b w:val="0"/>
          <w:i w:val="0"/>
          <w:color w:val="17201D"/>
          <w:sz w:val="22"/>
        </w:rPr>
        <w:t>YUTA là monorepo mô-đun, tách rõ các dịch vụ cloud, Backoffice, các web app công khai và các thành phần vận hành tại nhà hàng. Database cloud và dữ liệu vận hành tại chỗ có ranh giới riêng.</w:t>
      </w:r>
    </w:p>
    <w:p>
      <w:pPr>
        <w:spacing w:after="120"/>
      </w:pPr>
      <w:r>
        <w:rPr>
          <w:rFonts w:ascii="Calibri" w:hAnsi="Calibri"/>
          <w:b/>
          <w:i w:val="0"/>
          <w:color w:val="17201D"/>
          <w:sz w:val="22"/>
        </w:rPr>
        <w:t xml:space="preserve">Khả năng đã có nền tảng dữ liệu thật. </w:t>
      </w:r>
      <w:r>
        <w:rPr>
          <w:rFonts w:ascii="Calibri" w:hAnsi="Calibri"/>
          <w:b w:val="0"/>
          <w:i w:val="0"/>
          <w:color w:val="17201D"/>
          <w:sz w:val="22"/>
        </w:rPr>
      </w:r>
      <w:r>
        <w:rPr>
          <w:rFonts w:ascii="Calibri" w:hAnsi="Calibri"/>
          <w:b w:val="0"/>
          <w:i w:val="0"/>
          <w:color w:val="17201D"/>
          <w:sz w:val="22"/>
        </w:rPr>
        <w:t>Authentication, organization/establishment, quản lý membership, đặt bàn, phản hồi khách hàng và một phần Backoffice đã có đường dữ liệu thực tế.</w:t>
      </w:r>
    </w:p>
    <w:p>
      <w:pPr>
        <w:spacing w:after="120"/>
      </w:pPr>
      <w:r>
        <w:rPr>
          <w:rFonts w:ascii="Calibri" w:hAnsi="Calibri"/>
          <w:b/>
          <w:i w:val="0"/>
          <w:color w:val="17201D"/>
          <w:sz w:val="22"/>
        </w:rPr>
        <w:t xml:space="preserve">Khả năng còn bị giới hạn. </w:t>
      </w:r>
      <w:r>
        <w:rPr>
          <w:rFonts w:ascii="Calibri" w:hAnsi="Calibri"/>
          <w:b w:val="0"/>
          <w:i w:val="0"/>
          <w:color w:val="17201D"/>
          <w:sz w:val="22"/>
        </w:rPr>
      </w:r>
      <w:r>
        <w:rPr>
          <w:rFonts w:ascii="Calibri" w:hAnsi="Calibri"/>
          <w:b w:val="0"/>
          <w:i w:val="0"/>
          <w:color w:val="17201D"/>
          <w:sz w:val="22"/>
        </w:rPr>
        <w:t>Một số bề mặt vẫn là prototype hoặc chỉ được phép chạy local. Đặc biệt, tài liệu nhân viên, sổ nhân sự và phân tích hợp đồng bằng AI chưa được xem là production-ready.</w:t>
      </w:r>
    </w:p>
    <w:p>
      <w:pPr>
        <w:spacing w:after="120"/>
      </w:pPr>
      <w:r>
        <w:rPr>
          <w:rFonts w:ascii="Calibri" w:hAnsi="Calibri"/>
          <w:b/>
          <w:i w:val="0"/>
          <w:color w:val="17201D"/>
          <w:sz w:val="22"/>
        </w:rPr>
        <w:t xml:space="preserve">Ý nghĩa đối với dự toán. </w:t>
      </w:r>
      <w:r>
        <w:rPr>
          <w:rFonts w:ascii="Calibri" w:hAnsi="Calibri"/>
          <w:b w:val="0"/>
          <w:i w:val="0"/>
          <w:color w:val="17201D"/>
          <w:sz w:val="22"/>
        </w:rPr>
      </w:r>
      <w:r>
        <w:rPr>
          <w:rFonts w:ascii="Calibri" w:hAnsi="Calibri"/>
          <w:b w:val="0"/>
          <w:i w:val="0"/>
          <w:color w:val="17201D"/>
          <w:sz w:val="22"/>
        </w:rPr>
        <w:t>Con số trong báo cáo là ngân sách kỹ thuật để vận hành nền tảng khi các cổng production cần thiết được hoàn tất; đây không phải xác nhận rằng toàn bộ chức năng hiện đã sẵn sàng bán thương mại.</w:t>
      </w:r>
    </w:p>
    <w:p>
      <w:pPr>
        <w:pStyle w:val="Heading1"/>
        <w:keepNext/>
      </w:pPr>
      <w:r>
        <w:t>3. Phạm vi và giả định tính toán</w:t>
      </w:r>
    </w:p>
    <w:p>
      <w:pPr>
        <w:pStyle w:val="ListBullet"/>
        <w:keepLines/>
      </w:pPr>
      <w:r>
        <w:rPr>
          <w:rFonts w:ascii="Calibri" w:hAnsi="Calibri"/>
          <w:b w:val="0"/>
          <w:i w:val="0"/>
          <w:color w:val="17201D"/>
          <w:sz w:val="22"/>
        </w:rPr>
        <w:t>Mỗi nhà hàng có khoảng 5 tài khoản Backoffice đang hoạt động.</w:t>
      </w:r>
    </w:p>
    <w:p>
      <w:pPr>
        <w:pStyle w:val="ListBullet"/>
        <w:keepLines/>
      </w:pPr>
      <w:r>
        <w:rPr>
          <w:rFonts w:ascii="Calibri" w:hAnsi="Calibri"/>
          <w:b w:val="0"/>
          <w:i w:val="0"/>
          <w:color w:val="17201D"/>
          <w:sz w:val="22"/>
        </w:rPr>
        <w:t>Mỗi nhà hàng phát sinh khoảng 500 lượt đặt bàn hoặc email giao dịch mỗi tháng.</w:t>
      </w:r>
    </w:p>
    <w:p>
      <w:pPr>
        <w:pStyle w:val="ListBullet"/>
        <w:keepLines/>
      </w:pPr>
      <w:r>
        <w:rPr>
          <w:rFonts w:ascii="Calibri" w:hAnsi="Calibri"/>
          <w:b w:val="0"/>
          <w:i w:val="0"/>
          <w:color w:val="17201D"/>
          <w:sz w:val="22"/>
        </w:rPr>
        <w:t>Mỗi nhà hàng có khoảng 100 review được phân tích và 40 bản nháp trả lời do AI hỗ trợ mỗi tháng.</w:t>
      </w:r>
    </w:p>
    <w:p>
      <w:pPr>
        <w:pStyle w:val="ListBullet"/>
        <w:keepLines/>
      </w:pPr>
      <w:r>
        <w:rPr>
          <w:rFonts w:ascii="Calibri" w:hAnsi="Calibri"/>
          <w:b w:val="0"/>
          <w:i w:val="0"/>
          <w:color w:val="17201D"/>
          <w:sz w:val="22"/>
        </w:rPr>
        <w:t>Mỗi nhà hàng phân tích khoảng 5 hợp đồng nhân viên mỗi tháng; người có quyền vẫn phải duyệt trước khi cập nhật dữ liệu.</w:t>
      </w:r>
    </w:p>
    <w:p>
      <w:pPr>
        <w:pStyle w:val="ListBullet"/>
        <w:keepLines/>
      </w:pPr>
      <w:r>
        <w:rPr>
          <w:rFonts w:ascii="Calibri" w:hAnsi="Calibri"/>
          <w:b w:val="0"/>
          <w:i w:val="0"/>
          <w:color w:val="17201D"/>
          <w:sz w:val="22"/>
        </w:rPr>
        <w:t>Mỗi nhà hàng tạo thêm khoảng 100–200 MB file mỗi tháng.</w:t>
      </w:r>
    </w:p>
    <w:p>
      <w:pPr>
        <w:pStyle w:val="ListBullet"/>
        <w:keepLines/>
      </w:pPr>
      <w:r>
        <w:rPr>
          <w:rFonts w:ascii="Calibri" w:hAnsi="Calibri"/>
          <w:b w:val="0"/>
          <w:i w:val="0"/>
          <w:color w:val="17201D"/>
          <w:sz w:val="22"/>
        </w:rPr>
        <w:t>Không bao gồm SMS, phần cứng, chi phí thanh toán, lương nhân sự, hỗ trợ khách hàng, VAT hoặc yêu cầu Enterprise riêng.</w:t>
      </w:r>
    </w:p>
    <w:p>
      <w:pPr>
        <w:keepLines/>
        <w:spacing w:before="80" w:after="160"/>
      </w:pPr>
      <w:r>
        <w:rPr>
          <w:rFonts w:ascii="Calibri" w:hAnsi="Calibri"/>
          <w:b/>
          <w:i w:val="0"/>
          <w:color w:val="A87923"/>
          <w:sz w:val="19"/>
        </w:rPr>
        <w:t xml:space="preserve">Lưu ý: </w:t>
      </w:r>
      <w:r>
        <w:rPr>
          <w:rFonts w:ascii="Calibri" w:hAnsi="Calibri"/>
          <w:b w:val="0"/>
          <w:i/>
          <w:color w:val="58645F"/>
          <w:sz w:val="19"/>
        </w:rPr>
        <w:t>Đây là mô hình ngân sách, không phải báo giá nhà cung cấp. Giá nguồn có thể được niêm yết bằng USD; các khoảng EUR đã có biên dự phòng thay vì dùng một tỷ giá cố định.</w:t>
      </w:r>
    </w:p>
    <w:p>
      <w:pPr>
        <w:pStyle w:val="Heading1"/>
        <w:keepNext/>
      </w:pPr>
      <w:r>
        <w:t>4. Dự toán tổng thể</w:t>
      </w:r>
    </w:p>
    <w:tbl>
      <w:tblPr>
        <w:tblW w:type="dxa" w:w="9360"/>
        <w:jc w:val="left"/>
        <w:tblLayout w:type="fixed"/>
        <w:tblLook w:firstColumn="1" w:firstRow="1" w:lastColumn="0" w:lastRow="0" w:noHBand="0" w:noVBand="1" w:val="04A0"/>
        <w:tblInd w:w="120" w:type="dxa"/>
        <w:tblBorders>
          <w:top w:val="single" w:sz="6" w:color="CDD8D4"/>
          <w:left w:val="single" w:sz="6" w:color="CDD8D4"/>
          <w:bottom w:val="single" w:sz="6" w:color="CDD8D4"/>
          <w:right w:val="single" w:sz="6" w:color="CDD8D4"/>
          <w:insideH w:val="single" w:sz="6" w:color="CDD8D4"/>
          <w:insideV w:val="single" w:sz="6" w:color="CDD8D4"/>
        </w:tblBorders>
      </w:tblPr>
      <w:tblGrid>
        <w:gridCol w:w="1900"/>
        <w:gridCol w:w="2450"/>
        <w:gridCol w:w="2450"/>
        <w:gridCol w:w="2560"/>
      </w:tblGrid>
      <w:tr>
        <w:trPr>
          <w:cantSplit/>
          <w:tblHeader w:val="true"/>
        </w:trPr>
        <w:tc>
          <w:tcPr>
            <w:tcW w:type="dxa" w:w="1900"/>
            <w:vAlign w:val="center"/>
            <w:tcMar>
              <w:top w:w="100" w:type="dxa"/>
              <w:start w:w="120" w:type="dxa"/>
              <w:bottom w:w="100" w:type="dxa"/>
              <w:end w:w="120" w:type="dxa"/>
            </w:tcMar>
            <w:shd w:fill="153B32"/>
          </w:tcPr>
          <w:p>
            <w:pPr>
              <w:spacing w:after="0"/>
              <w:jc w:val="left"/>
            </w:pPr>
            <w:r>
              <w:rPr>
                <w:rFonts w:ascii="Calibri" w:hAnsi="Calibri"/>
                <w:b/>
                <w:i w:val="0"/>
                <w:color w:val="FFFFFF"/>
                <w:sz w:val="18"/>
              </w:rPr>
              <w:t>Quy mô</w:t>
            </w:r>
          </w:p>
        </w:tc>
        <w:tc>
          <w:tcPr>
            <w:tcW w:type="dxa" w:w="2450"/>
            <w:vAlign w:val="center"/>
            <w:tcMar>
              <w:top w:w="100" w:type="dxa"/>
              <w:start w:w="120" w:type="dxa"/>
              <w:bottom w:w="100" w:type="dxa"/>
              <w:end w:w="120" w:type="dxa"/>
            </w:tcMar>
            <w:shd w:fill="153B32"/>
          </w:tcPr>
          <w:p>
            <w:pPr>
              <w:spacing w:after="0"/>
              <w:jc w:val="right"/>
            </w:pPr>
            <w:r>
              <w:rPr>
                <w:rFonts w:ascii="Calibri" w:hAnsi="Calibri"/>
                <w:b/>
                <w:i w:val="0"/>
                <w:color w:val="FFFFFF"/>
                <w:sz w:val="18"/>
              </w:rPr>
              <w:t>Ngân sách/tháng</w:t>
            </w:r>
          </w:p>
        </w:tc>
        <w:tc>
          <w:tcPr>
            <w:tcW w:type="dxa" w:w="2450"/>
            <w:vAlign w:val="center"/>
            <w:tcMar>
              <w:top w:w="100" w:type="dxa"/>
              <w:start w:w="120" w:type="dxa"/>
              <w:bottom w:w="100" w:type="dxa"/>
              <w:end w:w="120" w:type="dxa"/>
            </w:tcMar>
            <w:shd w:fill="153B32"/>
          </w:tcPr>
          <w:p>
            <w:pPr>
              <w:spacing w:after="0"/>
              <w:jc w:val="right"/>
            </w:pPr>
            <w:r>
              <w:rPr>
                <w:rFonts w:ascii="Calibri" w:hAnsi="Calibri"/>
                <w:b/>
                <w:i w:val="0"/>
                <w:color w:val="FFFFFF"/>
                <w:sz w:val="18"/>
              </w:rPr>
              <w:t>Chi phí/nhà hàng</w:t>
            </w:r>
          </w:p>
        </w:tc>
        <w:tc>
          <w:tcPr>
            <w:tcW w:type="dxa" w:w="2560"/>
            <w:vAlign w:val="center"/>
            <w:tcMar>
              <w:top w:w="100" w:type="dxa"/>
              <w:start w:w="120" w:type="dxa"/>
              <w:bottom w:w="100" w:type="dxa"/>
              <w:end w:w="120" w:type="dxa"/>
            </w:tcMar>
            <w:shd w:fill="153B32"/>
          </w:tcPr>
          <w:p>
            <w:pPr>
              <w:spacing w:after="0"/>
              <w:jc w:val="right"/>
            </w:pPr>
            <w:r>
              <w:rPr>
                <w:rFonts w:ascii="Calibri" w:hAnsi="Calibri"/>
                <w:b/>
                <w:i w:val="0"/>
                <w:color w:val="FFFFFF"/>
                <w:sz w:val="18"/>
              </w:rPr>
              <w:t>Ngân sách/năm</w:t>
            </w:r>
          </w:p>
        </w:tc>
      </w:tr>
      <w:tr>
        <w:trPr>
          <w:cantSplit/>
        </w:trPr>
        <w:tc>
          <w:tcPr>
            <w:tcW w:type="dxa" w:w="1900"/>
            <w:vAlign w:val="center"/>
            <w:tcMar>
              <w:top w:w="100" w:type="dxa"/>
              <w:start w:w="120" w:type="dxa"/>
              <w:bottom w:w="100" w:type="dxa"/>
              <w:end w:w="120" w:type="dxa"/>
            </w:tcMar>
          </w:tcPr>
          <w:p>
            <w:pPr>
              <w:spacing w:after="0"/>
              <w:jc w:val="left"/>
            </w:pPr>
            <w:r>
              <w:rPr>
                <w:rFonts w:ascii="Calibri" w:hAnsi="Calibri"/>
                <w:b w:val="0"/>
                <w:i w:val="0"/>
                <w:color w:val="17201D"/>
                <w:sz w:val="18"/>
              </w:rPr>
              <w:t>40 nhà hàng</w:t>
            </w:r>
          </w:p>
        </w:tc>
        <w:tc>
          <w:tcPr>
            <w:tcW w:type="dxa" w:w="2450"/>
            <w:vAlign w:val="center"/>
            <w:tcMar>
              <w:top w:w="100" w:type="dxa"/>
              <w:start w:w="120" w:type="dxa"/>
              <w:bottom w:w="100" w:type="dxa"/>
              <w:end w:w="120" w:type="dxa"/>
            </w:tcMar>
          </w:tcPr>
          <w:p>
            <w:pPr>
              <w:spacing w:after="0"/>
              <w:jc w:val="right"/>
            </w:pPr>
            <w:r>
              <w:rPr>
                <w:rFonts w:ascii="Calibri" w:hAnsi="Calibri"/>
                <w:b w:val="0"/>
                <w:i w:val="0"/>
                <w:color w:val="17201D"/>
                <w:sz w:val="18"/>
              </w:rPr>
              <w:t>€250–500</w:t>
            </w:r>
          </w:p>
        </w:tc>
        <w:tc>
          <w:tcPr>
            <w:tcW w:type="dxa" w:w="2450"/>
            <w:vAlign w:val="center"/>
            <w:tcMar>
              <w:top w:w="100" w:type="dxa"/>
              <w:start w:w="120" w:type="dxa"/>
              <w:bottom w:w="100" w:type="dxa"/>
              <w:end w:w="120" w:type="dxa"/>
            </w:tcMar>
          </w:tcPr>
          <w:p>
            <w:pPr>
              <w:spacing w:after="0"/>
              <w:jc w:val="right"/>
            </w:pPr>
            <w:r>
              <w:rPr>
                <w:rFonts w:ascii="Calibri" w:hAnsi="Calibri"/>
                <w:b w:val="0"/>
                <w:i w:val="0"/>
                <w:color w:val="17201D"/>
                <w:sz w:val="18"/>
              </w:rPr>
              <w:t>€6–12,5</w:t>
            </w:r>
          </w:p>
        </w:tc>
        <w:tc>
          <w:tcPr>
            <w:tcW w:type="dxa" w:w="2560"/>
            <w:vAlign w:val="center"/>
            <w:tcMar>
              <w:top w:w="100" w:type="dxa"/>
              <w:start w:w="120" w:type="dxa"/>
              <w:bottom w:w="100" w:type="dxa"/>
              <w:end w:w="120" w:type="dxa"/>
            </w:tcMar>
          </w:tcPr>
          <w:p>
            <w:pPr>
              <w:spacing w:after="0"/>
              <w:jc w:val="right"/>
            </w:pPr>
            <w:r>
              <w:rPr>
                <w:rFonts w:ascii="Calibri" w:hAnsi="Calibri"/>
                <w:b w:val="0"/>
                <w:i w:val="0"/>
                <w:color w:val="17201D"/>
                <w:sz w:val="18"/>
              </w:rPr>
              <w:t>€3.000–6.000</w:t>
            </w:r>
          </w:p>
        </w:tc>
      </w:tr>
      <w:tr>
        <w:trPr>
          <w:cantSplit/>
        </w:trPr>
        <w:tc>
          <w:tcPr>
            <w:tcW w:type="dxa" w:w="1900"/>
            <w:vAlign w:val="center"/>
            <w:tcMar>
              <w:top w:w="100" w:type="dxa"/>
              <w:start w:w="120" w:type="dxa"/>
              <w:bottom w:w="100" w:type="dxa"/>
              <w:end w:w="120" w:type="dxa"/>
            </w:tcMar>
            <w:shd w:fill="F3F6F5"/>
          </w:tcPr>
          <w:p>
            <w:pPr>
              <w:spacing w:after="0"/>
              <w:jc w:val="left"/>
            </w:pPr>
            <w:r>
              <w:rPr>
                <w:rFonts w:ascii="Calibri" w:hAnsi="Calibri"/>
                <w:b w:val="0"/>
                <w:i w:val="0"/>
                <w:color w:val="17201D"/>
                <w:sz w:val="18"/>
              </w:rPr>
              <w:t>80 nhà hàng</w:t>
            </w:r>
          </w:p>
        </w:tc>
        <w:tc>
          <w:tcPr>
            <w:tcW w:type="dxa" w:w="2450"/>
            <w:vAlign w:val="center"/>
            <w:tcMar>
              <w:top w:w="100" w:type="dxa"/>
              <w:start w:w="120" w:type="dxa"/>
              <w:bottom w:w="100" w:type="dxa"/>
              <w:end w:w="120" w:type="dxa"/>
            </w:tcMar>
            <w:shd w:fill="F3F6F5"/>
          </w:tcPr>
          <w:p>
            <w:pPr>
              <w:spacing w:after="0"/>
              <w:jc w:val="right"/>
            </w:pPr>
            <w:r>
              <w:rPr>
                <w:rFonts w:ascii="Calibri" w:hAnsi="Calibri"/>
                <w:b w:val="0"/>
                <w:i w:val="0"/>
                <w:color w:val="17201D"/>
                <w:sz w:val="18"/>
              </w:rPr>
              <w:t>€400–800</w:t>
            </w:r>
          </w:p>
        </w:tc>
        <w:tc>
          <w:tcPr>
            <w:tcW w:type="dxa" w:w="2450"/>
            <w:vAlign w:val="center"/>
            <w:tcMar>
              <w:top w:w="100" w:type="dxa"/>
              <w:start w:w="120" w:type="dxa"/>
              <w:bottom w:w="100" w:type="dxa"/>
              <w:end w:w="120" w:type="dxa"/>
            </w:tcMar>
            <w:shd w:fill="F3F6F5"/>
          </w:tcPr>
          <w:p>
            <w:pPr>
              <w:spacing w:after="0"/>
              <w:jc w:val="right"/>
            </w:pPr>
            <w:r>
              <w:rPr>
                <w:rFonts w:ascii="Calibri" w:hAnsi="Calibri"/>
                <w:b w:val="0"/>
                <w:i w:val="0"/>
                <w:color w:val="17201D"/>
                <w:sz w:val="18"/>
              </w:rPr>
              <w:t>€5–10</w:t>
            </w:r>
          </w:p>
        </w:tc>
        <w:tc>
          <w:tcPr>
            <w:tcW w:type="dxa" w:w="2560"/>
            <w:vAlign w:val="center"/>
            <w:tcMar>
              <w:top w:w="100" w:type="dxa"/>
              <w:start w:w="120" w:type="dxa"/>
              <w:bottom w:w="100" w:type="dxa"/>
              <w:end w:w="120" w:type="dxa"/>
            </w:tcMar>
            <w:shd w:fill="F3F6F5"/>
          </w:tcPr>
          <w:p>
            <w:pPr>
              <w:spacing w:after="0"/>
              <w:jc w:val="right"/>
            </w:pPr>
            <w:r>
              <w:rPr>
                <w:rFonts w:ascii="Calibri" w:hAnsi="Calibri"/>
                <w:b w:val="0"/>
                <w:i w:val="0"/>
                <w:color w:val="17201D"/>
                <w:sz w:val="18"/>
              </w:rPr>
              <w:t>€4.800–9.600</w:t>
            </w:r>
          </w:p>
        </w:tc>
      </w:tr>
      <w:tr>
        <w:trPr>
          <w:cantSplit/>
        </w:trPr>
        <w:tc>
          <w:tcPr>
            <w:tcW w:type="dxa" w:w="1900"/>
            <w:vAlign w:val="center"/>
            <w:tcMar>
              <w:top w:w="100" w:type="dxa"/>
              <w:start w:w="120" w:type="dxa"/>
              <w:bottom w:w="100" w:type="dxa"/>
              <w:end w:w="120" w:type="dxa"/>
            </w:tcMar>
          </w:tcPr>
          <w:p>
            <w:pPr>
              <w:spacing w:after="0"/>
              <w:jc w:val="left"/>
            </w:pPr>
            <w:r>
              <w:rPr>
                <w:rFonts w:ascii="Calibri" w:hAnsi="Calibri"/>
                <w:b w:val="0"/>
                <w:i w:val="0"/>
                <w:color w:val="17201D"/>
                <w:sz w:val="18"/>
              </w:rPr>
              <w:t>100 nhà hàng</w:t>
            </w:r>
          </w:p>
        </w:tc>
        <w:tc>
          <w:tcPr>
            <w:tcW w:type="dxa" w:w="2450"/>
            <w:vAlign w:val="center"/>
            <w:tcMar>
              <w:top w:w="100" w:type="dxa"/>
              <w:start w:w="120" w:type="dxa"/>
              <w:bottom w:w="100" w:type="dxa"/>
              <w:end w:w="120" w:type="dxa"/>
            </w:tcMar>
          </w:tcPr>
          <w:p>
            <w:pPr>
              <w:spacing w:after="0"/>
              <w:jc w:val="right"/>
            </w:pPr>
            <w:r>
              <w:rPr>
                <w:rFonts w:ascii="Calibri" w:hAnsi="Calibri"/>
                <w:b w:val="0"/>
                <w:i w:val="0"/>
                <w:color w:val="17201D"/>
                <w:sz w:val="18"/>
              </w:rPr>
              <w:t>€500–1.000</w:t>
            </w:r>
          </w:p>
        </w:tc>
        <w:tc>
          <w:tcPr>
            <w:tcW w:type="dxa" w:w="2450"/>
            <w:vAlign w:val="center"/>
            <w:tcMar>
              <w:top w:w="100" w:type="dxa"/>
              <w:start w:w="120" w:type="dxa"/>
              <w:bottom w:w="100" w:type="dxa"/>
              <w:end w:w="120" w:type="dxa"/>
            </w:tcMar>
          </w:tcPr>
          <w:p>
            <w:pPr>
              <w:spacing w:after="0"/>
              <w:jc w:val="right"/>
            </w:pPr>
            <w:r>
              <w:rPr>
                <w:rFonts w:ascii="Calibri" w:hAnsi="Calibri"/>
                <w:b w:val="0"/>
                <w:i w:val="0"/>
                <w:color w:val="17201D"/>
                <w:sz w:val="18"/>
              </w:rPr>
              <w:t>€5–10</w:t>
            </w:r>
          </w:p>
        </w:tc>
        <w:tc>
          <w:tcPr>
            <w:tcW w:type="dxa" w:w="2560"/>
            <w:vAlign w:val="center"/>
            <w:tcMar>
              <w:top w:w="100" w:type="dxa"/>
              <w:start w:w="120" w:type="dxa"/>
              <w:bottom w:w="100" w:type="dxa"/>
              <w:end w:w="120" w:type="dxa"/>
            </w:tcMar>
          </w:tcPr>
          <w:p>
            <w:pPr>
              <w:spacing w:after="0"/>
              <w:jc w:val="right"/>
            </w:pPr>
            <w:r>
              <w:rPr>
                <w:rFonts w:ascii="Calibri" w:hAnsi="Calibri"/>
                <w:b w:val="0"/>
                <w:i w:val="0"/>
                <w:color w:val="17201D"/>
                <w:sz w:val="18"/>
              </w:rPr>
              <w:t>€6.000–12.000</w:t>
            </w:r>
          </w:p>
        </w:tc>
      </w:tr>
    </w:tbl>
    <w:p>
      <w:pPr>
        <w:spacing w:after="40"/>
      </w:pPr>
      <w:r>
        <w:rPr>
          <w:rFonts w:ascii="Calibri" w:hAnsi="Calibri"/>
          <w:b w:val="0"/>
          <w:i w:val="0"/>
          <w:color w:val="17201D"/>
          <w:sz w:val="22"/>
        </w:rPr>
        <w:t>Khoảng trên đã bao gồm một phần dự phòng tăng tải và dao động hóa đơn. Mức thực tế sẽ được điều chỉnh sau khi có dữ liệu sử dụng production trong ba tháng đầu.</w:t>
      </w:r>
    </w:p>
    <w:p>
      <w:pPr>
        <w:pStyle w:val="Heading1"/>
        <w:keepNext/>
      </w:pPr>
      <w:r>
        <w:t>5. Cấu trúc chi phí hàng tháng</w:t>
      </w:r>
    </w:p>
    <w:tbl>
      <w:tblPr>
        <w:tblW w:type="dxa" w:w="9360"/>
        <w:jc w:val="left"/>
        <w:tblLayout w:type="fixed"/>
        <w:tblLook w:firstColumn="1" w:firstRow="1" w:lastColumn="0" w:lastRow="0" w:noHBand="0" w:noVBand="1" w:val="04A0"/>
        <w:tblInd w:w="120" w:type="dxa"/>
        <w:tblBorders>
          <w:top w:val="single" w:sz="6" w:color="CDD8D4"/>
          <w:left w:val="single" w:sz="6" w:color="CDD8D4"/>
          <w:bottom w:val="single" w:sz="6" w:color="CDD8D4"/>
          <w:right w:val="single" w:sz="6" w:color="CDD8D4"/>
          <w:insideH w:val="single" w:sz="6" w:color="CDD8D4"/>
          <w:insideV w:val="single" w:sz="6" w:color="CDD8D4"/>
        </w:tblBorders>
      </w:tblPr>
      <w:tblGrid>
        <w:gridCol w:w="3300"/>
        <w:gridCol w:w="2020"/>
        <w:gridCol w:w="2020"/>
        <w:gridCol w:w="2020"/>
      </w:tblGrid>
      <w:tr>
        <w:trPr>
          <w:cantSplit/>
          <w:tblHeader w:val="true"/>
        </w:trPr>
        <w:tc>
          <w:tcPr>
            <w:tcW w:type="dxa" w:w="3300"/>
            <w:vAlign w:val="center"/>
            <w:tcMar>
              <w:top w:w="100" w:type="dxa"/>
              <w:start w:w="120" w:type="dxa"/>
              <w:bottom w:w="100" w:type="dxa"/>
              <w:end w:w="120" w:type="dxa"/>
            </w:tcMar>
            <w:shd w:fill="153B32"/>
          </w:tcPr>
          <w:p>
            <w:pPr>
              <w:spacing w:after="0"/>
              <w:jc w:val="left"/>
            </w:pPr>
            <w:r>
              <w:rPr>
                <w:rFonts w:ascii="Calibri" w:hAnsi="Calibri"/>
                <w:b/>
                <w:i w:val="0"/>
                <w:color w:val="FFFFFF"/>
                <w:sz w:val="18"/>
              </w:rPr>
              <w:t>Hạng mục</w:t>
            </w:r>
          </w:p>
        </w:tc>
        <w:tc>
          <w:tcPr>
            <w:tcW w:type="dxa" w:w="2020"/>
            <w:vAlign w:val="center"/>
            <w:tcMar>
              <w:top w:w="100" w:type="dxa"/>
              <w:start w:w="120" w:type="dxa"/>
              <w:bottom w:w="100" w:type="dxa"/>
              <w:end w:w="120" w:type="dxa"/>
            </w:tcMar>
            <w:shd w:fill="153B32"/>
          </w:tcPr>
          <w:p>
            <w:pPr>
              <w:spacing w:after="0"/>
              <w:jc w:val="right"/>
            </w:pPr>
            <w:r>
              <w:rPr>
                <w:rFonts w:ascii="Calibri" w:hAnsi="Calibri"/>
                <w:b/>
                <w:i w:val="0"/>
                <w:color w:val="FFFFFF"/>
                <w:sz w:val="18"/>
              </w:rPr>
              <w:t>40 nhà hàng</w:t>
            </w:r>
          </w:p>
        </w:tc>
        <w:tc>
          <w:tcPr>
            <w:tcW w:type="dxa" w:w="2020"/>
            <w:vAlign w:val="center"/>
            <w:tcMar>
              <w:top w:w="100" w:type="dxa"/>
              <w:start w:w="120" w:type="dxa"/>
              <w:bottom w:w="100" w:type="dxa"/>
              <w:end w:w="120" w:type="dxa"/>
            </w:tcMar>
            <w:shd w:fill="153B32"/>
          </w:tcPr>
          <w:p>
            <w:pPr>
              <w:spacing w:after="0"/>
              <w:jc w:val="right"/>
            </w:pPr>
            <w:r>
              <w:rPr>
                <w:rFonts w:ascii="Calibri" w:hAnsi="Calibri"/>
                <w:b/>
                <w:i w:val="0"/>
                <w:color w:val="FFFFFF"/>
                <w:sz w:val="18"/>
              </w:rPr>
              <w:t>80 nhà hàng</w:t>
            </w:r>
          </w:p>
        </w:tc>
        <w:tc>
          <w:tcPr>
            <w:tcW w:type="dxa" w:w="2020"/>
            <w:vAlign w:val="center"/>
            <w:tcMar>
              <w:top w:w="100" w:type="dxa"/>
              <w:start w:w="120" w:type="dxa"/>
              <w:bottom w:w="100" w:type="dxa"/>
              <w:end w:w="120" w:type="dxa"/>
            </w:tcMar>
            <w:shd w:fill="153B32"/>
          </w:tcPr>
          <w:p>
            <w:pPr>
              <w:spacing w:after="0"/>
              <w:jc w:val="right"/>
            </w:pPr>
            <w:r>
              <w:rPr>
                <w:rFonts w:ascii="Calibri" w:hAnsi="Calibri"/>
                <w:b/>
                <w:i w:val="0"/>
                <w:color w:val="FFFFFF"/>
                <w:sz w:val="18"/>
              </w:rPr>
              <w:t>100 nhà hàng</w:t>
            </w:r>
          </w:p>
        </w:tc>
      </w:tr>
      <w:tr>
        <w:trPr>
          <w:cantSplit/>
        </w:trPr>
        <w:tc>
          <w:tcPr>
            <w:tcW w:type="dxa" w:w="3300"/>
            <w:vAlign w:val="center"/>
            <w:tcMar>
              <w:top w:w="100" w:type="dxa"/>
              <w:start w:w="120" w:type="dxa"/>
              <w:bottom w:w="100" w:type="dxa"/>
              <w:end w:w="120" w:type="dxa"/>
            </w:tcMar>
          </w:tcPr>
          <w:p>
            <w:pPr>
              <w:spacing w:after="0"/>
              <w:jc w:val="left"/>
            </w:pPr>
            <w:r>
              <w:rPr>
                <w:rFonts w:ascii="Calibri" w:hAnsi="Calibri"/>
                <w:b w:val="0"/>
                <w:i w:val="0"/>
                <w:color w:val="17201D"/>
                <w:sz w:val="18"/>
              </w:rPr>
              <w:t>Hosting các web app</w:t>
            </w:r>
          </w:p>
        </w:tc>
        <w:tc>
          <w:tcPr>
            <w:tcW w:type="dxa" w:w="2020"/>
            <w:vAlign w:val="center"/>
            <w:tcMar>
              <w:top w:w="100" w:type="dxa"/>
              <w:start w:w="120" w:type="dxa"/>
              <w:bottom w:w="100" w:type="dxa"/>
              <w:end w:w="120" w:type="dxa"/>
            </w:tcMar>
          </w:tcPr>
          <w:p>
            <w:pPr>
              <w:spacing w:after="0"/>
              <w:jc w:val="right"/>
            </w:pPr>
            <w:r>
              <w:rPr>
                <w:rFonts w:ascii="Calibri" w:hAnsi="Calibri"/>
                <w:b w:val="0"/>
                <w:i w:val="0"/>
                <w:color w:val="17201D"/>
                <w:sz w:val="18"/>
              </w:rPr>
              <w:t>€60–120</w:t>
            </w:r>
          </w:p>
        </w:tc>
        <w:tc>
          <w:tcPr>
            <w:tcW w:type="dxa" w:w="2020"/>
            <w:vAlign w:val="center"/>
            <w:tcMar>
              <w:top w:w="100" w:type="dxa"/>
              <w:start w:w="120" w:type="dxa"/>
              <w:bottom w:w="100" w:type="dxa"/>
              <w:end w:w="120" w:type="dxa"/>
            </w:tcMar>
          </w:tcPr>
          <w:p>
            <w:pPr>
              <w:spacing w:after="0"/>
              <w:jc w:val="right"/>
            </w:pPr>
            <w:r>
              <w:rPr>
                <w:rFonts w:ascii="Calibri" w:hAnsi="Calibri"/>
                <w:b w:val="0"/>
                <w:i w:val="0"/>
                <w:color w:val="17201D"/>
                <w:sz w:val="18"/>
              </w:rPr>
              <w:t>€90–180</w:t>
            </w:r>
          </w:p>
        </w:tc>
        <w:tc>
          <w:tcPr>
            <w:tcW w:type="dxa" w:w="2020"/>
            <w:vAlign w:val="center"/>
            <w:tcMar>
              <w:top w:w="100" w:type="dxa"/>
              <w:start w:w="120" w:type="dxa"/>
              <w:bottom w:w="100" w:type="dxa"/>
              <w:end w:w="120" w:type="dxa"/>
            </w:tcMar>
          </w:tcPr>
          <w:p>
            <w:pPr>
              <w:spacing w:after="0"/>
              <w:jc w:val="right"/>
            </w:pPr>
            <w:r>
              <w:rPr>
                <w:rFonts w:ascii="Calibri" w:hAnsi="Calibri"/>
                <w:b w:val="0"/>
                <w:i w:val="0"/>
                <w:color w:val="17201D"/>
                <w:sz w:val="18"/>
              </w:rPr>
              <w:t>€110–220</w:t>
            </w:r>
          </w:p>
        </w:tc>
      </w:tr>
      <w:tr>
        <w:trPr>
          <w:cantSplit/>
        </w:trPr>
        <w:tc>
          <w:tcPr>
            <w:tcW w:type="dxa" w:w="3300"/>
            <w:vAlign w:val="center"/>
            <w:tcMar>
              <w:top w:w="100" w:type="dxa"/>
              <w:start w:w="120" w:type="dxa"/>
              <w:bottom w:w="100" w:type="dxa"/>
              <w:end w:w="120" w:type="dxa"/>
            </w:tcMar>
            <w:shd w:fill="F3F6F5"/>
          </w:tcPr>
          <w:p>
            <w:pPr>
              <w:spacing w:after="0"/>
              <w:jc w:val="left"/>
            </w:pPr>
            <w:r>
              <w:rPr>
                <w:rFonts w:ascii="Calibri" w:hAnsi="Calibri"/>
                <w:b w:val="0"/>
                <w:i w:val="0"/>
                <w:color w:val="17201D"/>
                <w:sz w:val="18"/>
              </w:rPr>
              <w:t>Neon PostgreSQL</w:t>
            </w:r>
          </w:p>
        </w:tc>
        <w:tc>
          <w:tcPr>
            <w:tcW w:type="dxa" w:w="2020"/>
            <w:vAlign w:val="center"/>
            <w:tcMar>
              <w:top w:w="100" w:type="dxa"/>
              <w:start w:w="120" w:type="dxa"/>
              <w:bottom w:w="100" w:type="dxa"/>
              <w:end w:w="120" w:type="dxa"/>
            </w:tcMar>
            <w:shd w:fill="F3F6F5"/>
          </w:tcPr>
          <w:p>
            <w:pPr>
              <w:spacing w:after="0"/>
              <w:jc w:val="right"/>
            </w:pPr>
            <w:r>
              <w:rPr>
                <w:rFonts w:ascii="Calibri" w:hAnsi="Calibri"/>
                <w:b w:val="0"/>
                <w:i w:val="0"/>
                <w:color w:val="17201D"/>
                <w:sz w:val="18"/>
              </w:rPr>
              <w:t>€35–80</w:t>
            </w:r>
          </w:p>
        </w:tc>
        <w:tc>
          <w:tcPr>
            <w:tcW w:type="dxa" w:w="2020"/>
            <w:vAlign w:val="center"/>
            <w:tcMar>
              <w:top w:w="100" w:type="dxa"/>
              <w:start w:w="120" w:type="dxa"/>
              <w:bottom w:w="100" w:type="dxa"/>
              <w:end w:w="120" w:type="dxa"/>
            </w:tcMar>
            <w:shd w:fill="F3F6F5"/>
          </w:tcPr>
          <w:p>
            <w:pPr>
              <w:spacing w:after="0"/>
              <w:jc w:val="right"/>
            </w:pPr>
            <w:r>
              <w:rPr>
                <w:rFonts w:ascii="Calibri" w:hAnsi="Calibri"/>
                <w:b w:val="0"/>
                <w:i w:val="0"/>
                <w:color w:val="17201D"/>
                <w:sz w:val="18"/>
              </w:rPr>
              <w:t>€60–140</w:t>
            </w:r>
          </w:p>
        </w:tc>
        <w:tc>
          <w:tcPr>
            <w:tcW w:type="dxa" w:w="2020"/>
            <w:vAlign w:val="center"/>
            <w:tcMar>
              <w:top w:w="100" w:type="dxa"/>
              <w:start w:w="120" w:type="dxa"/>
              <w:bottom w:w="100" w:type="dxa"/>
              <w:end w:w="120" w:type="dxa"/>
            </w:tcMar>
            <w:shd w:fill="F3F6F5"/>
          </w:tcPr>
          <w:p>
            <w:pPr>
              <w:spacing w:after="0"/>
              <w:jc w:val="right"/>
            </w:pPr>
            <w:r>
              <w:rPr>
                <w:rFonts w:ascii="Calibri" w:hAnsi="Calibri"/>
                <w:b w:val="0"/>
                <w:i w:val="0"/>
                <w:color w:val="17201D"/>
                <w:sz w:val="18"/>
              </w:rPr>
              <w:t>€80–180</w:t>
            </w:r>
          </w:p>
        </w:tc>
      </w:tr>
      <w:tr>
        <w:trPr>
          <w:cantSplit/>
        </w:trPr>
        <w:tc>
          <w:tcPr>
            <w:tcW w:type="dxa" w:w="3300"/>
            <w:vAlign w:val="center"/>
            <w:tcMar>
              <w:top w:w="100" w:type="dxa"/>
              <w:start w:w="120" w:type="dxa"/>
              <w:bottom w:w="100" w:type="dxa"/>
              <w:end w:w="120" w:type="dxa"/>
            </w:tcMar>
          </w:tcPr>
          <w:p>
            <w:pPr>
              <w:spacing w:after="0"/>
              <w:jc w:val="left"/>
            </w:pPr>
            <w:r>
              <w:rPr>
                <w:rFonts w:ascii="Calibri" w:hAnsi="Calibri"/>
                <w:b w:val="0"/>
                <w:i w:val="0"/>
                <w:color w:val="17201D"/>
                <w:sz w:val="18"/>
              </w:rPr>
              <w:t>Email giao dịch</w:t>
            </w:r>
          </w:p>
        </w:tc>
        <w:tc>
          <w:tcPr>
            <w:tcW w:type="dxa" w:w="2020"/>
            <w:vAlign w:val="center"/>
            <w:tcMar>
              <w:top w:w="100" w:type="dxa"/>
              <w:start w:w="120" w:type="dxa"/>
              <w:bottom w:w="100" w:type="dxa"/>
              <w:end w:w="120" w:type="dxa"/>
            </w:tcMar>
          </w:tcPr>
          <w:p>
            <w:pPr>
              <w:spacing w:after="0"/>
              <w:jc w:val="right"/>
            </w:pPr>
            <w:r>
              <w:rPr>
                <w:rFonts w:ascii="Calibri" w:hAnsi="Calibri"/>
                <w:b w:val="0"/>
                <w:i w:val="0"/>
                <w:color w:val="17201D"/>
                <w:sz w:val="18"/>
              </w:rPr>
              <w:t>€30–45</w:t>
            </w:r>
          </w:p>
        </w:tc>
        <w:tc>
          <w:tcPr>
            <w:tcW w:type="dxa" w:w="2020"/>
            <w:vAlign w:val="center"/>
            <w:tcMar>
              <w:top w:w="100" w:type="dxa"/>
              <w:start w:w="120" w:type="dxa"/>
              <w:bottom w:w="100" w:type="dxa"/>
              <w:end w:w="120" w:type="dxa"/>
            </w:tcMar>
          </w:tcPr>
          <w:p>
            <w:pPr>
              <w:spacing w:after="0"/>
              <w:jc w:val="right"/>
            </w:pPr>
            <w:r>
              <w:rPr>
                <w:rFonts w:ascii="Calibri" w:hAnsi="Calibri"/>
                <w:b w:val="0"/>
                <w:i w:val="0"/>
                <w:color w:val="17201D"/>
                <w:sz w:val="18"/>
              </w:rPr>
              <w:t>€60–80</w:t>
            </w:r>
          </w:p>
        </w:tc>
        <w:tc>
          <w:tcPr>
            <w:tcW w:type="dxa" w:w="2020"/>
            <w:vAlign w:val="center"/>
            <w:tcMar>
              <w:top w:w="100" w:type="dxa"/>
              <w:start w:w="120" w:type="dxa"/>
              <w:bottom w:w="100" w:type="dxa"/>
              <w:end w:w="120" w:type="dxa"/>
            </w:tcMar>
          </w:tcPr>
          <w:p>
            <w:pPr>
              <w:spacing w:after="0"/>
              <w:jc w:val="right"/>
            </w:pPr>
            <w:r>
              <w:rPr>
                <w:rFonts w:ascii="Calibri" w:hAnsi="Calibri"/>
                <w:b w:val="0"/>
                <w:i w:val="0"/>
                <w:color w:val="17201D"/>
                <w:sz w:val="18"/>
              </w:rPr>
              <w:t>€75–100</w:t>
            </w:r>
          </w:p>
        </w:tc>
      </w:tr>
      <w:tr>
        <w:trPr>
          <w:cantSplit/>
        </w:trPr>
        <w:tc>
          <w:tcPr>
            <w:tcW w:type="dxa" w:w="3300"/>
            <w:vAlign w:val="center"/>
            <w:tcMar>
              <w:top w:w="100" w:type="dxa"/>
              <w:start w:w="120" w:type="dxa"/>
              <w:bottom w:w="100" w:type="dxa"/>
              <w:end w:w="120" w:type="dxa"/>
            </w:tcMar>
            <w:shd w:fill="F3F6F5"/>
          </w:tcPr>
          <w:p>
            <w:pPr>
              <w:spacing w:after="0"/>
              <w:jc w:val="left"/>
            </w:pPr>
            <w:r>
              <w:rPr>
                <w:rFonts w:ascii="Calibri" w:hAnsi="Calibri"/>
                <w:b w:val="0"/>
                <w:i w:val="0"/>
                <w:color w:val="17201D"/>
                <w:sz w:val="18"/>
              </w:rPr>
              <w:t>Lưu file EU và quét virus</w:t>
            </w:r>
          </w:p>
        </w:tc>
        <w:tc>
          <w:tcPr>
            <w:tcW w:type="dxa" w:w="2020"/>
            <w:vAlign w:val="center"/>
            <w:tcMar>
              <w:top w:w="100" w:type="dxa"/>
              <w:start w:w="120" w:type="dxa"/>
              <w:bottom w:w="100" w:type="dxa"/>
              <w:end w:w="120" w:type="dxa"/>
            </w:tcMar>
            <w:shd w:fill="F3F6F5"/>
          </w:tcPr>
          <w:p>
            <w:pPr>
              <w:spacing w:after="0"/>
              <w:jc w:val="right"/>
            </w:pPr>
            <w:r>
              <w:rPr>
                <w:rFonts w:ascii="Calibri" w:hAnsi="Calibri"/>
                <w:b w:val="0"/>
                <w:i w:val="0"/>
                <w:color w:val="17201D"/>
                <w:sz w:val="18"/>
              </w:rPr>
              <w:t>€5–20</w:t>
            </w:r>
          </w:p>
        </w:tc>
        <w:tc>
          <w:tcPr>
            <w:tcW w:type="dxa" w:w="2020"/>
            <w:vAlign w:val="center"/>
            <w:tcMar>
              <w:top w:w="100" w:type="dxa"/>
              <w:start w:w="120" w:type="dxa"/>
              <w:bottom w:w="100" w:type="dxa"/>
              <w:end w:w="120" w:type="dxa"/>
            </w:tcMar>
            <w:shd w:fill="F3F6F5"/>
          </w:tcPr>
          <w:p>
            <w:pPr>
              <w:spacing w:after="0"/>
              <w:jc w:val="right"/>
            </w:pPr>
            <w:r>
              <w:rPr>
                <w:rFonts w:ascii="Calibri" w:hAnsi="Calibri"/>
                <w:b w:val="0"/>
                <w:i w:val="0"/>
                <w:color w:val="17201D"/>
                <w:sz w:val="18"/>
              </w:rPr>
              <w:t>€10–30</w:t>
            </w:r>
          </w:p>
        </w:tc>
        <w:tc>
          <w:tcPr>
            <w:tcW w:type="dxa" w:w="2020"/>
            <w:vAlign w:val="center"/>
            <w:tcMar>
              <w:top w:w="100" w:type="dxa"/>
              <w:start w:w="120" w:type="dxa"/>
              <w:bottom w:w="100" w:type="dxa"/>
              <w:end w:w="120" w:type="dxa"/>
            </w:tcMar>
            <w:shd w:fill="F3F6F5"/>
          </w:tcPr>
          <w:p>
            <w:pPr>
              <w:spacing w:after="0"/>
              <w:jc w:val="right"/>
            </w:pPr>
            <w:r>
              <w:rPr>
                <w:rFonts w:ascii="Calibri" w:hAnsi="Calibri"/>
                <w:b w:val="0"/>
                <w:i w:val="0"/>
                <w:color w:val="17201D"/>
                <w:sz w:val="18"/>
              </w:rPr>
              <w:t>€15–40</w:t>
            </w:r>
          </w:p>
        </w:tc>
      </w:tr>
      <w:tr>
        <w:trPr>
          <w:cantSplit/>
        </w:trPr>
        <w:tc>
          <w:tcPr>
            <w:tcW w:type="dxa" w:w="3300"/>
            <w:vAlign w:val="center"/>
            <w:tcMar>
              <w:top w:w="100" w:type="dxa"/>
              <w:start w:w="120" w:type="dxa"/>
              <w:bottom w:w="100" w:type="dxa"/>
              <w:end w:w="120" w:type="dxa"/>
            </w:tcMar>
          </w:tcPr>
          <w:p>
            <w:pPr>
              <w:spacing w:after="0"/>
              <w:jc w:val="left"/>
            </w:pPr>
            <w:r>
              <w:rPr>
                <w:rFonts w:ascii="Calibri" w:hAnsi="Calibri"/>
                <w:b w:val="0"/>
                <w:i w:val="0"/>
                <w:color w:val="17201D"/>
                <w:sz w:val="18"/>
              </w:rPr>
              <w:t>Giám sát lỗi, log, cảnh báo</w:t>
            </w:r>
          </w:p>
        </w:tc>
        <w:tc>
          <w:tcPr>
            <w:tcW w:type="dxa" w:w="2020"/>
            <w:vAlign w:val="center"/>
            <w:tcMar>
              <w:top w:w="100" w:type="dxa"/>
              <w:start w:w="120" w:type="dxa"/>
              <w:bottom w:w="100" w:type="dxa"/>
              <w:end w:w="120" w:type="dxa"/>
            </w:tcMar>
          </w:tcPr>
          <w:p>
            <w:pPr>
              <w:spacing w:after="0"/>
              <w:jc w:val="right"/>
            </w:pPr>
            <w:r>
              <w:rPr>
                <w:rFonts w:ascii="Calibri" w:hAnsi="Calibri"/>
                <w:b w:val="0"/>
                <w:i w:val="0"/>
                <w:color w:val="17201D"/>
                <w:sz w:val="18"/>
              </w:rPr>
              <w:t>€25–60</w:t>
            </w:r>
          </w:p>
        </w:tc>
        <w:tc>
          <w:tcPr>
            <w:tcW w:type="dxa" w:w="2020"/>
            <w:vAlign w:val="center"/>
            <w:tcMar>
              <w:top w:w="100" w:type="dxa"/>
              <w:start w:w="120" w:type="dxa"/>
              <w:bottom w:w="100" w:type="dxa"/>
              <w:end w:w="120" w:type="dxa"/>
            </w:tcMar>
          </w:tcPr>
          <w:p>
            <w:pPr>
              <w:spacing w:after="0"/>
              <w:jc w:val="right"/>
            </w:pPr>
            <w:r>
              <w:rPr>
                <w:rFonts w:ascii="Calibri" w:hAnsi="Calibri"/>
                <w:b w:val="0"/>
                <w:i w:val="0"/>
                <w:color w:val="17201D"/>
                <w:sz w:val="18"/>
              </w:rPr>
              <w:t>€30–80</w:t>
            </w:r>
          </w:p>
        </w:tc>
        <w:tc>
          <w:tcPr>
            <w:tcW w:type="dxa" w:w="2020"/>
            <w:vAlign w:val="center"/>
            <w:tcMar>
              <w:top w:w="100" w:type="dxa"/>
              <w:start w:w="120" w:type="dxa"/>
              <w:bottom w:w="100" w:type="dxa"/>
              <w:end w:w="120" w:type="dxa"/>
            </w:tcMar>
          </w:tcPr>
          <w:p>
            <w:pPr>
              <w:spacing w:after="0"/>
              <w:jc w:val="right"/>
            </w:pPr>
            <w:r>
              <w:rPr>
                <w:rFonts w:ascii="Calibri" w:hAnsi="Calibri"/>
                <w:b w:val="0"/>
                <w:i w:val="0"/>
                <w:color w:val="17201D"/>
                <w:sz w:val="18"/>
              </w:rPr>
              <w:t>€40–100</w:t>
            </w:r>
          </w:p>
        </w:tc>
      </w:tr>
      <w:tr>
        <w:trPr>
          <w:cantSplit/>
        </w:trPr>
        <w:tc>
          <w:tcPr>
            <w:tcW w:type="dxa" w:w="3300"/>
            <w:vAlign w:val="center"/>
            <w:tcMar>
              <w:top w:w="100" w:type="dxa"/>
              <w:start w:w="120" w:type="dxa"/>
              <w:bottom w:w="100" w:type="dxa"/>
              <w:end w:w="120" w:type="dxa"/>
            </w:tcMar>
            <w:shd w:fill="F3F6F5"/>
          </w:tcPr>
          <w:p>
            <w:pPr>
              <w:spacing w:after="0"/>
              <w:jc w:val="left"/>
            </w:pPr>
            <w:r>
              <w:rPr>
                <w:rFonts w:ascii="Calibri" w:hAnsi="Calibri"/>
                <w:b w:val="0"/>
                <w:i w:val="0"/>
                <w:color w:val="17201D"/>
                <w:sz w:val="18"/>
              </w:rPr>
              <w:t>AI: review và hợp đồng</w:t>
            </w:r>
          </w:p>
        </w:tc>
        <w:tc>
          <w:tcPr>
            <w:tcW w:type="dxa" w:w="2020"/>
            <w:vAlign w:val="center"/>
            <w:tcMar>
              <w:top w:w="100" w:type="dxa"/>
              <w:start w:w="120" w:type="dxa"/>
              <w:bottom w:w="100" w:type="dxa"/>
              <w:end w:w="120" w:type="dxa"/>
            </w:tcMar>
            <w:shd w:fill="F3F6F5"/>
          </w:tcPr>
          <w:p>
            <w:pPr>
              <w:spacing w:after="0"/>
              <w:jc w:val="right"/>
            </w:pPr>
            <w:r>
              <w:rPr>
                <w:rFonts w:ascii="Calibri" w:hAnsi="Calibri"/>
                <w:b w:val="0"/>
                <w:i w:val="0"/>
                <w:color w:val="17201D"/>
                <w:sz w:val="18"/>
              </w:rPr>
              <w:t>€5–20</w:t>
            </w:r>
          </w:p>
        </w:tc>
        <w:tc>
          <w:tcPr>
            <w:tcW w:type="dxa" w:w="2020"/>
            <w:vAlign w:val="center"/>
            <w:tcMar>
              <w:top w:w="100" w:type="dxa"/>
              <w:start w:w="120" w:type="dxa"/>
              <w:bottom w:w="100" w:type="dxa"/>
              <w:end w:w="120" w:type="dxa"/>
            </w:tcMar>
            <w:shd w:fill="F3F6F5"/>
          </w:tcPr>
          <w:p>
            <w:pPr>
              <w:spacing w:after="0"/>
              <w:jc w:val="right"/>
            </w:pPr>
            <w:r>
              <w:rPr>
                <w:rFonts w:ascii="Calibri" w:hAnsi="Calibri"/>
                <w:b w:val="0"/>
                <w:i w:val="0"/>
                <w:color w:val="17201D"/>
                <w:sz w:val="18"/>
              </w:rPr>
              <w:t>€10–40</w:t>
            </w:r>
          </w:p>
        </w:tc>
        <w:tc>
          <w:tcPr>
            <w:tcW w:type="dxa" w:w="2020"/>
            <w:vAlign w:val="center"/>
            <w:tcMar>
              <w:top w:w="100" w:type="dxa"/>
              <w:start w:w="120" w:type="dxa"/>
              <w:bottom w:w="100" w:type="dxa"/>
              <w:end w:w="120" w:type="dxa"/>
            </w:tcMar>
            <w:shd w:fill="F3F6F5"/>
          </w:tcPr>
          <w:p>
            <w:pPr>
              <w:spacing w:after="0"/>
              <w:jc w:val="right"/>
            </w:pPr>
            <w:r>
              <w:rPr>
                <w:rFonts w:ascii="Calibri" w:hAnsi="Calibri"/>
                <w:b w:val="0"/>
                <w:i w:val="0"/>
                <w:color w:val="17201D"/>
                <w:sz w:val="18"/>
              </w:rPr>
              <w:t>€15–50</w:t>
            </w:r>
          </w:p>
        </w:tc>
      </w:tr>
      <w:tr>
        <w:trPr>
          <w:cantSplit/>
        </w:trPr>
        <w:tc>
          <w:tcPr>
            <w:tcW w:type="dxa" w:w="3300"/>
            <w:vAlign w:val="center"/>
            <w:tcMar>
              <w:top w:w="100" w:type="dxa"/>
              <w:start w:w="120" w:type="dxa"/>
              <w:bottom w:w="100" w:type="dxa"/>
              <w:end w:w="120" w:type="dxa"/>
            </w:tcMar>
          </w:tcPr>
          <w:p>
            <w:pPr>
              <w:spacing w:after="0"/>
              <w:jc w:val="left"/>
            </w:pPr>
            <w:r>
              <w:rPr>
                <w:rFonts w:ascii="Calibri" w:hAnsi="Calibri"/>
                <w:b w:val="0"/>
                <w:i w:val="0"/>
                <w:color w:val="17201D"/>
                <w:sz w:val="18"/>
              </w:rPr>
              <w:t>Backup và chi phí phụ</w:t>
            </w:r>
          </w:p>
        </w:tc>
        <w:tc>
          <w:tcPr>
            <w:tcW w:type="dxa" w:w="2020"/>
            <w:vAlign w:val="center"/>
            <w:tcMar>
              <w:top w:w="100" w:type="dxa"/>
              <w:start w:w="120" w:type="dxa"/>
              <w:bottom w:w="100" w:type="dxa"/>
              <w:end w:w="120" w:type="dxa"/>
            </w:tcMar>
          </w:tcPr>
          <w:p>
            <w:pPr>
              <w:spacing w:after="0"/>
              <w:jc w:val="right"/>
            </w:pPr>
            <w:r>
              <w:rPr>
                <w:rFonts w:ascii="Calibri" w:hAnsi="Calibri"/>
                <w:b w:val="0"/>
                <w:i w:val="0"/>
                <w:color w:val="17201D"/>
                <w:sz w:val="18"/>
              </w:rPr>
              <w:t>€20–50</w:t>
            </w:r>
          </w:p>
        </w:tc>
        <w:tc>
          <w:tcPr>
            <w:tcW w:type="dxa" w:w="2020"/>
            <w:vAlign w:val="center"/>
            <w:tcMar>
              <w:top w:w="100" w:type="dxa"/>
              <w:start w:w="120" w:type="dxa"/>
              <w:bottom w:w="100" w:type="dxa"/>
              <w:end w:w="120" w:type="dxa"/>
            </w:tcMar>
          </w:tcPr>
          <w:p>
            <w:pPr>
              <w:spacing w:after="0"/>
              <w:jc w:val="right"/>
            </w:pPr>
            <w:r>
              <w:rPr>
                <w:rFonts w:ascii="Calibri" w:hAnsi="Calibri"/>
                <w:b w:val="0"/>
                <w:i w:val="0"/>
                <w:color w:val="17201D"/>
                <w:sz w:val="18"/>
              </w:rPr>
              <w:t>€30–70</w:t>
            </w:r>
          </w:p>
        </w:tc>
        <w:tc>
          <w:tcPr>
            <w:tcW w:type="dxa" w:w="2020"/>
            <w:vAlign w:val="center"/>
            <w:tcMar>
              <w:top w:w="100" w:type="dxa"/>
              <w:start w:w="120" w:type="dxa"/>
              <w:bottom w:w="100" w:type="dxa"/>
              <w:end w:w="120" w:type="dxa"/>
            </w:tcMar>
          </w:tcPr>
          <w:p>
            <w:pPr>
              <w:spacing w:after="0"/>
              <w:jc w:val="right"/>
            </w:pPr>
            <w:r>
              <w:rPr>
                <w:rFonts w:ascii="Calibri" w:hAnsi="Calibri"/>
                <w:b w:val="0"/>
                <w:i w:val="0"/>
                <w:color w:val="17201D"/>
                <w:sz w:val="18"/>
              </w:rPr>
              <w:t>€40–90</w:t>
            </w:r>
          </w:p>
        </w:tc>
      </w:tr>
      <w:tr>
        <w:trPr>
          <w:cantSplit/>
        </w:trPr>
        <w:tc>
          <w:tcPr>
            <w:tcW w:type="dxa" w:w="3300"/>
            <w:vAlign w:val="center"/>
            <w:tcMar>
              <w:top w:w="100" w:type="dxa"/>
              <w:start w:w="120" w:type="dxa"/>
              <w:bottom w:w="100" w:type="dxa"/>
              <w:end w:w="120" w:type="dxa"/>
            </w:tcMar>
            <w:shd w:fill="F3F6F5"/>
          </w:tcPr>
          <w:p>
            <w:pPr>
              <w:spacing w:after="0"/>
              <w:jc w:val="left"/>
            </w:pPr>
            <w:r>
              <w:rPr>
                <w:rFonts w:ascii="Calibri" w:hAnsi="Calibri"/>
                <w:b w:val="0"/>
                <w:i w:val="0"/>
                <w:color w:val="17201D"/>
                <w:sz w:val="18"/>
              </w:rPr>
              <w:t>Dự phòng tăng tải</w:t>
            </w:r>
          </w:p>
        </w:tc>
        <w:tc>
          <w:tcPr>
            <w:tcW w:type="dxa" w:w="2020"/>
            <w:vAlign w:val="center"/>
            <w:tcMar>
              <w:top w:w="100" w:type="dxa"/>
              <w:start w:w="120" w:type="dxa"/>
              <w:bottom w:w="100" w:type="dxa"/>
              <w:end w:w="120" w:type="dxa"/>
            </w:tcMar>
            <w:shd w:fill="F3F6F5"/>
          </w:tcPr>
          <w:p>
            <w:pPr>
              <w:spacing w:after="0"/>
              <w:jc w:val="right"/>
            </w:pPr>
            <w:r>
              <w:rPr>
                <w:rFonts w:ascii="Calibri" w:hAnsi="Calibri"/>
                <w:b w:val="0"/>
                <w:i w:val="0"/>
                <w:color w:val="17201D"/>
                <w:sz w:val="18"/>
              </w:rPr>
              <w:t>€50–105</w:t>
            </w:r>
          </w:p>
        </w:tc>
        <w:tc>
          <w:tcPr>
            <w:tcW w:type="dxa" w:w="2020"/>
            <w:vAlign w:val="center"/>
            <w:tcMar>
              <w:top w:w="100" w:type="dxa"/>
              <w:start w:w="120" w:type="dxa"/>
              <w:bottom w:w="100" w:type="dxa"/>
              <w:end w:w="120" w:type="dxa"/>
            </w:tcMar>
            <w:shd w:fill="F3F6F5"/>
          </w:tcPr>
          <w:p>
            <w:pPr>
              <w:spacing w:after="0"/>
              <w:jc w:val="right"/>
            </w:pPr>
            <w:r>
              <w:rPr>
                <w:rFonts w:ascii="Calibri" w:hAnsi="Calibri"/>
                <w:b w:val="0"/>
                <w:i w:val="0"/>
                <w:color w:val="17201D"/>
                <w:sz w:val="18"/>
              </w:rPr>
              <w:t>€110–180</w:t>
            </w:r>
          </w:p>
        </w:tc>
        <w:tc>
          <w:tcPr>
            <w:tcW w:type="dxa" w:w="2020"/>
            <w:vAlign w:val="center"/>
            <w:tcMar>
              <w:top w:w="100" w:type="dxa"/>
              <w:start w:w="120" w:type="dxa"/>
              <w:bottom w:w="100" w:type="dxa"/>
              <w:end w:w="120" w:type="dxa"/>
            </w:tcMar>
            <w:shd w:fill="F3F6F5"/>
          </w:tcPr>
          <w:p>
            <w:pPr>
              <w:spacing w:after="0"/>
              <w:jc w:val="right"/>
            </w:pPr>
            <w:r>
              <w:rPr>
                <w:rFonts w:ascii="Calibri" w:hAnsi="Calibri"/>
                <w:b w:val="0"/>
                <w:i w:val="0"/>
                <w:color w:val="17201D"/>
                <w:sz w:val="18"/>
              </w:rPr>
              <w:t>€125–220</w:t>
            </w:r>
          </w:p>
        </w:tc>
      </w:tr>
      <w:tr>
        <w:trPr>
          <w:cantSplit/>
        </w:trPr>
        <w:tc>
          <w:tcPr>
            <w:tcW w:type="dxa" w:w="3300"/>
            <w:vAlign w:val="center"/>
            <w:tcMar>
              <w:top w:w="100" w:type="dxa"/>
              <w:start w:w="120" w:type="dxa"/>
              <w:bottom w:w="100" w:type="dxa"/>
              <w:end w:w="120" w:type="dxa"/>
            </w:tcMar>
            <w:shd w:fill="EAF5F1"/>
          </w:tcPr>
          <w:p>
            <w:pPr>
              <w:spacing w:after="0"/>
              <w:jc w:val="left"/>
            </w:pPr>
            <w:r>
              <w:rPr>
                <w:rFonts w:ascii="Calibri" w:hAnsi="Calibri"/>
                <w:b/>
                <w:i w:val="0"/>
                <w:color w:val="153B32"/>
                <w:sz w:val="18"/>
              </w:rPr>
              <w:t>Tổng dự kiến</w:t>
            </w:r>
          </w:p>
        </w:tc>
        <w:tc>
          <w:tcPr>
            <w:tcW w:type="dxa" w:w="2020"/>
            <w:vAlign w:val="center"/>
            <w:tcMar>
              <w:top w:w="100" w:type="dxa"/>
              <w:start w:w="120" w:type="dxa"/>
              <w:bottom w:w="100" w:type="dxa"/>
              <w:end w:w="120" w:type="dxa"/>
            </w:tcMar>
            <w:shd w:fill="EAF5F1"/>
          </w:tcPr>
          <w:p>
            <w:pPr>
              <w:spacing w:after="0"/>
              <w:jc w:val="right"/>
            </w:pPr>
            <w:r>
              <w:rPr>
                <w:rFonts w:ascii="Calibri" w:hAnsi="Calibri"/>
                <w:b/>
                <w:i w:val="0"/>
                <w:color w:val="153B32"/>
                <w:sz w:val="18"/>
              </w:rPr>
              <w:t>€250–500</w:t>
            </w:r>
          </w:p>
        </w:tc>
        <w:tc>
          <w:tcPr>
            <w:tcW w:type="dxa" w:w="2020"/>
            <w:vAlign w:val="center"/>
            <w:tcMar>
              <w:top w:w="100" w:type="dxa"/>
              <w:start w:w="120" w:type="dxa"/>
              <w:bottom w:w="100" w:type="dxa"/>
              <w:end w:w="120" w:type="dxa"/>
            </w:tcMar>
            <w:shd w:fill="EAF5F1"/>
          </w:tcPr>
          <w:p>
            <w:pPr>
              <w:spacing w:after="0"/>
              <w:jc w:val="right"/>
            </w:pPr>
            <w:r>
              <w:rPr>
                <w:rFonts w:ascii="Calibri" w:hAnsi="Calibri"/>
                <w:b/>
                <w:i w:val="0"/>
                <w:color w:val="153B32"/>
                <w:sz w:val="18"/>
              </w:rPr>
              <w:t>€400–800</w:t>
            </w:r>
          </w:p>
        </w:tc>
        <w:tc>
          <w:tcPr>
            <w:tcW w:type="dxa" w:w="2020"/>
            <w:vAlign w:val="center"/>
            <w:tcMar>
              <w:top w:w="100" w:type="dxa"/>
              <w:start w:w="120" w:type="dxa"/>
              <w:bottom w:w="100" w:type="dxa"/>
              <w:end w:w="120" w:type="dxa"/>
            </w:tcMar>
            <w:shd w:fill="EAF5F1"/>
          </w:tcPr>
          <w:p>
            <w:pPr>
              <w:spacing w:after="0"/>
              <w:jc w:val="right"/>
            </w:pPr>
            <w:r>
              <w:rPr>
                <w:rFonts w:ascii="Calibri" w:hAnsi="Calibri"/>
                <w:b/>
                <w:i w:val="0"/>
                <w:color w:val="153B32"/>
                <w:sz w:val="18"/>
              </w:rPr>
              <w:t>€500–1.000</w:t>
            </w:r>
          </w:p>
        </w:tc>
      </w:tr>
    </w:tbl>
    <w:p>
      <w:pPr>
        <w:pStyle w:val="Heading1"/>
        <w:keepNext/>
      </w:pPr>
      <w:r>
        <w:t>6. Diễn giải kinh tế đơn vị</w:t>
      </w:r>
    </w:p>
    <w:p>
      <w:pPr>
        <w:spacing w:after="120"/>
      </w:pPr>
      <w:r>
        <w:rPr>
          <w:rFonts w:ascii="Calibri" w:hAnsi="Calibri"/>
          <w:b w:val="0"/>
          <w:i w:val="0"/>
          <w:color w:val="17201D"/>
          <w:sz w:val="22"/>
        </w:rPr>
        <w:t>Chi phí cloud trên mỗi nhà hàng giảm từ khoảng €6–12,5 ở mốc 40 nhà hàng xuống khoảng €5–10 ở mốc 80–100 nhà hàng. Điều này phản ánh khả năng dùng chung hosting, database, monitoring và các service trung tâm.</w:t>
      </w:r>
    </w:p>
    <w:p>
      <w:pPr>
        <w:spacing w:after="120"/>
      </w:pPr>
      <w:r>
        <w:rPr>
          <w:rFonts w:ascii="Calibri" w:hAnsi="Calibri"/>
          <w:b w:val="0"/>
          <w:i w:val="0"/>
          <w:color w:val="17201D"/>
          <w:sz w:val="22"/>
        </w:rPr>
        <w:t>Ở mốc 100 nhà hàng, doanh thu chỉ cần cao hơn €10 mỗi nhà hàng mỗi tháng là đã vượt chi phí hạ tầng kỹ thuật trực tiếp trong mô hình cơ sở. Tuy nhiên, đây không phải biên lợi nhuận: chi phí hỗ trợ, bán hàng, onboarding, phần cứng, pháp lý và nhân sự vẫn phải được tính riêng.</w:t>
      </w:r>
    </w:p>
    <w:tbl>
      <w:tblPr>
        <w:tblW w:type="dxa" w:w="9360"/>
        <w:jc w:val="left"/>
        <w:tblLayout w:type="fixed"/>
        <w:tblLook w:firstColumn="1" w:firstRow="1" w:lastColumn="0" w:lastRow="0" w:noHBand="0" w:noVBand="1" w:val="04A0"/>
        <w:tblInd w:w="120" w:type="dxa"/>
        <w:tblBorders>
          <w:top w:val="single" w:sz="0" w:color="EAF5F1"/>
          <w:left w:val="single" w:sz="0" w:color="EAF5F1"/>
          <w:bottom w:val="single" w:sz="0" w:color="EAF5F1"/>
          <w:right w:val="single" w:sz="0" w:color="EAF5F1"/>
          <w:insideH w:val="single" w:sz="0" w:color="EAF5F1"/>
          <w:insideV w:val="single" w:sz="0" w:color="EAF5F1"/>
        </w:tblBorders>
      </w:tblPr>
      <w:tblGrid>
        <w:gridCol w:w="9360"/>
      </w:tblGrid>
      <w:tr>
        <w:trPr>
          <w:cantSplit/>
        </w:trPr>
        <w:tc>
          <w:tcPr>
            <w:tcW w:type="dxa" w:w="9360"/>
            <w:vAlign w:val="center"/>
            <w:tcMar>
              <w:top w:w="180" w:type="dxa"/>
              <w:start w:w="220" w:type="dxa"/>
              <w:bottom w:w="180" w:type="dxa"/>
              <w:end w:w="220" w:type="dxa"/>
            </w:tcMar>
            <w:shd w:fill="EAF5F1"/>
          </w:tcPr>
          <w:p>
            <w:pPr>
              <w:spacing w:after="0"/>
            </w:pPr>
            <w:r>
              <w:rPr>
                <w:rFonts w:ascii="Calibri" w:hAnsi="Calibri"/>
                <w:b/>
                <w:i w:val="0"/>
                <w:color w:val="153B32"/>
                <w:sz w:val="22"/>
              </w:rPr>
              <w:t xml:space="preserve">ĐIỂM QUAN TRỌNG CHO NHÀ ĐẦU TƯ  </w:t>
            </w:r>
            <w:r>
              <w:rPr>
                <w:rFonts w:ascii="Calibri" w:hAnsi="Calibri"/>
                <w:b w:val="0"/>
                <w:i w:val="0"/>
                <w:color w:val="17201D"/>
                <w:sz w:val="22"/>
              </w:rPr>
              <w:t>Rủi ro tài chính chính không nằm ở token AI hay dung lượng file. Các yếu tố dễ làm tăng chi phí hơn là SMS, hỗ trợ vận hành, yêu cầu Enterprise và phần cứng tại nhà hàng.</w:t>
            </w:r>
          </w:p>
        </w:tc>
      </w:tr>
    </w:tbl>
    <w:p>
      <w:pPr>
        <w:spacing w:after="0"/>
      </w:pPr>
    </w:p>
    <w:p>
      <w:pPr>
        <w:pStyle w:val="Heading1"/>
        <w:keepNext/>
      </w:pPr>
      <w:r>
        <w:t>7. Các khoản có thể làm thay đổi đáng kể ngân sách</w:t>
      </w:r>
    </w:p>
    <w:p>
      <w:pPr>
        <w:pStyle w:val="Heading2"/>
        <w:keepNext/>
      </w:pPr>
      <w:r>
        <w:t>7.1 SMS nhắc đặt bàn</w:t>
      </w:r>
    </w:p>
    <w:p>
      <w:pPr>
        <w:spacing w:after="120"/>
      </w:pPr>
      <w:r>
        <w:rPr>
          <w:rFonts w:ascii="Calibri" w:hAnsi="Calibri"/>
          <w:b w:val="0"/>
          <w:i w:val="0"/>
          <w:color w:val="17201D"/>
          <w:sz w:val="22"/>
        </w:rPr>
        <w:t>Nếu mỗi nhà hàng gửi 500 SMS mỗi tháng và chi phí giả định là €0,05–0,10 cho mỗi tin, SMS sẽ bổ sung khoảng €1.000–2.000/tháng ở 40 nhà hàng, €2.000–4.000 ở 80 nhà hàng và €2.500–5.000 ở 100 nhà hàng.</w:t>
      </w:r>
    </w:p>
    <w:p>
      <w:pPr>
        <w:spacing w:after="120"/>
      </w:pPr>
      <w:r>
        <w:rPr>
          <w:rFonts w:ascii="Calibri" w:hAnsi="Calibri"/>
          <w:b w:val="0"/>
          <w:i w:val="0"/>
          <w:color w:val="17201D"/>
          <w:sz w:val="22"/>
        </w:rPr>
        <w:t>Vì vậy SMS nên được bán như add-on hoặc theo quota, không nên để sử dụng không giới hạn trong gói cơ bản.</w:t>
      </w:r>
    </w:p>
    <w:p>
      <w:pPr>
        <w:pStyle w:val="Heading2"/>
        <w:keepNext/>
      </w:pPr>
      <w:r>
        <w:t>7.2 Production tăng cường</w:t>
      </w:r>
    </w:p>
    <w:tbl>
      <w:tblPr>
        <w:tblW w:type="dxa" w:w="9360"/>
        <w:jc w:val="left"/>
        <w:tblLayout w:type="fixed"/>
        <w:tblLook w:firstColumn="1" w:firstRow="1" w:lastColumn="0" w:lastRow="0" w:noHBand="0" w:noVBand="1" w:val="04A0"/>
        <w:tblInd w:w="120" w:type="dxa"/>
        <w:tblBorders>
          <w:top w:val="single" w:sz="6" w:color="CDD8D4"/>
          <w:left w:val="single" w:sz="6" w:color="CDD8D4"/>
          <w:bottom w:val="single" w:sz="6" w:color="CDD8D4"/>
          <w:right w:val="single" w:sz="6" w:color="CDD8D4"/>
          <w:insideH w:val="single" w:sz="6" w:color="CDD8D4"/>
          <w:insideV w:val="single" w:sz="6" w:color="CDD8D4"/>
        </w:tblBorders>
      </w:tblPr>
      <w:tblGrid>
        <w:gridCol w:w="3600"/>
        <w:gridCol w:w="5760"/>
      </w:tblGrid>
      <w:tr>
        <w:trPr>
          <w:cantSplit/>
          <w:tblHeader w:val="true"/>
        </w:trPr>
        <w:tc>
          <w:tcPr>
            <w:tcW w:type="dxa" w:w="3600"/>
            <w:vAlign w:val="center"/>
            <w:tcMar>
              <w:top w:w="100" w:type="dxa"/>
              <w:start w:w="120" w:type="dxa"/>
              <w:bottom w:w="100" w:type="dxa"/>
              <w:end w:w="120" w:type="dxa"/>
            </w:tcMar>
            <w:shd w:fill="153B32"/>
          </w:tcPr>
          <w:p>
            <w:pPr>
              <w:spacing w:after="0"/>
              <w:jc w:val="left"/>
            </w:pPr>
            <w:r>
              <w:rPr>
                <w:rFonts w:ascii="Calibri" w:hAnsi="Calibri"/>
                <w:b/>
                <w:i w:val="0"/>
                <w:color w:val="FFFFFF"/>
                <w:sz w:val="18"/>
              </w:rPr>
              <w:t>Quy mô</w:t>
            </w:r>
          </w:p>
        </w:tc>
        <w:tc>
          <w:tcPr>
            <w:tcW w:type="dxa" w:w="5760"/>
            <w:vAlign w:val="center"/>
            <w:tcMar>
              <w:top w:w="100" w:type="dxa"/>
              <w:start w:w="120" w:type="dxa"/>
              <w:bottom w:w="100" w:type="dxa"/>
              <w:end w:w="120" w:type="dxa"/>
            </w:tcMar>
            <w:shd w:fill="153B32"/>
          </w:tcPr>
          <w:p>
            <w:pPr>
              <w:spacing w:after="0"/>
              <w:jc w:val="right"/>
            </w:pPr>
            <w:r>
              <w:rPr>
                <w:rFonts w:ascii="Calibri" w:hAnsi="Calibri"/>
                <w:b/>
                <w:i w:val="0"/>
                <w:color w:val="FFFFFF"/>
                <w:sz w:val="18"/>
              </w:rPr>
              <w:t>Ngân sách production tăng cường</w:t>
            </w:r>
          </w:p>
        </w:tc>
      </w:tr>
      <w:tr>
        <w:trPr>
          <w:cantSplit/>
        </w:trPr>
        <w:tc>
          <w:tcPr>
            <w:tcW w:type="dxa" w:w="3600"/>
            <w:vAlign w:val="center"/>
            <w:tcMar>
              <w:top w:w="100" w:type="dxa"/>
              <w:start w:w="120" w:type="dxa"/>
              <w:bottom w:w="100" w:type="dxa"/>
              <w:end w:w="120" w:type="dxa"/>
            </w:tcMar>
          </w:tcPr>
          <w:p>
            <w:pPr>
              <w:spacing w:after="0"/>
              <w:jc w:val="left"/>
            </w:pPr>
            <w:r>
              <w:rPr>
                <w:rFonts w:ascii="Calibri" w:hAnsi="Calibri"/>
                <w:b w:val="0"/>
                <w:i w:val="0"/>
                <w:color w:val="17201D"/>
                <w:sz w:val="18"/>
              </w:rPr>
              <w:t>40 nhà hàng</w:t>
            </w:r>
          </w:p>
        </w:tc>
        <w:tc>
          <w:tcPr>
            <w:tcW w:type="dxa" w:w="5760"/>
            <w:vAlign w:val="center"/>
            <w:tcMar>
              <w:top w:w="100" w:type="dxa"/>
              <w:start w:w="120" w:type="dxa"/>
              <w:bottom w:w="100" w:type="dxa"/>
              <w:end w:w="120" w:type="dxa"/>
            </w:tcMar>
          </w:tcPr>
          <w:p>
            <w:pPr>
              <w:spacing w:after="0"/>
              <w:jc w:val="right"/>
            </w:pPr>
            <w:r>
              <w:rPr>
                <w:rFonts w:ascii="Calibri" w:hAnsi="Calibri"/>
                <w:b w:val="0"/>
                <w:i w:val="0"/>
                <w:color w:val="17201D"/>
                <w:sz w:val="18"/>
              </w:rPr>
              <w:t>€900–1.300/tháng</w:t>
            </w:r>
          </w:p>
        </w:tc>
      </w:tr>
      <w:tr>
        <w:trPr>
          <w:cantSplit/>
        </w:trPr>
        <w:tc>
          <w:tcPr>
            <w:tcW w:type="dxa" w:w="3600"/>
            <w:vAlign w:val="center"/>
            <w:tcMar>
              <w:top w:w="100" w:type="dxa"/>
              <w:start w:w="120" w:type="dxa"/>
              <w:bottom w:w="100" w:type="dxa"/>
              <w:end w:w="120" w:type="dxa"/>
            </w:tcMar>
            <w:shd w:fill="F3F6F5"/>
          </w:tcPr>
          <w:p>
            <w:pPr>
              <w:spacing w:after="0"/>
              <w:jc w:val="left"/>
            </w:pPr>
            <w:r>
              <w:rPr>
                <w:rFonts w:ascii="Calibri" w:hAnsi="Calibri"/>
                <w:b w:val="0"/>
                <w:i w:val="0"/>
                <w:color w:val="17201D"/>
                <w:sz w:val="18"/>
              </w:rPr>
              <w:t>80 nhà hàng</w:t>
            </w:r>
          </w:p>
        </w:tc>
        <w:tc>
          <w:tcPr>
            <w:tcW w:type="dxa" w:w="5760"/>
            <w:vAlign w:val="center"/>
            <w:tcMar>
              <w:top w:w="100" w:type="dxa"/>
              <w:start w:w="120" w:type="dxa"/>
              <w:bottom w:w="100" w:type="dxa"/>
              <w:end w:w="120" w:type="dxa"/>
            </w:tcMar>
            <w:shd w:fill="F3F6F5"/>
          </w:tcPr>
          <w:p>
            <w:pPr>
              <w:spacing w:after="0"/>
              <w:jc w:val="right"/>
            </w:pPr>
            <w:r>
              <w:rPr>
                <w:rFonts w:ascii="Calibri" w:hAnsi="Calibri"/>
                <w:b w:val="0"/>
                <w:i w:val="0"/>
                <w:color w:val="17201D"/>
                <w:sz w:val="18"/>
              </w:rPr>
              <w:t>€1.050–1.550/tháng</w:t>
            </w:r>
          </w:p>
        </w:tc>
      </w:tr>
      <w:tr>
        <w:trPr>
          <w:cantSplit/>
        </w:trPr>
        <w:tc>
          <w:tcPr>
            <w:tcW w:type="dxa" w:w="3600"/>
            <w:vAlign w:val="center"/>
            <w:tcMar>
              <w:top w:w="100" w:type="dxa"/>
              <w:start w:w="120" w:type="dxa"/>
              <w:bottom w:w="100" w:type="dxa"/>
              <w:end w:w="120" w:type="dxa"/>
            </w:tcMar>
          </w:tcPr>
          <w:p>
            <w:pPr>
              <w:spacing w:after="0"/>
              <w:jc w:val="left"/>
            </w:pPr>
            <w:r>
              <w:rPr>
                <w:rFonts w:ascii="Calibri" w:hAnsi="Calibri"/>
                <w:b w:val="0"/>
                <w:i w:val="0"/>
                <w:color w:val="17201D"/>
                <w:sz w:val="18"/>
              </w:rPr>
              <w:t>100 nhà hàng</w:t>
            </w:r>
          </w:p>
        </w:tc>
        <w:tc>
          <w:tcPr>
            <w:tcW w:type="dxa" w:w="5760"/>
            <w:vAlign w:val="center"/>
            <w:tcMar>
              <w:top w:w="100" w:type="dxa"/>
              <w:start w:w="120" w:type="dxa"/>
              <w:bottom w:w="100" w:type="dxa"/>
              <w:end w:w="120" w:type="dxa"/>
            </w:tcMar>
          </w:tcPr>
          <w:p>
            <w:pPr>
              <w:spacing w:after="0"/>
              <w:jc w:val="right"/>
            </w:pPr>
            <w:r>
              <w:rPr>
                <w:rFonts w:ascii="Calibri" w:hAnsi="Calibri"/>
                <w:b w:val="0"/>
                <w:i w:val="0"/>
                <w:color w:val="17201D"/>
                <w:sz w:val="18"/>
              </w:rPr>
              <w:t>€1.150–1.800/tháng</w:t>
            </w:r>
          </w:p>
        </w:tc>
      </w:tr>
    </w:tbl>
    <w:p>
      <w:pPr>
        <w:spacing w:after="120"/>
      </w:pPr>
      <w:r>
        <w:rPr>
          <w:rFonts w:ascii="Calibri" w:hAnsi="Calibri"/>
          <w:b w:val="0"/>
          <w:i w:val="0"/>
          <w:color w:val="17201D"/>
          <w:sz w:val="22"/>
        </w:rPr>
        <w:t>Mức này phù hợp khi hợp đồng khách hàng yêu cầu SLA, private networking, thời gian khôi phục dài, hỗ trợ ưu tiên hoặc kiểm soát bảo mật nâng cao. YUTA chưa cần mua toàn bộ mức Enterprise trước khi nhu cầu thương mại thực tế xuất hiện.</w:t>
      </w:r>
    </w:p>
    <w:p>
      <w:pPr>
        <w:pStyle w:val="Heading2"/>
        <w:keepNext/>
      </w:pPr>
      <w:r>
        <w:t>7.3 Các khoản nằm ngoài mô hình</w:t>
      </w:r>
    </w:p>
    <w:p>
      <w:pPr>
        <w:pStyle w:val="ListBullet"/>
      </w:pPr>
      <w:r>
        <w:rPr>
          <w:rFonts w:ascii="Calibri" w:hAnsi="Calibri"/>
          <w:b w:val="0"/>
          <w:i w:val="0"/>
          <w:color w:val="17201D"/>
          <w:sz w:val="22"/>
        </w:rPr>
        <w:t>Thiết bị tại nhà hàng, máy in, màn hình, UPS, router, lắp đặt và bảo trì tại chỗ.</w:t>
      </w:r>
    </w:p>
    <w:p>
      <w:pPr>
        <w:pStyle w:val="ListBullet"/>
      </w:pPr>
      <w:r>
        <w:rPr>
          <w:rFonts w:ascii="Calibri" w:hAnsi="Calibri"/>
          <w:b w:val="0"/>
          <w:i w:val="0"/>
          <w:color w:val="17201D"/>
          <w:sz w:val="22"/>
        </w:rPr>
        <w:t>Nhân sự kỹ thuật, chăm sóc khách hàng, trực sự cố, bán hàng, kế toán, pháp lý và DPO.</w:t>
      </w:r>
    </w:p>
    <w:p>
      <w:pPr>
        <w:pStyle w:val="ListBullet"/>
      </w:pPr>
      <w:r>
        <w:rPr>
          <w:rFonts w:ascii="Calibri" w:hAnsi="Calibri"/>
          <w:b w:val="0"/>
          <w:i w:val="0"/>
          <w:color w:val="17201D"/>
          <w:sz w:val="22"/>
        </w:rPr>
        <w:t>Chi phí tạo nhiều hình ảnh AI chất lượng cao hoặc các chiến dịch marketing lớn.</w:t>
      </w:r>
    </w:p>
    <w:p>
      <w:pPr>
        <w:pStyle w:val="ListBullet"/>
      </w:pPr>
      <w:r>
        <w:rPr>
          <w:rFonts w:ascii="Calibri" w:hAnsi="Calibri"/>
          <w:b w:val="0"/>
          <w:i w:val="0"/>
          <w:color w:val="17201D"/>
          <w:sz w:val="22"/>
        </w:rPr>
        <w:t>Chi phí thay đổi do tỷ giá, thuế, vùng lưu trữ hoặc hợp đồng nhà cung cấp.</w:t>
      </w:r>
    </w:p>
    <w:p>
      <w:pPr>
        <w:pStyle w:val="Heading1"/>
        <w:keepNext/>
      </w:pPr>
      <w:r>
        <w:t>8. Chiến lược hạ tầng đề xuất</w:t>
      </w:r>
    </w:p>
    <w:tbl>
      <w:tblPr>
        <w:tblW w:type="dxa" w:w="9360"/>
        <w:jc w:val="left"/>
        <w:tblLayout w:type="fixed"/>
        <w:tblLook w:firstColumn="1" w:firstRow="1" w:lastColumn="0" w:lastRow="0" w:noHBand="0" w:noVBand="1" w:val="04A0"/>
        <w:tblInd w:w="120" w:type="dxa"/>
        <w:tblBorders>
          <w:top w:val="single" w:sz="6" w:color="CDD8D4"/>
          <w:left w:val="single" w:sz="6" w:color="CDD8D4"/>
          <w:bottom w:val="single" w:sz="6" w:color="CDD8D4"/>
          <w:right w:val="single" w:sz="6" w:color="CDD8D4"/>
          <w:insideH w:val="single" w:sz="6" w:color="CDD8D4"/>
          <w:insideV w:val="single" w:sz="6" w:color="CDD8D4"/>
        </w:tblBorders>
      </w:tblPr>
      <w:tblGrid>
        <w:gridCol w:w="1900"/>
        <w:gridCol w:w="3000"/>
        <w:gridCol w:w="4460"/>
      </w:tblGrid>
      <w:tr>
        <w:trPr>
          <w:cantSplit/>
          <w:tblHeader w:val="true"/>
        </w:trPr>
        <w:tc>
          <w:tcPr>
            <w:tcW w:type="dxa" w:w="1900"/>
            <w:vAlign w:val="center"/>
            <w:tcMar>
              <w:top w:w="100" w:type="dxa"/>
              <w:start w:w="120" w:type="dxa"/>
              <w:bottom w:w="100" w:type="dxa"/>
              <w:end w:w="120" w:type="dxa"/>
            </w:tcMar>
            <w:shd w:fill="153B32"/>
          </w:tcPr>
          <w:p>
            <w:pPr>
              <w:spacing w:after="0"/>
              <w:jc w:val="left"/>
            </w:pPr>
            <w:r>
              <w:rPr>
                <w:rFonts w:ascii="Calibri" w:hAnsi="Calibri"/>
                <w:b/>
                <w:i w:val="0"/>
                <w:color w:val="FFFFFF"/>
                <w:sz w:val="18"/>
              </w:rPr>
              <w:t>Thành phần</w:t>
            </w:r>
          </w:p>
        </w:tc>
        <w:tc>
          <w:tcPr>
            <w:tcW w:type="dxa" w:w="3000"/>
            <w:vAlign w:val="center"/>
            <w:tcMar>
              <w:top w:w="100" w:type="dxa"/>
              <w:start w:w="120" w:type="dxa"/>
              <w:bottom w:w="100" w:type="dxa"/>
              <w:end w:w="120" w:type="dxa"/>
            </w:tcMar>
            <w:shd w:fill="153B32"/>
          </w:tcPr>
          <w:p>
            <w:pPr>
              <w:spacing w:after="0"/>
              <w:jc w:val="left"/>
            </w:pPr>
            <w:r>
              <w:rPr>
                <w:rFonts w:ascii="Calibri" w:hAnsi="Calibri"/>
                <w:b/>
                <w:i w:val="0"/>
                <w:color w:val="FFFFFF"/>
                <w:sz w:val="18"/>
              </w:rPr>
              <w:t>Lựa chọn hiện tại</w:t>
            </w:r>
          </w:p>
        </w:tc>
        <w:tc>
          <w:tcPr>
            <w:tcW w:type="dxa" w:w="4460"/>
            <w:vAlign w:val="center"/>
            <w:tcMar>
              <w:top w:w="100" w:type="dxa"/>
              <w:start w:w="120" w:type="dxa"/>
              <w:bottom w:w="100" w:type="dxa"/>
              <w:end w:w="120" w:type="dxa"/>
            </w:tcMar>
            <w:shd w:fill="153B32"/>
          </w:tcPr>
          <w:p>
            <w:pPr>
              <w:spacing w:after="0"/>
              <w:jc w:val="left"/>
            </w:pPr>
            <w:r>
              <w:rPr>
                <w:rFonts w:ascii="Calibri" w:hAnsi="Calibri"/>
                <w:b/>
                <w:i w:val="0"/>
                <w:color w:val="FFFFFF"/>
                <w:sz w:val="18"/>
              </w:rPr>
              <w:t>Phần YUTA phải sở hữu</w:t>
            </w:r>
          </w:p>
        </w:tc>
      </w:tr>
      <w:tr>
        <w:trPr>
          <w:cantSplit/>
        </w:trPr>
        <w:tc>
          <w:tcPr>
            <w:tcW w:type="dxa" w:w="1900"/>
            <w:vAlign w:val="center"/>
            <w:tcMar>
              <w:top w:w="100" w:type="dxa"/>
              <w:start w:w="120" w:type="dxa"/>
              <w:bottom w:w="100" w:type="dxa"/>
              <w:end w:w="120" w:type="dxa"/>
            </w:tcMar>
          </w:tcPr>
          <w:p>
            <w:pPr>
              <w:spacing w:after="0"/>
              <w:jc w:val="left"/>
            </w:pPr>
            <w:r>
              <w:rPr>
                <w:rFonts w:ascii="Calibri" w:hAnsi="Calibri"/>
                <w:b w:val="0"/>
                <w:i w:val="0"/>
                <w:color w:val="17201D"/>
                <w:sz w:val="18"/>
              </w:rPr>
              <w:t>Database</w:t>
            </w:r>
          </w:p>
        </w:tc>
        <w:tc>
          <w:tcPr>
            <w:tcW w:type="dxa" w:w="3000"/>
            <w:vAlign w:val="center"/>
            <w:tcMar>
              <w:top w:w="100" w:type="dxa"/>
              <w:start w:w="120" w:type="dxa"/>
              <w:bottom w:w="100" w:type="dxa"/>
              <w:end w:w="120" w:type="dxa"/>
            </w:tcMar>
          </w:tcPr>
          <w:p>
            <w:pPr>
              <w:spacing w:after="0"/>
              <w:jc w:val="left"/>
            </w:pPr>
            <w:r>
              <w:rPr>
                <w:rFonts w:ascii="Calibri" w:hAnsi="Calibri"/>
                <w:b w:val="0"/>
                <w:i w:val="0"/>
                <w:color w:val="17201D"/>
                <w:sz w:val="18"/>
              </w:rPr>
              <w:t>Neon PostgreSQL được quản lý</w:t>
            </w:r>
          </w:p>
        </w:tc>
        <w:tc>
          <w:tcPr>
            <w:tcW w:type="dxa" w:w="4460"/>
            <w:vAlign w:val="center"/>
            <w:tcMar>
              <w:top w:w="100" w:type="dxa"/>
              <w:start w:w="120" w:type="dxa"/>
              <w:bottom w:w="100" w:type="dxa"/>
              <w:end w:w="120" w:type="dxa"/>
            </w:tcMar>
          </w:tcPr>
          <w:p>
            <w:pPr>
              <w:spacing w:after="0"/>
              <w:jc w:val="left"/>
            </w:pPr>
            <w:r>
              <w:rPr>
                <w:rFonts w:ascii="Calibri" w:hAnsi="Calibri"/>
                <w:b w:val="0"/>
                <w:i w:val="0"/>
                <w:color w:val="17201D"/>
                <w:sz w:val="18"/>
              </w:rPr>
              <w:t>Schema, tenancy, authorization, backup test</w:t>
            </w:r>
          </w:p>
        </w:tc>
      </w:tr>
      <w:tr>
        <w:trPr>
          <w:cantSplit/>
        </w:trPr>
        <w:tc>
          <w:tcPr>
            <w:tcW w:type="dxa" w:w="1900"/>
            <w:vAlign w:val="center"/>
            <w:tcMar>
              <w:top w:w="100" w:type="dxa"/>
              <w:start w:w="120" w:type="dxa"/>
              <w:bottom w:w="100" w:type="dxa"/>
              <w:end w:w="120" w:type="dxa"/>
            </w:tcMar>
            <w:shd w:fill="F3F6F5"/>
          </w:tcPr>
          <w:p>
            <w:pPr>
              <w:spacing w:after="0"/>
              <w:jc w:val="left"/>
            </w:pPr>
            <w:r>
              <w:rPr>
                <w:rFonts w:ascii="Calibri" w:hAnsi="Calibri"/>
                <w:b w:val="0"/>
                <w:i w:val="0"/>
                <w:color w:val="17201D"/>
                <w:sz w:val="18"/>
              </w:rPr>
              <w:t>File</w:t>
            </w:r>
          </w:p>
        </w:tc>
        <w:tc>
          <w:tcPr>
            <w:tcW w:type="dxa" w:w="3000"/>
            <w:vAlign w:val="center"/>
            <w:tcMar>
              <w:top w:w="100" w:type="dxa"/>
              <w:start w:w="120" w:type="dxa"/>
              <w:bottom w:w="100" w:type="dxa"/>
              <w:end w:w="120" w:type="dxa"/>
            </w:tcMar>
            <w:shd w:fill="F3F6F5"/>
          </w:tcPr>
          <w:p>
            <w:pPr>
              <w:spacing w:after="0"/>
              <w:jc w:val="left"/>
            </w:pPr>
            <w:r>
              <w:rPr>
                <w:rFonts w:ascii="Calibri" w:hAnsi="Calibri"/>
                <w:b w:val="0"/>
                <w:i w:val="0"/>
                <w:color w:val="17201D"/>
                <w:sz w:val="18"/>
              </w:rPr>
              <w:t>Kho riêng tư tại EU</w:t>
            </w:r>
          </w:p>
        </w:tc>
        <w:tc>
          <w:tcPr>
            <w:tcW w:type="dxa" w:w="4460"/>
            <w:vAlign w:val="center"/>
            <w:tcMar>
              <w:top w:w="100" w:type="dxa"/>
              <w:start w:w="120" w:type="dxa"/>
              <w:bottom w:w="100" w:type="dxa"/>
              <w:end w:w="120" w:type="dxa"/>
            </w:tcMar>
            <w:shd w:fill="F3F6F5"/>
          </w:tcPr>
          <w:p>
            <w:pPr>
              <w:spacing w:after="0"/>
              <w:jc w:val="left"/>
            </w:pPr>
            <w:r>
              <w:rPr>
                <w:rFonts w:ascii="Calibri" w:hAnsi="Calibri"/>
                <w:b w:val="0"/>
                <w:i w:val="0"/>
                <w:color w:val="17201D"/>
                <w:sz w:val="18"/>
              </w:rPr>
              <w:t>Metadata, quyền truy cập, retention, adapter thay thế</w:t>
            </w:r>
          </w:p>
        </w:tc>
      </w:tr>
      <w:tr>
        <w:trPr>
          <w:cantSplit/>
        </w:trPr>
        <w:tc>
          <w:tcPr>
            <w:tcW w:type="dxa" w:w="1900"/>
            <w:vAlign w:val="center"/>
            <w:tcMar>
              <w:top w:w="100" w:type="dxa"/>
              <w:start w:w="120" w:type="dxa"/>
              <w:bottom w:w="100" w:type="dxa"/>
              <w:end w:w="120" w:type="dxa"/>
            </w:tcMar>
          </w:tcPr>
          <w:p>
            <w:pPr>
              <w:spacing w:after="0"/>
              <w:jc w:val="left"/>
            </w:pPr>
            <w:r>
              <w:rPr>
                <w:rFonts w:ascii="Calibri" w:hAnsi="Calibri"/>
                <w:b w:val="0"/>
                <w:i w:val="0"/>
                <w:color w:val="17201D"/>
                <w:sz w:val="18"/>
              </w:rPr>
              <w:t>AI/OCR</w:t>
            </w:r>
          </w:p>
        </w:tc>
        <w:tc>
          <w:tcPr>
            <w:tcW w:type="dxa" w:w="3000"/>
            <w:vAlign w:val="center"/>
            <w:tcMar>
              <w:top w:w="100" w:type="dxa"/>
              <w:start w:w="120" w:type="dxa"/>
              <w:bottom w:w="100" w:type="dxa"/>
              <w:end w:w="120" w:type="dxa"/>
            </w:tcMar>
          </w:tcPr>
          <w:p>
            <w:pPr>
              <w:spacing w:after="0"/>
              <w:jc w:val="left"/>
            </w:pPr>
            <w:r>
              <w:rPr>
                <w:rFonts w:ascii="Calibri" w:hAnsi="Calibri"/>
                <w:b w:val="0"/>
                <w:i w:val="0"/>
                <w:color w:val="17201D"/>
                <w:sz w:val="18"/>
              </w:rPr>
              <w:t>Một nhà cung cấp AI bên ngoài</w:t>
            </w:r>
          </w:p>
        </w:tc>
        <w:tc>
          <w:tcPr>
            <w:tcW w:type="dxa" w:w="4460"/>
            <w:vAlign w:val="center"/>
            <w:tcMar>
              <w:top w:w="100" w:type="dxa"/>
              <w:start w:w="120" w:type="dxa"/>
              <w:bottom w:w="100" w:type="dxa"/>
              <w:end w:w="120" w:type="dxa"/>
            </w:tcMar>
          </w:tcPr>
          <w:p>
            <w:pPr>
              <w:spacing w:after="0"/>
              <w:jc w:val="left"/>
            </w:pPr>
            <w:r>
              <w:rPr>
                <w:rFonts w:ascii="Calibri" w:hAnsi="Calibri"/>
                <w:b w:val="0"/>
                <w:i w:val="0"/>
                <w:color w:val="17201D"/>
                <w:sz w:val="18"/>
              </w:rPr>
              <w:t>Prompt, dữ liệu gửi đi, validation, review, audit</w:t>
            </w:r>
          </w:p>
        </w:tc>
      </w:tr>
      <w:tr>
        <w:trPr>
          <w:cantSplit/>
        </w:trPr>
        <w:tc>
          <w:tcPr>
            <w:tcW w:type="dxa" w:w="1900"/>
            <w:vAlign w:val="center"/>
            <w:tcMar>
              <w:top w:w="100" w:type="dxa"/>
              <w:start w:w="120" w:type="dxa"/>
              <w:bottom w:w="100" w:type="dxa"/>
              <w:end w:w="120" w:type="dxa"/>
            </w:tcMar>
            <w:shd w:fill="F3F6F5"/>
          </w:tcPr>
          <w:p>
            <w:pPr>
              <w:spacing w:after="0"/>
              <w:jc w:val="left"/>
            </w:pPr>
            <w:r>
              <w:rPr>
                <w:rFonts w:ascii="Calibri" w:hAnsi="Calibri"/>
                <w:b w:val="0"/>
                <w:i w:val="0"/>
                <w:color w:val="17201D"/>
                <w:sz w:val="18"/>
              </w:rPr>
              <w:t>Email</w:t>
            </w:r>
          </w:p>
        </w:tc>
        <w:tc>
          <w:tcPr>
            <w:tcW w:type="dxa" w:w="3000"/>
            <w:vAlign w:val="center"/>
            <w:tcMar>
              <w:top w:w="100" w:type="dxa"/>
              <w:start w:w="120" w:type="dxa"/>
              <w:bottom w:w="100" w:type="dxa"/>
              <w:end w:w="120" w:type="dxa"/>
            </w:tcMar>
            <w:shd w:fill="F3F6F5"/>
          </w:tcPr>
          <w:p>
            <w:pPr>
              <w:spacing w:after="0"/>
              <w:jc w:val="left"/>
            </w:pPr>
            <w:r>
              <w:rPr>
                <w:rFonts w:ascii="Calibri" w:hAnsi="Calibri"/>
                <w:b w:val="0"/>
                <w:i w:val="0"/>
                <w:color w:val="17201D"/>
                <w:sz w:val="18"/>
              </w:rPr>
              <w:t>Nhà cung cấp email giao dịch</w:t>
            </w:r>
          </w:p>
        </w:tc>
        <w:tc>
          <w:tcPr>
            <w:tcW w:type="dxa" w:w="4460"/>
            <w:vAlign w:val="center"/>
            <w:tcMar>
              <w:top w:w="100" w:type="dxa"/>
              <w:start w:w="120" w:type="dxa"/>
              <w:bottom w:w="100" w:type="dxa"/>
              <w:end w:w="120" w:type="dxa"/>
            </w:tcMar>
            <w:shd w:fill="F3F6F5"/>
          </w:tcPr>
          <w:p>
            <w:pPr>
              <w:spacing w:after="0"/>
              <w:jc w:val="left"/>
            </w:pPr>
            <w:r>
              <w:rPr>
                <w:rFonts w:ascii="Calibri" w:hAnsi="Calibri"/>
                <w:b w:val="0"/>
                <w:i w:val="0"/>
                <w:color w:val="17201D"/>
                <w:sz w:val="18"/>
              </w:rPr>
              <w:t>Template, trạng thái gửi, retry, quyền dữ liệu</w:t>
            </w:r>
          </w:p>
        </w:tc>
      </w:tr>
      <w:tr>
        <w:trPr>
          <w:cantSplit/>
        </w:trPr>
        <w:tc>
          <w:tcPr>
            <w:tcW w:type="dxa" w:w="1900"/>
            <w:vAlign w:val="center"/>
            <w:tcMar>
              <w:top w:w="100" w:type="dxa"/>
              <w:start w:w="120" w:type="dxa"/>
              <w:bottom w:w="100" w:type="dxa"/>
              <w:end w:w="120" w:type="dxa"/>
            </w:tcMar>
          </w:tcPr>
          <w:p>
            <w:pPr>
              <w:spacing w:after="0"/>
              <w:jc w:val="left"/>
            </w:pPr>
            <w:r>
              <w:rPr>
                <w:rFonts w:ascii="Calibri" w:hAnsi="Calibri"/>
                <w:b w:val="0"/>
                <w:i w:val="0"/>
                <w:color w:val="17201D"/>
                <w:sz w:val="18"/>
              </w:rPr>
              <w:t>Giám sát</w:t>
            </w:r>
          </w:p>
        </w:tc>
        <w:tc>
          <w:tcPr>
            <w:tcW w:type="dxa" w:w="3000"/>
            <w:vAlign w:val="center"/>
            <w:tcMar>
              <w:top w:w="100" w:type="dxa"/>
              <w:start w:w="120" w:type="dxa"/>
              <w:bottom w:w="100" w:type="dxa"/>
              <w:end w:w="120" w:type="dxa"/>
            </w:tcMar>
          </w:tcPr>
          <w:p>
            <w:pPr>
              <w:spacing w:after="0"/>
              <w:jc w:val="left"/>
            </w:pPr>
            <w:r>
              <w:rPr>
                <w:rFonts w:ascii="Calibri" w:hAnsi="Calibri"/>
                <w:b w:val="0"/>
                <w:i w:val="0"/>
                <w:color w:val="17201D"/>
                <w:sz w:val="18"/>
              </w:rPr>
              <w:t>Dịch vụ monitoring tập trung</w:t>
            </w:r>
          </w:p>
        </w:tc>
        <w:tc>
          <w:tcPr>
            <w:tcW w:type="dxa" w:w="4460"/>
            <w:vAlign w:val="center"/>
            <w:tcMar>
              <w:top w:w="100" w:type="dxa"/>
              <w:start w:w="120" w:type="dxa"/>
              <w:bottom w:w="100" w:type="dxa"/>
              <w:end w:w="120" w:type="dxa"/>
            </w:tcMar>
          </w:tcPr>
          <w:p>
            <w:pPr>
              <w:spacing w:after="0"/>
              <w:jc w:val="left"/>
            </w:pPr>
            <w:r>
              <w:rPr>
                <w:rFonts w:ascii="Calibri" w:hAnsi="Calibri"/>
                <w:b w:val="0"/>
                <w:i w:val="0"/>
                <w:color w:val="17201D"/>
                <w:sz w:val="18"/>
              </w:rPr>
              <w:t>Mức cảnh báo, runbook, người chịu trách nhiệm</w:t>
            </w:r>
          </w:p>
        </w:tc>
      </w:tr>
      <w:tr>
        <w:trPr>
          <w:cantSplit/>
        </w:trPr>
        <w:tc>
          <w:tcPr>
            <w:tcW w:type="dxa" w:w="1900"/>
            <w:vAlign w:val="center"/>
            <w:tcMar>
              <w:top w:w="100" w:type="dxa"/>
              <w:start w:w="120" w:type="dxa"/>
              <w:bottom w:w="100" w:type="dxa"/>
              <w:end w:w="120" w:type="dxa"/>
            </w:tcMar>
            <w:shd w:fill="F3F6F5"/>
          </w:tcPr>
          <w:p>
            <w:pPr>
              <w:spacing w:after="0"/>
              <w:jc w:val="left"/>
            </w:pPr>
            <w:r>
              <w:rPr>
                <w:rFonts w:ascii="Calibri" w:hAnsi="Calibri"/>
                <w:b w:val="0"/>
                <w:i w:val="0"/>
                <w:color w:val="17201D"/>
                <w:sz w:val="18"/>
              </w:rPr>
              <w:t>Logic sản phẩm</w:t>
            </w:r>
          </w:p>
        </w:tc>
        <w:tc>
          <w:tcPr>
            <w:tcW w:type="dxa" w:w="3000"/>
            <w:vAlign w:val="center"/>
            <w:tcMar>
              <w:top w:w="100" w:type="dxa"/>
              <w:start w:w="120" w:type="dxa"/>
              <w:bottom w:w="100" w:type="dxa"/>
              <w:end w:w="120" w:type="dxa"/>
            </w:tcMar>
            <w:shd w:fill="F3F6F5"/>
          </w:tcPr>
          <w:p>
            <w:pPr>
              <w:spacing w:after="0"/>
              <w:jc w:val="left"/>
            </w:pPr>
            <w:r>
              <w:rPr>
                <w:rFonts w:ascii="Calibri" w:hAnsi="Calibri"/>
                <w:b w:val="0"/>
                <w:i w:val="0"/>
                <w:color w:val="17201D"/>
                <w:sz w:val="18"/>
              </w:rPr>
              <w:t>YUTA tự xây</w:t>
            </w:r>
          </w:p>
        </w:tc>
        <w:tc>
          <w:tcPr>
            <w:tcW w:type="dxa" w:w="4460"/>
            <w:vAlign w:val="center"/>
            <w:tcMar>
              <w:top w:w="100" w:type="dxa"/>
              <w:start w:w="120" w:type="dxa"/>
              <w:bottom w:w="100" w:type="dxa"/>
              <w:end w:w="120" w:type="dxa"/>
            </w:tcMar>
            <w:shd w:fill="F3F6F5"/>
          </w:tcPr>
          <w:p>
            <w:pPr>
              <w:spacing w:after="0"/>
              <w:jc w:val="left"/>
            </w:pPr>
            <w:r>
              <w:rPr>
                <w:rFonts w:ascii="Calibri" w:hAnsi="Calibri"/>
                <w:b w:val="0"/>
                <w:i w:val="0"/>
                <w:color w:val="17201D"/>
                <w:sz w:val="18"/>
              </w:rPr>
              <w:t>Nghiệp vụ, phân quyền, lịch sử và trải nghiệm người dùng</w:t>
            </w:r>
          </w:p>
        </w:tc>
      </w:tr>
    </w:tbl>
    <w:p>
      <w:pPr>
        <w:spacing w:after="120"/>
      </w:pPr>
      <w:r>
        <w:rPr>
          <w:rFonts w:ascii="Calibri" w:hAnsi="Calibri"/>
          <w:b w:val="0"/>
          <w:i w:val="0"/>
          <w:color w:val="17201D"/>
          <w:sz w:val="22"/>
        </w:rPr>
        <w:t>Mỗi nhà cung cấp cần được đặt sau một service/adapter do YUTA kiểm soát. Việc đổi kho file hoặc AI khi đó chỉ thay adapter và cấu hình, không viết lại nghiệp vụ hoặc giao diện.</w:t>
      </w:r>
    </w:p>
    <w:p>
      <w:pPr>
        <w:pStyle w:val="Heading1"/>
        <w:keepNext/>
      </w:pPr>
      <w:r>
        <w:t>9. Rủi ro và biện pháp kiểm soát</w:t>
      </w:r>
    </w:p>
    <w:tbl>
      <w:tblPr>
        <w:tblW w:type="dxa" w:w="9360"/>
        <w:jc w:val="left"/>
        <w:tblLayout w:type="fixed"/>
        <w:tblLook w:firstColumn="1" w:firstRow="1" w:lastColumn="0" w:lastRow="0" w:noHBand="0" w:noVBand="1" w:val="04A0"/>
        <w:tblInd w:w="120" w:type="dxa"/>
        <w:tblBorders>
          <w:top w:val="single" w:sz="6" w:color="CDD8D4"/>
          <w:left w:val="single" w:sz="6" w:color="CDD8D4"/>
          <w:bottom w:val="single" w:sz="6" w:color="CDD8D4"/>
          <w:right w:val="single" w:sz="6" w:color="CDD8D4"/>
          <w:insideH w:val="single" w:sz="6" w:color="CDD8D4"/>
          <w:insideV w:val="single" w:sz="6" w:color="CDD8D4"/>
        </w:tblBorders>
      </w:tblPr>
      <w:tblGrid>
        <w:gridCol w:w="2350"/>
        <w:gridCol w:w="2550"/>
        <w:gridCol w:w="4460"/>
      </w:tblGrid>
      <w:tr>
        <w:trPr>
          <w:cantSplit/>
          <w:tblHeader w:val="true"/>
        </w:trPr>
        <w:tc>
          <w:tcPr>
            <w:tcW w:type="dxa" w:w="2350"/>
            <w:vAlign w:val="center"/>
            <w:tcMar>
              <w:top w:w="100" w:type="dxa"/>
              <w:start w:w="120" w:type="dxa"/>
              <w:bottom w:w="100" w:type="dxa"/>
              <w:end w:w="120" w:type="dxa"/>
            </w:tcMar>
            <w:shd w:fill="153B32"/>
          </w:tcPr>
          <w:p>
            <w:pPr>
              <w:spacing w:after="0"/>
              <w:jc w:val="left"/>
            </w:pPr>
            <w:r>
              <w:rPr>
                <w:rFonts w:ascii="Calibri" w:hAnsi="Calibri"/>
                <w:b/>
                <w:i w:val="0"/>
                <w:color w:val="FFFFFF"/>
                <w:sz w:val="18"/>
              </w:rPr>
              <w:t>Rủi ro</w:t>
            </w:r>
          </w:p>
        </w:tc>
        <w:tc>
          <w:tcPr>
            <w:tcW w:type="dxa" w:w="2550"/>
            <w:vAlign w:val="center"/>
            <w:tcMar>
              <w:top w:w="100" w:type="dxa"/>
              <w:start w:w="120" w:type="dxa"/>
              <w:bottom w:w="100" w:type="dxa"/>
              <w:end w:w="120" w:type="dxa"/>
            </w:tcMar>
            <w:shd w:fill="153B32"/>
          </w:tcPr>
          <w:p>
            <w:pPr>
              <w:spacing w:after="0"/>
              <w:jc w:val="left"/>
            </w:pPr>
            <w:r>
              <w:rPr>
                <w:rFonts w:ascii="Calibri" w:hAnsi="Calibri"/>
                <w:b/>
                <w:i w:val="0"/>
                <w:color w:val="FFFFFF"/>
                <w:sz w:val="18"/>
              </w:rPr>
              <w:t>Tác động</w:t>
            </w:r>
          </w:p>
        </w:tc>
        <w:tc>
          <w:tcPr>
            <w:tcW w:type="dxa" w:w="4460"/>
            <w:vAlign w:val="center"/>
            <w:tcMar>
              <w:top w:w="100" w:type="dxa"/>
              <w:start w:w="120" w:type="dxa"/>
              <w:bottom w:w="100" w:type="dxa"/>
              <w:end w:w="120" w:type="dxa"/>
            </w:tcMar>
            <w:shd w:fill="153B32"/>
          </w:tcPr>
          <w:p>
            <w:pPr>
              <w:spacing w:after="0"/>
              <w:jc w:val="left"/>
            </w:pPr>
            <w:r>
              <w:rPr>
                <w:rFonts w:ascii="Calibri" w:hAnsi="Calibri"/>
                <w:b/>
                <w:i w:val="0"/>
                <w:color w:val="FFFFFF"/>
                <w:sz w:val="18"/>
              </w:rPr>
              <w:t>Biện pháp</w:t>
            </w:r>
          </w:p>
        </w:tc>
      </w:tr>
      <w:tr>
        <w:trPr>
          <w:cantSplit/>
        </w:trPr>
        <w:tc>
          <w:tcPr>
            <w:tcW w:type="dxa" w:w="2350"/>
            <w:vAlign w:val="center"/>
            <w:tcMar>
              <w:top w:w="100" w:type="dxa"/>
              <w:start w:w="120" w:type="dxa"/>
              <w:bottom w:w="100" w:type="dxa"/>
              <w:end w:w="120" w:type="dxa"/>
            </w:tcMar>
          </w:tcPr>
          <w:p>
            <w:pPr>
              <w:spacing w:after="0"/>
              <w:jc w:val="left"/>
            </w:pPr>
            <w:r>
              <w:rPr>
                <w:rFonts w:ascii="Calibri" w:hAnsi="Calibri"/>
                <w:b w:val="0"/>
                <w:i w:val="0"/>
                <w:color w:val="17201D"/>
                <w:sz w:val="18"/>
              </w:rPr>
              <w:t>Chi phí cloud tăng ngoài dự kiến</w:t>
            </w:r>
          </w:p>
        </w:tc>
        <w:tc>
          <w:tcPr>
            <w:tcW w:type="dxa" w:w="2550"/>
            <w:vAlign w:val="center"/>
            <w:tcMar>
              <w:top w:w="100" w:type="dxa"/>
              <w:start w:w="120" w:type="dxa"/>
              <w:bottom w:w="100" w:type="dxa"/>
              <w:end w:w="120" w:type="dxa"/>
            </w:tcMar>
          </w:tcPr>
          <w:p>
            <w:pPr>
              <w:spacing w:after="0"/>
              <w:jc w:val="left"/>
            </w:pPr>
            <w:r>
              <w:rPr>
                <w:rFonts w:ascii="Calibri" w:hAnsi="Calibri"/>
                <w:b w:val="0"/>
                <w:i w:val="0"/>
                <w:color w:val="17201D"/>
                <w:sz w:val="18"/>
              </w:rPr>
              <w:t>Giảm biên lợi nhuận</w:t>
            </w:r>
          </w:p>
        </w:tc>
        <w:tc>
          <w:tcPr>
            <w:tcW w:type="dxa" w:w="4460"/>
            <w:vAlign w:val="center"/>
            <w:tcMar>
              <w:top w:w="100" w:type="dxa"/>
              <w:start w:w="120" w:type="dxa"/>
              <w:bottom w:w="100" w:type="dxa"/>
              <w:end w:w="120" w:type="dxa"/>
            </w:tcMar>
          </w:tcPr>
          <w:p>
            <w:pPr>
              <w:spacing w:after="0"/>
              <w:jc w:val="left"/>
            </w:pPr>
            <w:r>
              <w:rPr>
                <w:rFonts w:ascii="Calibri" w:hAnsi="Calibri"/>
                <w:b w:val="0"/>
                <w:i w:val="0"/>
                <w:color w:val="17201D"/>
                <w:sz w:val="18"/>
              </w:rPr>
              <w:t>Budget cap, cảnh báo, quota và theo dõi theo tenant</w:t>
            </w:r>
          </w:p>
        </w:tc>
      </w:tr>
      <w:tr>
        <w:trPr>
          <w:cantSplit/>
        </w:trPr>
        <w:tc>
          <w:tcPr>
            <w:tcW w:type="dxa" w:w="2350"/>
            <w:vAlign w:val="center"/>
            <w:tcMar>
              <w:top w:w="100" w:type="dxa"/>
              <w:start w:w="120" w:type="dxa"/>
              <w:bottom w:w="100" w:type="dxa"/>
              <w:end w:w="120" w:type="dxa"/>
            </w:tcMar>
            <w:shd w:fill="F3F6F5"/>
          </w:tcPr>
          <w:p>
            <w:pPr>
              <w:spacing w:after="0"/>
              <w:jc w:val="left"/>
            </w:pPr>
            <w:r>
              <w:rPr>
                <w:rFonts w:ascii="Calibri" w:hAnsi="Calibri"/>
                <w:b w:val="0"/>
                <w:i w:val="0"/>
                <w:color w:val="17201D"/>
                <w:sz w:val="18"/>
              </w:rPr>
              <w:t>Phụ thuộc nhà cung cấp</w:t>
            </w:r>
          </w:p>
        </w:tc>
        <w:tc>
          <w:tcPr>
            <w:tcW w:type="dxa" w:w="2550"/>
            <w:vAlign w:val="center"/>
            <w:tcMar>
              <w:top w:w="100" w:type="dxa"/>
              <w:start w:w="120" w:type="dxa"/>
              <w:bottom w:w="100" w:type="dxa"/>
              <w:end w:w="120" w:type="dxa"/>
            </w:tcMar>
            <w:shd w:fill="F3F6F5"/>
          </w:tcPr>
          <w:p>
            <w:pPr>
              <w:spacing w:after="0"/>
              <w:jc w:val="left"/>
            </w:pPr>
            <w:r>
              <w:rPr>
                <w:rFonts w:ascii="Calibri" w:hAnsi="Calibri"/>
                <w:b w:val="0"/>
                <w:i w:val="0"/>
                <w:color w:val="17201D"/>
                <w:sz w:val="18"/>
              </w:rPr>
              <w:t>Khó chuyển đổi</w:t>
            </w:r>
          </w:p>
        </w:tc>
        <w:tc>
          <w:tcPr>
            <w:tcW w:type="dxa" w:w="4460"/>
            <w:vAlign w:val="center"/>
            <w:tcMar>
              <w:top w:w="100" w:type="dxa"/>
              <w:start w:w="120" w:type="dxa"/>
              <w:bottom w:w="100" w:type="dxa"/>
              <w:end w:w="120" w:type="dxa"/>
            </w:tcMar>
            <w:shd w:fill="F3F6F5"/>
          </w:tcPr>
          <w:p>
            <w:pPr>
              <w:spacing w:after="0"/>
              <w:jc w:val="left"/>
            </w:pPr>
            <w:r>
              <w:rPr>
                <w:rFonts w:ascii="Calibri" w:hAnsi="Calibri"/>
                <w:b w:val="0"/>
                <w:i w:val="0"/>
                <w:color w:val="17201D"/>
                <w:sz w:val="18"/>
              </w:rPr>
              <w:t>Adapter riêng, dữ liệu xuất được, không để UI gọi trực tiếp</w:t>
            </w:r>
          </w:p>
        </w:tc>
      </w:tr>
      <w:tr>
        <w:trPr>
          <w:cantSplit/>
        </w:trPr>
        <w:tc>
          <w:tcPr>
            <w:tcW w:type="dxa" w:w="2350"/>
            <w:vAlign w:val="center"/>
            <w:tcMar>
              <w:top w:w="100" w:type="dxa"/>
              <w:start w:w="120" w:type="dxa"/>
              <w:bottom w:w="100" w:type="dxa"/>
              <w:end w:w="120" w:type="dxa"/>
            </w:tcMar>
          </w:tcPr>
          <w:p>
            <w:pPr>
              <w:spacing w:after="0"/>
              <w:jc w:val="left"/>
            </w:pPr>
            <w:r>
              <w:rPr>
                <w:rFonts w:ascii="Calibri" w:hAnsi="Calibri"/>
                <w:b w:val="0"/>
                <w:i w:val="0"/>
                <w:color w:val="17201D"/>
                <w:sz w:val="18"/>
              </w:rPr>
              <w:t>Dữ liệu nhân viên nhạy cảm</w:t>
            </w:r>
          </w:p>
        </w:tc>
        <w:tc>
          <w:tcPr>
            <w:tcW w:type="dxa" w:w="2550"/>
            <w:vAlign w:val="center"/>
            <w:tcMar>
              <w:top w:w="100" w:type="dxa"/>
              <w:start w:w="120" w:type="dxa"/>
              <w:bottom w:w="100" w:type="dxa"/>
              <w:end w:w="120" w:type="dxa"/>
            </w:tcMar>
          </w:tcPr>
          <w:p>
            <w:pPr>
              <w:spacing w:after="0"/>
              <w:jc w:val="left"/>
            </w:pPr>
            <w:r>
              <w:rPr>
                <w:rFonts w:ascii="Calibri" w:hAnsi="Calibri"/>
                <w:b w:val="0"/>
                <w:i w:val="0"/>
                <w:color w:val="17201D"/>
                <w:sz w:val="18"/>
              </w:rPr>
              <w:t>Rủi ro pháp lý và uy tín</w:t>
            </w:r>
          </w:p>
        </w:tc>
        <w:tc>
          <w:tcPr>
            <w:tcW w:type="dxa" w:w="4460"/>
            <w:vAlign w:val="center"/>
            <w:tcMar>
              <w:top w:w="100" w:type="dxa"/>
              <w:start w:w="120" w:type="dxa"/>
              <w:bottom w:w="100" w:type="dxa"/>
              <w:end w:w="120" w:type="dxa"/>
            </w:tcMar>
          </w:tcPr>
          <w:p>
            <w:pPr>
              <w:spacing w:after="0"/>
              <w:jc w:val="left"/>
            </w:pPr>
            <w:r>
              <w:rPr>
                <w:rFonts w:ascii="Calibri" w:hAnsi="Calibri"/>
                <w:b w:val="0"/>
                <w:i w:val="0"/>
                <w:color w:val="17201D"/>
                <w:sz w:val="18"/>
              </w:rPr>
              <w:t>EU storage, quyền OWNER, audit, retention và phê duyệt trước production</w:t>
            </w:r>
          </w:p>
        </w:tc>
      </w:tr>
      <w:tr>
        <w:trPr>
          <w:cantSplit/>
        </w:trPr>
        <w:tc>
          <w:tcPr>
            <w:tcW w:type="dxa" w:w="2350"/>
            <w:vAlign w:val="center"/>
            <w:tcMar>
              <w:top w:w="100" w:type="dxa"/>
              <w:start w:w="120" w:type="dxa"/>
              <w:bottom w:w="100" w:type="dxa"/>
              <w:end w:w="120" w:type="dxa"/>
            </w:tcMar>
            <w:shd w:fill="F3F6F5"/>
          </w:tcPr>
          <w:p>
            <w:pPr>
              <w:spacing w:after="0"/>
              <w:jc w:val="left"/>
            </w:pPr>
            <w:r>
              <w:rPr>
                <w:rFonts w:ascii="Calibri" w:hAnsi="Calibri"/>
                <w:b w:val="0"/>
                <w:i w:val="0"/>
                <w:color w:val="17201D"/>
                <w:sz w:val="18"/>
              </w:rPr>
              <w:t>AI trả kết quả sai</w:t>
            </w:r>
          </w:p>
        </w:tc>
        <w:tc>
          <w:tcPr>
            <w:tcW w:type="dxa" w:w="2550"/>
            <w:vAlign w:val="center"/>
            <w:tcMar>
              <w:top w:w="100" w:type="dxa"/>
              <w:start w:w="120" w:type="dxa"/>
              <w:bottom w:w="100" w:type="dxa"/>
              <w:end w:w="120" w:type="dxa"/>
            </w:tcMar>
            <w:shd w:fill="F3F6F5"/>
          </w:tcPr>
          <w:p>
            <w:pPr>
              <w:spacing w:after="0"/>
              <w:jc w:val="left"/>
            </w:pPr>
            <w:r>
              <w:rPr>
                <w:rFonts w:ascii="Calibri" w:hAnsi="Calibri"/>
                <w:b w:val="0"/>
                <w:i w:val="0"/>
                <w:color w:val="17201D"/>
                <w:sz w:val="18"/>
              </w:rPr>
              <w:t>Sai hồ sơ hoặc phản hồi</w:t>
            </w:r>
          </w:p>
        </w:tc>
        <w:tc>
          <w:tcPr>
            <w:tcW w:type="dxa" w:w="4460"/>
            <w:vAlign w:val="center"/>
            <w:tcMar>
              <w:top w:w="100" w:type="dxa"/>
              <w:start w:w="120" w:type="dxa"/>
              <w:bottom w:w="100" w:type="dxa"/>
              <w:end w:w="120" w:type="dxa"/>
            </w:tcMar>
            <w:shd w:fill="F3F6F5"/>
          </w:tcPr>
          <w:p>
            <w:pPr>
              <w:spacing w:after="0"/>
              <w:jc w:val="left"/>
            </w:pPr>
            <w:r>
              <w:rPr>
                <w:rFonts w:ascii="Calibri" w:hAnsi="Calibri"/>
                <w:b w:val="0"/>
                <w:i w:val="0"/>
                <w:color w:val="17201D"/>
                <w:sz w:val="18"/>
              </w:rPr>
              <w:t>Structured output, validation và người dùng xác nhận</w:t>
            </w:r>
          </w:p>
        </w:tc>
      </w:tr>
      <w:tr>
        <w:trPr>
          <w:cantSplit/>
        </w:trPr>
        <w:tc>
          <w:tcPr>
            <w:tcW w:type="dxa" w:w="2350"/>
            <w:vAlign w:val="center"/>
            <w:tcMar>
              <w:top w:w="100" w:type="dxa"/>
              <w:start w:w="120" w:type="dxa"/>
              <w:bottom w:w="100" w:type="dxa"/>
              <w:end w:w="120" w:type="dxa"/>
            </w:tcMar>
          </w:tcPr>
          <w:p>
            <w:pPr>
              <w:spacing w:after="0"/>
              <w:jc w:val="left"/>
            </w:pPr>
            <w:r>
              <w:rPr>
                <w:rFonts w:ascii="Calibri" w:hAnsi="Calibri"/>
                <w:b w:val="0"/>
                <w:i w:val="0"/>
                <w:color w:val="17201D"/>
                <w:sz w:val="18"/>
              </w:rPr>
              <w:t>Khả năng chưa production-ready</w:t>
            </w:r>
          </w:p>
        </w:tc>
        <w:tc>
          <w:tcPr>
            <w:tcW w:type="dxa" w:w="2550"/>
            <w:vAlign w:val="center"/>
            <w:tcMar>
              <w:top w:w="100" w:type="dxa"/>
              <w:start w:w="120" w:type="dxa"/>
              <w:bottom w:w="100" w:type="dxa"/>
              <w:end w:w="120" w:type="dxa"/>
            </w:tcMar>
          </w:tcPr>
          <w:p>
            <w:pPr>
              <w:spacing w:after="0"/>
              <w:jc w:val="left"/>
            </w:pPr>
            <w:r>
              <w:rPr>
                <w:rFonts w:ascii="Calibri" w:hAnsi="Calibri"/>
                <w:b w:val="0"/>
                <w:i w:val="0"/>
                <w:color w:val="17201D"/>
                <w:sz w:val="18"/>
              </w:rPr>
              <w:t>Cam kết thương mại quá sớm</w:t>
            </w:r>
          </w:p>
        </w:tc>
        <w:tc>
          <w:tcPr>
            <w:tcW w:type="dxa" w:w="4460"/>
            <w:vAlign w:val="center"/>
            <w:tcMar>
              <w:top w:w="100" w:type="dxa"/>
              <w:start w:w="120" w:type="dxa"/>
              <w:bottom w:w="100" w:type="dxa"/>
              <w:end w:w="120" w:type="dxa"/>
            </w:tcMar>
          </w:tcPr>
          <w:p>
            <w:pPr>
              <w:spacing w:after="0"/>
              <w:jc w:val="left"/>
            </w:pPr>
            <w:r>
              <w:rPr>
                <w:rFonts w:ascii="Calibri" w:hAnsi="Calibri"/>
                <w:b w:val="0"/>
                <w:i w:val="0"/>
                <w:color w:val="17201D"/>
                <w:sz w:val="18"/>
              </w:rPr>
              <w:t>Giữ fail-closed và chỉ mở khi đủ bằng chứng vận hành</w:t>
            </w:r>
          </w:p>
        </w:tc>
      </w:tr>
      <w:tr>
        <w:trPr>
          <w:cantSplit/>
        </w:trPr>
        <w:tc>
          <w:tcPr>
            <w:tcW w:type="dxa" w:w="2350"/>
            <w:vAlign w:val="center"/>
            <w:tcMar>
              <w:top w:w="100" w:type="dxa"/>
              <w:start w:w="120" w:type="dxa"/>
              <w:bottom w:w="100" w:type="dxa"/>
              <w:end w:w="120" w:type="dxa"/>
            </w:tcMar>
            <w:shd w:fill="F3F6F5"/>
          </w:tcPr>
          <w:p>
            <w:pPr>
              <w:spacing w:after="0"/>
              <w:jc w:val="left"/>
            </w:pPr>
            <w:r>
              <w:rPr>
                <w:rFonts w:ascii="Calibri" w:hAnsi="Calibri"/>
                <w:b w:val="0"/>
                <w:i w:val="0"/>
                <w:color w:val="17201D"/>
                <w:sz w:val="18"/>
              </w:rPr>
              <w:t>SMS/phần cứng vượt dự toán</w:t>
            </w:r>
          </w:p>
        </w:tc>
        <w:tc>
          <w:tcPr>
            <w:tcW w:type="dxa" w:w="2550"/>
            <w:vAlign w:val="center"/>
            <w:tcMar>
              <w:top w:w="100" w:type="dxa"/>
              <w:start w:w="120" w:type="dxa"/>
              <w:bottom w:w="100" w:type="dxa"/>
              <w:end w:w="120" w:type="dxa"/>
            </w:tcMar>
            <w:shd w:fill="F3F6F5"/>
          </w:tcPr>
          <w:p>
            <w:pPr>
              <w:spacing w:after="0"/>
              <w:jc w:val="left"/>
            </w:pPr>
            <w:r>
              <w:rPr>
                <w:rFonts w:ascii="Calibri" w:hAnsi="Calibri"/>
                <w:b w:val="0"/>
                <w:i w:val="0"/>
                <w:color w:val="17201D"/>
                <w:sz w:val="18"/>
              </w:rPr>
              <w:t>Chi phí theo nhà hàng cao</w:t>
            </w:r>
          </w:p>
        </w:tc>
        <w:tc>
          <w:tcPr>
            <w:tcW w:type="dxa" w:w="4460"/>
            <w:vAlign w:val="center"/>
            <w:tcMar>
              <w:top w:w="100" w:type="dxa"/>
              <w:start w:w="120" w:type="dxa"/>
              <w:bottom w:w="100" w:type="dxa"/>
              <w:end w:w="120" w:type="dxa"/>
            </w:tcMar>
            <w:shd w:fill="F3F6F5"/>
          </w:tcPr>
          <w:p>
            <w:pPr>
              <w:spacing w:after="0"/>
              <w:jc w:val="left"/>
            </w:pPr>
            <w:r>
              <w:rPr>
                <w:rFonts w:ascii="Calibri" w:hAnsi="Calibri"/>
                <w:b w:val="0"/>
                <w:i w:val="0"/>
                <w:color w:val="17201D"/>
                <w:sz w:val="18"/>
              </w:rPr>
              <w:t>Add-on, quota và tách khỏi giá nền tảng</w:t>
            </w:r>
          </w:p>
        </w:tc>
      </w:tr>
    </w:tbl>
    <w:p>
      <w:pPr>
        <w:pStyle w:val="Heading1"/>
        <w:keepNext/>
      </w:pPr>
      <w:r>
        <w:t>10. Kế hoạch kiểm chứng 90 ngày</w:t>
      </w:r>
    </w:p>
    <w:p>
      <w:pPr>
        <w:pStyle w:val="ListNumber"/>
      </w:pPr>
      <w:r>
        <w:rPr>
          <w:rFonts w:ascii="Calibri" w:hAnsi="Calibri"/>
          <w:b w:val="0"/>
          <w:i w:val="0"/>
          <w:color w:val="17201D"/>
          <w:sz w:val="22"/>
        </w:rPr>
        <w:t>Tháng 1: hoàn tất baseline production, xác định vùng dữ liệu, backup, giám sát và giới hạn chi phí cho từng dịch vụ.</w:t>
      </w:r>
    </w:p>
    <w:p>
      <w:pPr>
        <w:pStyle w:val="ListNumber"/>
      </w:pPr>
      <w:r>
        <w:rPr>
          <w:rFonts w:ascii="Calibri" w:hAnsi="Calibri"/>
          <w:b w:val="0"/>
          <w:i w:val="0"/>
          <w:color w:val="17201D"/>
          <w:sz w:val="22"/>
        </w:rPr>
        <w:t>Tháng 2: chạy pilot có kiểm soát, đo database compute, request, email, file, AI và khối lượng hỗ trợ thực tế theo nhà hàng.</w:t>
      </w:r>
    </w:p>
    <w:p>
      <w:pPr>
        <w:pStyle w:val="ListNumber"/>
      </w:pPr>
      <w:r>
        <w:rPr>
          <w:rFonts w:ascii="Calibri" w:hAnsi="Calibri"/>
          <w:b w:val="0"/>
          <w:i w:val="0"/>
          <w:color w:val="17201D"/>
          <w:sz w:val="22"/>
        </w:rPr>
        <w:t>Tháng 3: so sánh hóa đơn với mô hình này, cập nhật chi phí đơn vị và quyết định thời điểm cần nâng cấp gói production.</w:t>
      </w:r>
    </w:p>
    <w:tbl>
      <w:tblPr>
        <w:tblW w:type="dxa" w:w="9360"/>
        <w:jc w:val="left"/>
        <w:tblLayout w:type="fixed"/>
        <w:tblLook w:firstColumn="1" w:firstRow="1" w:lastColumn="0" w:lastRow="0" w:noHBand="0" w:noVBand="1" w:val="04A0"/>
        <w:tblInd w:w="120" w:type="dxa"/>
        <w:tblBorders>
          <w:top w:val="single" w:sz="0" w:color="EAF5F1"/>
          <w:left w:val="single" w:sz="0" w:color="EAF5F1"/>
          <w:bottom w:val="single" w:sz="0" w:color="EAF5F1"/>
          <w:right w:val="single" w:sz="0" w:color="EAF5F1"/>
          <w:insideH w:val="single" w:sz="0" w:color="EAF5F1"/>
          <w:insideV w:val="single" w:sz="0" w:color="EAF5F1"/>
        </w:tblBorders>
      </w:tblPr>
      <w:tblGrid>
        <w:gridCol w:w="9360"/>
      </w:tblGrid>
      <w:tr>
        <w:trPr>
          <w:cantSplit/>
        </w:trPr>
        <w:tc>
          <w:tcPr>
            <w:tcW w:type="dxa" w:w="9360"/>
            <w:vAlign w:val="center"/>
            <w:tcMar>
              <w:top w:w="180" w:type="dxa"/>
              <w:start w:w="220" w:type="dxa"/>
              <w:bottom w:w="180" w:type="dxa"/>
              <w:end w:w="220" w:type="dxa"/>
            </w:tcMar>
            <w:shd w:fill="EAF5F1"/>
          </w:tcPr>
          <w:p>
            <w:pPr>
              <w:spacing w:after="0"/>
            </w:pPr>
            <w:r>
              <w:rPr>
                <w:rFonts w:ascii="Calibri" w:hAnsi="Calibri"/>
                <w:b/>
                <w:i w:val="0"/>
                <w:color w:val="153B32"/>
                <w:sz w:val="22"/>
              </w:rPr>
              <w:t xml:space="preserve">TIÊU CHÍ QUYẾT ĐỊNH  </w:t>
            </w:r>
            <w:r>
              <w:rPr>
                <w:rFonts w:ascii="Calibri" w:hAnsi="Calibri"/>
                <w:b w:val="0"/>
                <w:i w:val="0"/>
                <w:color w:val="17201D"/>
                <w:sz w:val="22"/>
              </w:rPr>
              <w:t>Chỉ nâng cấp sang gói Enterprise khi một yêu cầu hợp đồng, bảo mật hoặc độ tin cậy có giá trị lớn hơn phần chi phí tăng thêm; không nâng cấp chỉ vì số lượng nhà hàng đạt một con số tròn.</w:t>
            </w:r>
          </w:p>
        </w:tc>
      </w:tr>
    </w:tbl>
    <w:p>
      <w:pPr>
        <w:spacing w:after="0"/>
      </w:pPr>
    </w:p>
    <w:p>
      <w:pPr>
        <w:pStyle w:val="Heading1"/>
        <w:keepNext/>
      </w:pPr>
      <w:r>
        <w:t>11. Kết luận</w:t>
      </w:r>
    </w:p>
    <w:p>
      <w:pPr>
        <w:spacing w:after="120"/>
      </w:pPr>
      <w:r>
        <w:rPr>
          <w:rFonts w:ascii="Calibri" w:hAnsi="Calibri"/>
          <w:b w:val="0"/>
          <w:i w:val="0"/>
          <w:color w:val="17201D"/>
          <w:sz w:val="22"/>
        </w:rPr>
        <w:t>Về mặt chi phí, mô hình hạ tầng đề xuất có thể hỗ trợ quy mô 40–100 nhà hàng với chi phí trung tâm thấp so với chi phí nhân sự và hỗ trợ. Đây là dự toán tài chính, không phải chứng nhận năng lực production. Mô hình dịch vụ được quản lý giúp công ty tập trung vốn và thời gian vào sản phẩm, dữ liệu, trải nghiệm người dùng và vận hành nhà hàng.</w:t>
      </w:r>
    </w:p>
    <w:p>
      <w:pPr>
        <w:spacing w:after="120"/>
      </w:pPr>
      <w:r>
        <w:rPr>
          <w:rFonts w:ascii="Calibri" w:hAnsi="Calibri"/>
          <w:b w:val="0"/>
          <w:i w:val="0"/>
          <w:color w:val="17201D"/>
          <w:sz w:val="22"/>
        </w:rPr>
        <w:t>Ngân sách khuyến nghị cho giai đoạn hiện tại là €250–1.000 mỗi tháng, kèm giới hạn chi tiêu và ba tháng đo lường thực tế. SMS, phần cứng, nhân sự và production Enterprise phải được quản lý như các dòng ngân sách riêng.</w:t>
      </w:r>
    </w:p>
    <w:p>
      <w:pPr>
        <w:pStyle w:val="Heading1"/>
        <w:keepNext/>
      </w:pPr>
      <w:r>
        <w:t>12. Nguồn tham khảo và giới hạn</w:t>
      </w:r>
    </w:p>
    <w:p>
      <w:pPr>
        <w:spacing w:after="80"/>
      </w:pPr>
      <w:hyperlink r:id="rId11">
        <w:r>
          <w:rPr>
            <w:color w:val="27866C"/>
            <w:u w:val="single"/>
          </w:rPr>
          <w:t>Vercel pricing</w:t>
        </w:r>
      </w:hyperlink>
      <w:r>
        <w:rPr>
          <w:rFonts w:ascii="Calibri" w:hAnsi="Calibri"/>
          <w:b w:val="0"/>
          <w:i w:val="0"/>
          <w:color w:val="58645F"/>
          <w:sz w:val="19"/>
        </w:rPr>
        <w:t xml:space="preserve"> — Gói Pro và cách tính phần usage vượt mức.</w:t>
      </w:r>
    </w:p>
    <w:p>
      <w:pPr>
        <w:spacing w:after="80"/>
      </w:pPr>
      <w:hyperlink r:id="rId12">
        <w:r>
          <w:rPr>
            <w:color w:val="27866C"/>
            <w:u w:val="single"/>
          </w:rPr>
          <w:t>Neon pricing</w:t>
        </w:r>
      </w:hyperlink>
      <w:r>
        <w:rPr>
          <w:rFonts w:ascii="Calibri" w:hAnsi="Calibri"/>
          <w:b w:val="0"/>
          <w:i w:val="0"/>
          <w:color w:val="58645F"/>
          <w:sz w:val="19"/>
        </w:rPr>
        <w:t xml:space="preserve"> — Compute, storage, restore window và ví dụ tải.</w:t>
      </w:r>
    </w:p>
    <w:p>
      <w:pPr>
        <w:spacing w:after="80"/>
      </w:pPr>
      <w:hyperlink r:id="rId13">
        <w:r>
          <w:rPr>
            <w:color w:val="27866C"/>
            <w:u w:val="single"/>
          </w:rPr>
          <w:t>Postmark pricing</w:t>
        </w:r>
      </w:hyperlink>
      <w:r>
        <w:rPr>
          <w:rFonts w:ascii="Calibri" w:hAnsi="Calibri"/>
          <w:b w:val="0"/>
          <w:i w:val="0"/>
          <w:color w:val="58645F"/>
          <w:sz w:val="19"/>
        </w:rPr>
        <w:t xml:space="preserve"> — Email giao dịch và chi phí vượt quota.</w:t>
      </w:r>
    </w:p>
    <w:p>
      <w:pPr>
        <w:spacing w:after="80"/>
      </w:pPr>
      <w:hyperlink r:id="rId14">
        <w:r>
          <w:rPr>
            <w:color w:val="27866C"/>
            <w:u w:val="single"/>
          </w:rPr>
          <w:t>OpenAI GPT-5.6 Luna</w:t>
        </w:r>
      </w:hyperlink>
      <w:r>
        <w:rPr>
          <w:rFonts w:ascii="Calibri" w:hAnsi="Calibri"/>
          <w:b w:val="0"/>
          <w:i w:val="0"/>
          <w:color w:val="58645F"/>
          <w:sz w:val="19"/>
        </w:rPr>
        <w:t xml:space="preserve"> — Giá token cho workload có chi phí thấp.</w:t>
      </w:r>
    </w:p>
    <w:p>
      <w:pPr>
        <w:spacing w:after="80"/>
      </w:pPr>
      <w:hyperlink r:id="rId15">
        <w:r>
          <w:rPr>
            <w:color w:val="27866C"/>
            <w:u w:val="single"/>
          </w:rPr>
          <w:t>OpenAI data controls</w:t>
        </w:r>
      </w:hyperlink>
      <w:r>
        <w:rPr>
          <w:rFonts w:ascii="Calibri" w:hAnsi="Calibri"/>
          <w:b w:val="0"/>
          <w:i w:val="0"/>
          <w:color w:val="58645F"/>
          <w:sz w:val="19"/>
        </w:rPr>
        <w:t xml:space="preserve"> — Retention, data residency và các điều kiện kiểm soát dữ liệu.</w:t>
      </w:r>
    </w:p>
    <w:p>
      <w:pPr>
        <w:spacing w:after="80"/>
      </w:pPr>
      <w:hyperlink r:id="rId16">
        <w:r>
          <w:rPr>
            <w:color w:val="27866C"/>
            <w:u w:val="single"/>
          </w:rPr>
          <w:t>AWS GuardDuty pricing</w:t>
        </w:r>
      </w:hyperlink>
      <w:r>
        <w:rPr>
          <w:rFonts w:ascii="Calibri" w:hAnsi="Calibri"/>
          <w:b w:val="0"/>
          <w:i w:val="0"/>
          <w:color w:val="58645F"/>
          <w:sz w:val="19"/>
        </w:rPr>
        <w:t xml:space="preserve"> — Quét malware cho file tải lên S3.</w:t>
      </w:r>
    </w:p>
    <w:p>
      <w:pPr>
        <w:spacing w:after="80"/>
      </w:pPr>
      <w:hyperlink r:id="rId17">
        <w:r>
          <w:rPr>
            <w:color w:val="27866C"/>
            <w:u w:val="single"/>
          </w:rPr>
          <w:t>AWS S3 encryption</w:t>
        </w:r>
      </w:hyperlink>
      <w:r>
        <w:rPr>
          <w:rFonts w:ascii="Calibri" w:hAnsi="Calibri"/>
          <w:b w:val="0"/>
          <w:i w:val="0"/>
          <w:color w:val="58645F"/>
          <w:sz w:val="19"/>
        </w:rPr>
        <w:t xml:space="preserve"> — Mã hóa mặc định và lựa chọn KMS.</w:t>
      </w:r>
    </w:p>
    <w:p>
      <w:pPr>
        <w:spacing w:after="40"/>
      </w:pPr>
      <w:r>
        <w:rPr>
          <w:rFonts w:ascii="Calibri" w:hAnsi="Calibri"/>
          <w:b w:val="0"/>
          <w:i w:val="0"/>
          <w:color w:val="17201D"/>
          <w:sz w:val="22"/>
        </w:rPr>
        <w:t>Tất cả dự toán trong báo cáo là chỉ dẫn lập kế hoạch tại ngày 18/08/2026. Chi phí thực tế phụ thuộc mức sử dụng, vùng triển khai, tỷ giá, thuế, điều khoản hợp đồng và lựa chọn kỹ thuật cuối cùng.</w:t>
      </w:r>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8645F"/>
        <w:sz w:val="18"/>
      </w:rPr>
      <w:t xml:space="preserve">Trang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4" w:color="CDD8D4"/>
      </w:pBdr>
    </w:pPr>
    <w:r>
      <w:rPr>
        <w:rFonts w:ascii="Calibri" w:hAnsi="Calibri"/>
        <w:b/>
        <w:i w:val="0"/>
        <w:color w:val="58645F"/>
        <w:sz w:val="17"/>
      </w:rPr>
      <w:t>YUTA  |  Dự toán chi phí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0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53B32"/>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7866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53B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vercel.com/pricing" TargetMode="External"/><Relationship Id="rId12" Type="http://schemas.openxmlformats.org/officeDocument/2006/relationships/hyperlink" Target="https://neon.com/pricing" TargetMode="External"/><Relationship Id="rId13" Type="http://schemas.openxmlformats.org/officeDocument/2006/relationships/hyperlink" Target="https://postmarkapp.com/pricing" TargetMode="External"/><Relationship Id="rId14" Type="http://schemas.openxmlformats.org/officeDocument/2006/relationships/hyperlink" Target="https://developers.openai.com/api/docs/models/gpt-5.6-luna" TargetMode="External"/><Relationship Id="rId15" Type="http://schemas.openxmlformats.org/officeDocument/2006/relationships/hyperlink" Target="https://developers.openai.com/api/docs/guides/your-data" TargetMode="External"/><Relationship Id="rId16" Type="http://schemas.openxmlformats.org/officeDocument/2006/relationships/hyperlink" Target="https://aws.amazon.com/guardduty/pricing/" TargetMode="External"/><Relationship Id="rId17" Type="http://schemas.openxmlformats.org/officeDocument/2006/relationships/hyperlink" Target="https://docs.aws.amazon.com/AmazonS3/latest/userguide/bucket-encryp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YUTA - Dự toán chi phí vận hành sản phẩm</dc:title>
  <dc:subject>Báo cáo sơ bộ dành cho nhà đầu tư</dc:subject>
  <dc:creator/>
  <cp:keywords>YUTA, investor, infrastructure, operating cost</cp:keywords>
  <dc:description>generated by python-docx</dc:description>
  <cp:lastModifiedBy/>
  <cp:revision>1</cp:revision>
  <dcterms:created xsi:type="dcterms:W3CDTF">2013-12-23T23:15:00Z</dcterms:created>
  <dcterms:modified xsi:type="dcterms:W3CDTF">2013-12-23T23:15:00Z</dcterms:modified>
  <cp:category/>
</cp:coreProperties>
</file>