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4"/>
        </w:rPr>
        <w:t>TALLER 6: CEREMONIAS ÁGILES EN CONTINUOUS DEPLOYMENT</w:t>
      </w:r>
    </w:p>
    <w:p>
      <w:pPr>
        <w:jc w:val="center"/>
      </w:pPr>
      <w:r>
        <w:rPr>
          <w:i/>
          <w:color w:val="4B5563"/>
          <w:sz w:val="24"/>
        </w:rPr>
        <w:t>Resolución Integral del Caso: “La funcionalidad de Pagos Express ya está en main, pero nadie se atreve a activarla”</w:t>
        <w:br/>
        <w:t>Entorno Operativo: Render + GitHub Actions + ConfigCat + Scrum &amp; TBD Playbook v3.0</w:t>
      </w:r>
    </w:p>
    <w:p/>
    <w:p>
      <w:pPr>
        <w:spacing w:before="320" w:after="120"/>
      </w:pPr>
      <w:r>
        <w:rPr>
          <w:b/>
          <w:color w:val="1E3A8A"/>
          <w:sz w:val="30"/>
        </w:rPr>
        <w:t>0. Apertura y Conexión con el Nuevo Flujo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b/>
                <w:color w:val="1E3A8A"/>
              </w:rPr>
              <w:t>Pregunta Clave del Taller</w:t>
              <w:br/>
            </w:r>
            <w:r>
              <w:rPr>
                <w:sz w:val="21"/>
              </w:rPr>
              <w:t>“Ya tenemos el pipeline completo: integramos a main, se despliega solo a Render y protegemos funcionalidades con ConfigCat.</w:t>
              <w:br/>
              <w:t>¿Cómo cambian el Sprint Review y la Retrospective cuando desplegamos varias veces por semana?”</w:t>
              <w:br/>
              <w:br/>
              <w:t>1. El Sprint Review pasa de ser una aprobación tardía de fin de sprint a una demostración de valor real en producción con Feature Toggles y telemetría de negocio.</w:t>
              <w:br/>
              <w:t>2. La Sprint Retrospective pasa de ser solo una conversación subjetiva a una auditoría objetiva de la salud del pipeline (CI/CD), la disciplina TBD y el flujo de valor (métricas DORA).</w:t>
            </w:r>
          </w:p>
        </w:tc>
      </w:tr>
    </w:tbl>
    <w:p/>
    <w:p>
      <w:pPr>
        <w:spacing w:before="240" w:after="80"/>
      </w:pPr>
      <w:r>
        <w:rPr>
          <w:b/>
          <w:color w:val="2563EB"/>
          <w:sz w:val="25"/>
        </w:rPr>
        <w:t>¿Qué parte del Review o de la Retro actual se siente más ‘antigua’ o poco útil?</w:t>
      </w:r>
    </w:p>
    <w:p>
      <w:r>
        <w:t>• En el Review clásico: Se siente obsoleto montar una demo en localhost o diapositivas para mostrar código que ya lleva 9 días integrado en main y desplegado en Render. Mostrar "qué construimos" en vez de "qué valor recibieron los usuarios" no aporta al negocio.</w:t>
      </w:r>
    </w:p>
    <w:p>
      <w:r>
        <w:t>• En la Retro clásica: Hablar de estimaciones abstractas ignorando que el CI estuvo roto 4 días por un test flaky, que hubo una caída de 11 minutos por un health check mal configurado, o que hay 3 feature toggles con más de 45 días acumulando deuda técnica.</w:t>
      </w:r>
    </w:p>
    <w:p>
      <w:pPr>
        <w:spacing w:before="320" w:after="120"/>
      </w:pPr>
      <w:r>
        <w:rPr>
          <w:b/>
          <w:color w:val="1E3A8A"/>
          <w:sz w:val="30"/>
        </w:rPr>
        <w:t>1. Adaptación del Sprint Review al Continuous Deployment</w:t>
      </w:r>
    </w:p>
    <w:p>
      <w:pPr>
        <w:spacing w:before="240" w:after="80"/>
      </w:pPr>
      <w:r>
        <w:rPr>
          <w:b/>
          <w:color w:val="2563EB"/>
          <w:sz w:val="25"/>
        </w:rPr>
        <w:t>1.1 Principios del Nuevo Review: Clásico vs CD + TBD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Sprint Review Clásico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Sprint Review en CD + TBD (Playbook 3.0)</w:t>
            </w:r>
          </w:p>
        </w:tc>
      </w:tr>
      <w:tr>
        <w:tc>
          <w:tcPr>
            <w:tcW w:type="dxa" w:w="3120"/>
            <w:shd w:fill="F9FAFB"/>
          </w:tcPr>
          <w:p>
            <w:r>
              <w:t>Ambiente de Demo</w:t>
            </w:r>
          </w:p>
        </w:tc>
        <w:tc>
          <w:tcPr>
            <w:tcW w:type="dxa" w:w="3120"/>
            <w:shd w:fill="F9FAFB"/>
          </w:tcPr>
          <w:p>
            <w:r>
              <w:t>Staging o Localhost ("en mi máquina funciona").</w:t>
            </w:r>
          </w:p>
        </w:tc>
        <w:tc>
          <w:tcPr>
            <w:tcW w:type="dxa" w:w="3120"/>
            <w:shd w:fill="F9FAFB"/>
          </w:tcPr>
          <w:p>
            <w:r>
              <w:t>Producción real en Render con datos vivos.</w:t>
            </w:r>
          </w:p>
        </w:tc>
      </w:tr>
      <w:tr>
        <w:tc>
          <w:tcPr>
            <w:tcW w:type="dxa" w:w="3120"/>
          </w:tcPr>
          <w:p>
            <w:r>
              <w:t>Naturaleza</w:t>
            </w:r>
          </w:p>
        </w:tc>
        <w:tc>
          <w:tcPr>
            <w:tcW w:type="dxa" w:w="3120"/>
          </w:tcPr>
          <w:p>
            <w:r>
              <w:t>Todo el incremento junto ("Todo o nada").</w:t>
            </w:r>
          </w:p>
        </w:tc>
        <w:tc>
          <w:tcPr>
            <w:tcW w:type="dxa" w:w="3120"/>
          </w:tcPr>
          <w:p>
            <w:r>
              <w:t>Atómico y desacoplado mediante Feature Toggles.</w:t>
            </w:r>
          </w:p>
        </w:tc>
      </w:tr>
      <w:tr>
        <w:tc>
          <w:tcPr>
            <w:tcW w:type="dxa" w:w="3120"/>
            <w:shd w:fill="F9FAFB"/>
          </w:tcPr>
          <w:p>
            <w:r>
              <w:t>Feedback</w:t>
            </w:r>
          </w:p>
        </w:tc>
        <w:tc>
          <w:tcPr>
            <w:tcW w:type="dxa" w:w="3120"/>
            <w:shd w:fill="F9FAFB"/>
          </w:tcPr>
          <w:p>
            <w:r>
              <w:t>Tardío, acumulado cada 14 días.</w:t>
            </w:r>
          </w:p>
        </w:tc>
        <w:tc>
          <w:tcPr>
            <w:tcW w:type="dxa" w:w="3120"/>
            <w:shd w:fill="F9FAFB"/>
          </w:tcPr>
          <w:p>
            <w:r>
              <w:t>Continuo con métricas de cohortes en tiempo real.</w:t>
            </w:r>
          </w:p>
        </w:tc>
      </w:tr>
      <w:tr>
        <w:tc>
          <w:tcPr>
            <w:tcW w:type="dxa" w:w="3120"/>
          </w:tcPr>
          <w:p>
            <w:r>
              <w:t>Enfoque</w:t>
            </w:r>
          </w:p>
        </w:tc>
        <w:tc>
          <w:tcPr>
            <w:tcW w:type="dxa" w:w="3120"/>
          </w:tcPr>
          <w:p>
            <w:r>
              <w:t>Demostrar qué código se escribió.</w:t>
            </w:r>
          </w:p>
        </w:tc>
        <w:tc>
          <w:tcPr>
            <w:tcW w:type="dxa" w:w="3120"/>
          </w:tcPr>
          <w:p>
            <w:r>
              <w:t>Demostrar qué valor recibieron los usuarios.</w:t>
            </w:r>
          </w:p>
        </w:tc>
      </w:tr>
    </w:tbl>
    <w:p/>
    <w:p>
      <w:pPr>
        <w:spacing w:before="240" w:after="80"/>
      </w:pPr>
      <w:r>
        <w:rPr>
          <w:b/>
          <w:color w:val="2563EB"/>
          <w:sz w:val="25"/>
        </w:rPr>
        <w:t>1.2 Simulación de Sprint Review: Caso Pagos Express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b/>
                <w:color w:val="1E3A8A"/>
              </w:rPr>
              <w:t>Estructura de la Demostración (4 minutos)</w:t>
              <w:br/>
            </w:r>
            <w:r>
              <w:rPr>
                <w:sz w:val="21"/>
              </w:rPr>
              <w:t>1. ¿Qué problema de usuario resuelve?</w:t>
              <w:br/>
              <w:t xml:space="preserve">   El checkout tradicional de 4 pasos tiene un 68% de abandono de carrito al exigir teclear 16 dígitos de tarjeta. Pagos Express permite pagar en 1 clic con tarjeta tokenizada guardada.</w:t>
              <w:br/>
              <w:br/>
              <w:t>2. ¿Está activo para todos o detrás de toggle?</w:t>
              <w:br/>
              <w:t xml:space="preserve">   Está integrado en main y desplegado en Render hace 9 días. Está protegido 100% por el toggle pagos-express-v1 en ConfigCat (inicialmente en OFF).</w:t>
              <w:br/>
              <w:br/>
              <w:t>3. Demo en vivo en Render:</w:t>
              <w:br/>
              <w:t xml:space="preserve">   • Con Toggle OFF: Se muestra el formulario tradicional con alta fricción y latencia de 420 ms.</w:t>
              <w:br/>
              <w:t xml:space="preserve">   • Con Toggle ON: La interfaz se transforma mostrando la tarjeta Visa 4242 tokenizada y el botón de 1 clic, procesando la compra en 85 ms.</w:t>
              <w:br/>
              <w:br/>
              <w:t>4. Métrica o evidencia de valor:</w:t>
              <w:br/>
              <w:t xml:space="preserve">   Latencia reducida a 85 ms, 0% de errores en pasarela y proyección de +93% de incremento en conversión.</w:t>
              <w:br/>
              <w:br/>
              <w:t>5. Pregunta al Stakeholder:</w:t>
              <w:br/>
              <w:t xml:space="preserve">   “¿Esto cumple con la expectativa para habilitar el Canary del 20% este viernes?” (Aprobado).</w:t>
            </w:r>
          </w:p>
        </w:tc>
      </w:tr>
    </w:tbl>
    <w:p/>
    <w:p>
      <w:pPr>
        <w:spacing w:before="320" w:after="120"/>
      </w:pPr>
      <w:r>
        <w:rPr>
          <w:b/>
          <w:color w:val="1E3A8A"/>
          <w:sz w:val="30"/>
        </w:rPr>
        <w:t>2. Adaptación de la Sprint Retrospective</w:t>
      </w:r>
    </w:p>
    <w:p>
      <w:pPr>
        <w:spacing w:before="240" w:after="80"/>
      </w:pPr>
      <w:r>
        <w:rPr>
          <w:b/>
          <w:color w:val="2563EB"/>
          <w:sz w:val="25"/>
        </w:rPr>
        <w:t>2.1 Diagnóstico de los 7 Hechos Problemáticos del Caso</w:t>
      </w:r>
    </w:p>
    <w:p>
      <w:r>
        <w:t>1. Presión del PO por activar el 20% el viernes: Resuelto mediante Progressive Delivery con Canary controlado y observabilidad activa.</w:t>
      </w:r>
    </w:p>
    <w:p>
      <w:r>
        <w:t>2. Último deploy falló health check 11 minutos: Resuelto implementando endpoint /api/health dedicado en Render.</w:t>
      </w:r>
    </w:p>
    <w:p>
      <w:r>
        <w:t>3. 3 Toggles llevan &gt; 45 días activos: Resuelto formalizando TTL máximo de 30 días y generando el PR de refactorización #142.</w:t>
      </w:r>
    </w:p>
    <w:p>
      <w:r>
        <w:t>4. Solo 4 integraciones a main en el sprint: Resuelto restaurando la disciplina de Trunk-Based Development con ramas &lt; 24h.</w:t>
      </w:r>
    </w:p>
    <w:p>
      <w:r>
        <w:t>5. Rama viva 4 días por test flaky: Resuelto erradicando pruebas inestables y blindando CI con 24 tests deterministas.</w:t>
      </w:r>
    </w:p>
    <w:p>
      <w:r>
        <w:t>6. Ceguera de métricas de pago: Resuelto actualizando el DoD v3.0 para exigir telemetría de errores y latencia antes del release.</w:t>
      </w:r>
    </w:p>
    <w:p>
      <w:r>
        <w:t>7. Stakeholder anunció que ya está listo: Resuelto educando en la distinción Deploy != Release.</w:t>
      </w:r>
    </w:p>
    <w:p>
      <w:pPr>
        <w:spacing w:before="240" w:after="80"/>
      </w:pPr>
      <w:r>
        <w:rPr>
          <w:b/>
          <w:color w:val="2563EB"/>
          <w:sz w:val="25"/>
        </w:rPr>
        <w:t>2.2 Matriz de Retrospective y 3 Acciones Concretas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F4F6"/>
          </w:tcPr>
          <w:p>
            <w:r>
              <w:t>🟢 LO QUE FUNCIONÓ BIEN</w:t>
              <w:br/>
              <w:t>• Código sliceado e integrado con toggle en main.</w:t>
              <w:br/>
              <w:t>• ConfigCat protegió la producción durante 9 días.</w:t>
              <w:br/>
              <w:t>• Pipeline de Render desplegando sin intervención manual.</w:t>
            </w:r>
          </w:p>
        </w:tc>
        <w:tc>
          <w:tcPr>
            <w:tcW w:type="dxa" w:w="4680"/>
            <w:shd w:fill="F9FAFB"/>
          </w:tcPr>
          <w:p>
            <w:r>
              <w:t>🟡 LO QUE GENERÓ FRICCIÓN</w:t>
              <w:br/>
              <w:t>• Marketing lanzó campaña antes de validación.</w:t>
              <w:br/>
              <w:t>• Miedo a encender el toggle por falta de métricas.</w:t>
              <w:br/>
              <w:t>• 3 toggles viejos ensuciando el código.</w:t>
            </w:r>
          </w:p>
        </w:tc>
      </w:tr>
      <w:tr>
        <w:tc>
          <w:tcPr>
            <w:tcW w:type="dxa" w:w="4680"/>
            <w:shd w:fill="F3F4F6"/>
          </w:tcPr>
          <w:p>
            <w:r>
              <w:t>🔴 LO QUE ROMPIÓ EL FLUJO O GENERÓ MIEDO</w:t>
              <w:br/>
              <w:t>• Test flaky tuvo CI rojo 4 días (rama viva 4 días).</w:t>
              <w:br/>
              <w:t>• Caída de 11 minutos por health check fallido.</w:t>
              <w:br/>
              <w:t>• Miedo del equipo por falta de telemetría de pagos.</w:t>
            </w:r>
          </w:p>
        </w:tc>
        <w:tc>
          <w:tcPr>
            <w:tcW w:type="dxa" w:w="4680"/>
            <w:shd w:fill="F9FAFB"/>
          </w:tcPr>
          <w:p>
            <w:r>
              <w:t>🚀 ACCIONES DE MEJORA (MÁXIMO 3)</w:t>
              <w:br/>
              <w:t>1. Erradicar test flaky y fijar /api/health en Render (Carlos | 48h).</w:t>
              <w:br/>
              <w:t>2. Exigir SLIs de pago en el DoD v3.0 (Sofía | Viernes).</w:t>
              <w:br/>
              <w:t>3. Ejecutar PR #142 de limpieza de toggles &gt; 30 días (Laura + Carlos | Sprint+1).</w:t>
            </w:r>
          </w:p>
        </w:tc>
      </w:tr>
    </w:tbl>
    <w:p/>
    <w:p>
      <w:pPr>
        <w:spacing w:before="320" w:after="120"/>
      </w:pPr>
      <w:r>
        <w:rPr>
          <w:b/>
          <w:color w:val="1E3A8A"/>
          <w:sz w:val="30"/>
        </w:rPr>
        <w:t>3. Liberación Segura de Valor (Progressive Delivery)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b/>
                <w:color w:val="1E3A8A"/>
              </w:rPr>
              <w:t>Estrategia de Liberación y Criterios Go / No-Go</w:t>
              <w:br/>
            </w:r>
            <w:r>
              <w:rPr>
                <w:sz w:val="21"/>
              </w:rPr>
              <w:t>• FASE 0: Dark Deploy (0% usuarios) — Código en producción en OFF.</w:t>
              <w:br/>
              <w:t>• FASE 1: Dogfooding Interno — Solo cuentas @nexusdash.dev para pruebas de humo.</w:t>
              <w:br/>
              <w:t>• FASE 2: Canary 20% (Viernes) — Hashing por userId, monitoreando tasa de error &lt; 0.5%.</w:t>
              <w:br/>
              <w:t>• FASE 3: 100% General Availability (Lunes) — Liberación completa si las métricas se mantienen estables.</w:t>
              <w:br/>
              <w:br/>
              <w:t>🚨 PROTOCOLO KILL SWITCH:</w:t>
              <w:br/>
              <w:t>Si la tasa de error supera el 1.0% o la latencia excede 500 ms, se apaga el toggle a 0% en segundos desde ConfigCat sin requerir nuevo deploy ni reinicio de servicios.</w:t>
            </w:r>
          </w:p>
        </w:tc>
      </w:tr>
    </w:tbl>
    <w:p/>
    <w:p>
      <w:pPr>
        <w:spacing w:before="320" w:after="120"/>
      </w:pPr>
      <w:r>
        <w:rPr>
          <w:b/>
          <w:color w:val="1E3A8A"/>
          <w:sz w:val="30"/>
        </w:rPr>
        <w:t>4. Actualización del Playbook y Checklist de Fase 1</w:t>
      </w:r>
    </w:p>
    <w:p>
      <w:r>
        <w:t>• Scrum + TBD Playbook v3.0 formalizado con las nuevas ceremonias adaptadas.</w:t>
      </w:r>
    </w:p>
    <w:p>
      <w:r>
        <w:t>• Definition of Done (DoD) v3.0 integrado con criterios técnicos, despliegue, toggles y observabilidad.</w:t>
      </w:r>
    </w:p>
    <w:p>
      <w:r>
        <w:t>• Checklist de Fase 1 cerrado al 100% con éxito.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b/>
                <w:color w:val="1E3A8A"/>
              </w:rPr>
              <w:t>Ronda Final del Taller</w:t>
              <w:br/>
            </w:r>
            <w:r>
              <w:rPr>
                <w:sz w:val="21"/>
              </w:rPr>
              <w:t>“A partir de hoy, nunca más lanzaremos una campaña de marketing asumiendo que deploy = listo; coordinaremos los porcentajes de rollout en ConfigCat observando datos reales y no toleraremos pruebas inestables en el CI.”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