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三日低吸：衰竭止跌型与下影止跌型</w:t>
      </w:r>
    </w:p>
    <w:p>
      <w:pPr>
        <w:jc w:val="center"/>
      </w:pPr>
      <w:r>
        <w:rPr>
          <w:b w:val="0"/>
          <w:color w:val="59645F"/>
          <w:sz w:val="22"/>
        </w:rPr>
        <w:t>规则说明、K 线图示与计算示例</w:t>
      </w:r>
    </w:p>
    <w:p>
      <w:r>
        <w:rPr>
          <w:b w:val="0"/>
          <w:color w:val="59645F"/>
        </w:rPr>
        <w:t>适用范围：重点观察池的日线三日低吸提醒。该规则用于识别客观行情结构，不构成买卖建议或收益保证。</w:t>
      </w:r>
    </w:p>
    <w:p>
      <w:pPr>
        <w:pStyle w:val="Heading1"/>
      </w:pPr>
      <w:r>
        <w:t>一、先满足共同前置条件</w:t>
      </w:r>
    </w:p>
    <w:p>
      <w:r>
        <w:rPr>
          <w:b w:val="0"/>
        </w:rPr>
        <w:t>衰竭止跌型和下影止跌型都不是单独看一根 K 线，而是先检查连续 4 个交易日组成的窗口：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91"/>
            <w:shd w:fill="315A78"/>
            <w:vAlign w:val="center"/>
          </w:tcPr>
          <w:p>
            <w:r>
              <w:rPr>
                <w:b/>
                <w:color w:val="FFFFFF"/>
              </w:rPr>
              <w:t>交易日</w:t>
            </w:r>
          </w:p>
        </w:tc>
        <w:tc>
          <w:tcPr>
            <w:tcW w:type="dxa" w:w="1814"/>
            <w:shd w:fill="315A78"/>
            <w:vAlign w:val="center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5953"/>
            <w:shd w:fill="315A78"/>
            <w:vAlign w:val="center"/>
          </w:tcPr>
          <w:p>
            <w:r>
              <w:rPr>
                <w:b/>
                <w:color w:val="FFFFFF"/>
              </w:rPr>
              <w:t>必须满足的条件</w:t>
            </w:r>
          </w:p>
        </w:tc>
      </w:tr>
      <w:tr>
        <w:tc>
          <w:tcPr>
            <w:tcW w:type="dxa" w:w="1191"/>
            <w:shd w:fill="F2F7F4"/>
            <w:vAlign w:val="center"/>
          </w:tcPr>
          <w:p>
            <w:r>
              <w:t>T-3</w:t>
            </w:r>
          </w:p>
        </w:tc>
        <w:tc>
          <w:tcPr>
            <w:tcW w:type="dxa" w:w="1814"/>
            <w:shd w:fill="F2F7F4"/>
            <w:vAlign w:val="center"/>
          </w:tcPr>
          <w:p>
            <w:r>
              <w:t>基准日</w:t>
            </w:r>
          </w:p>
        </w:tc>
        <w:tc>
          <w:tcPr>
            <w:tcW w:type="dxa" w:w="5953"/>
            <w:shd w:fill="F2F7F4"/>
            <w:vAlign w:val="center"/>
          </w:tcPr>
          <w:p>
            <w:r>
              <w:t>收红：收盘价 &gt; 开盘价</w:t>
            </w:r>
          </w:p>
        </w:tc>
      </w:tr>
      <w:tr>
        <w:tc>
          <w:tcPr>
            <w:tcW w:type="dxa" w:w="1191"/>
            <w:vAlign w:val="center"/>
          </w:tcPr>
          <w:p>
            <w:r>
              <w:t>T-2</w:t>
            </w:r>
          </w:p>
        </w:tc>
        <w:tc>
          <w:tcPr>
            <w:tcW w:type="dxa" w:w="1814"/>
            <w:vAlign w:val="center"/>
          </w:tcPr>
          <w:p>
            <w:r>
              <w:t>前置下跌第 1 天</w:t>
            </w:r>
          </w:p>
        </w:tc>
        <w:tc>
          <w:tcPr>
            <w:tcW w:type="dxa" w:w="5953"/>
            <w:vAlign w:val="center"/>
          </w:tcPr>
          <w:p>
            <w:r>
              <w:t>收阴：收盘价 &lt; 开盘价；收盘低于基准日</w:t>
            </w:r>
          </w:p>
        </w:tc>
      </w:tr>
      <w:tr>
        <w:tc>
          <w:tcPr>
            <w:tcW w:type="dxa" w:w="1191"/>
            <w:shd w:fill="F2F7F4"/>
            <w:vAlign w:val="center"/>
          </w:tcPr>
          <w:p>
            <w:r>
              <w:t>T-1</w:t>
            </w:r>
          </w:p>
        </w:tc>
        <w:tc>
          <w:tcPr>
            <w:tcW w:type="dxa" w:w="1814"/>
            <w:shd w:fill="F2F7F4"/>
            <w:vAlign w:val="center"/>
          </w:tcPr>
          <w:p>
            <w:r>
              <w:t>前置下跌第 2 天</w:t>
            </w:r>
          </w:p>
        </w:tc>
        <w:tc>
          <w:tcPr>
            <w:tcW w:type="dxa" w:w="5953"/>
            <w:shd w:fill="F2F7F4"/>
            <w:vAlign w:val="center"/>
          </w:tcPr>
          <w:p>
            <w:r>
              <w:t>收阴：收盘价 &lt; 开盘价；收盘继续低于 T-2</w:t>
            </w:r>
          </w:p>
        </w:tc>
      </w:tr>
      <w:tr>
        <w:tc>
          <w:tcPr>
            <w:tcW w:type="dxa" w:w="1191"/>
            <w:vAlign w:val="center"/>
          </w:tcPr>
          <w:p>
            <w:r>
              <w:t>T</w:t>
            </w:r>
          </w:p>
        </w:tc>
        <w:tc>
          <w:tcPr>
            <w:tcW w:type="dxa" w:w="1814"/>
            <w:vAlign w:val="center"/>
          </w:tcPr>
          <w:p>
            <w:r>
              <w:t>信号日</w:t>
            </w:r>
          </w:p>
        </w:tc>
        <w:tc>
          <w:tcPr>
            <w:tcW w:type="dxa" w:w="5953"/>
            <w:vAlign w:val="center"/>
          </w:tcPr>
          <w:p>
            <w:r>
              <w:t>在前低附近探低后，按不同止跌结构分类</w:t>
            </w:r>
          </w:p>
        </w:tc>
      </w:tr>
    </w:tbl>
    <w:p/>
    <w:p>
      <w:pPr>
        <w:jc w:val="center"/>
      </w:pPr>
      <w:r>
        <w:rPr>
          <w:rFonts w:ascii="Consolas" w:hAnsi="Consolas"/>
          <w:b/>
          <w:color w:val="315A78"/>
          <w:sz w:val="21"/>
        </w:rPr>
        <w:t>T-3 收盘 &gt; T-2 收盘 &gt; T-1 收盘</w:t>
      </w:r>
    </w:p>
    <w:p>
      <w:pPr>
        <w:pStyle w:val="ListBullet"/>
      </w:pPr>
      <w:r>
        <w:t>前置两日累计跌幅必须达到参数门槛，当前默认至少 8%。</w:t>
      </w:r>
    </w:p>
    <w:p>
      <w:pPr>
        <w:pStyle w:val="ListBullet"/>
      </w:pPr>
      <w:r>
        <w:t>信号日最低价可高于前置两日最低价，但当前默认最多高 4%。例如前低 100，允许的最高信号日低点为 104。</w:t>
      </w:r>
    </w:p>
    <w:p>
      <w:pPr>
        <w:pStyle w:val="ListBullet"/>
      </w:pPr>
      <w:r>
        <w:t>共同前置不通过时，不再进入“衰竭”或“下影”细分判断。</w:t>
      </w:r>
    </w:p>
    <w:p>
      <w:r>
        <w:br w:type="page"/>
      </w:r>
    </w:p>
    <w:p>
      <w:pPr>
        <w:pStyle w:val="Heading1"/>
      </w:pPr>
      <w:r>
        <w:t>K 线结构图</w:t>
      </w:r>
    </w:p>
    <w:p>
      <w:r>
        <w:rPr>
          <w:b w:val="0"/>
          <w:color w:val="59645F"/>
        </w:rPr>
        <w:t>以下为示意图，比例用于理解形态结构，并非按真实行情比例绘制。绿色表示收红，深色表示收阴或小实体。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6000" cy="298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三日低吸_K线结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9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9645F"/>
          <w:sz w:val="18"/>
        </w:rPr>
        <w:t>左图：信号日实体很小，重点是多空趋于平衡。右图：信号日留下长下影线，重点是盘中低点获得承接。</w:t>
      </w:r>
    </w:p>
    <w:p/>
    <w:p>
      <w:r>
        <w:rPr>
          <w:b/>
          <w:color w:val="173B2A"/>
        </w:rPr>
        <w:t>更直观的价格案例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315A78"/>
            <w:vAlign w:val="center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3515"/>
            <w:shd w:fill="315A78"/>
            <w:vAlign w:val="center"/>
          </w:tcPr>
          <w:p>
            <w:r>
              <w:rPr>
                <w:b/>
                <w:color w:val="FFFFFF"/>
              </w:rPr>
              <w:t>衰竭止跌型示例</w:t>
            </w:r>
          </w:p>
        </w:tc>
        <w:tc>
          <w:tcPr>
            <w:tcW w:type="dxa" w:w="3515"/>
            <w:shd w:fill="315A78"/>
            <w:vAlign w:val="center"/>
          </w:tcPr>
          <w:p>
            <w:r>
              <w:rPr>
                <w:b/>
                <w:color w:val="FFFFFF"/>
              </w:rPr>
              <w:t>下影止跌型示例</w:t>
            </w:r>
          </w:p>
        </w:tc>
      </w:tr>
      <w:tr>
        <w:tc>
          <w:tcPr>
            <w:tcW w:type="dxa" w:w="1928"/>
            <w:shd w:fill="F2F7F4"/>
            <w:vAlign w:val="center"/>
          </w:tcPr>
          <w:p>
            <w:r>
              <w:t>前一日收盘</w:t>
            </w:r>
          </w:p>
        </w:tc>
        <w:tc>
          <w:tcPr>
            <w:tcW w:type="dxa" w:w="3515"/>
            <w:shd w:fill="F2F7F4"/>
            <w:vAlign w:val="center"/>
          </w:tcPr>
          <w:p>
            <w:r>
              <w:t>100.0</w:t>
            </w:r>
          </w:p>
        </w:tc>
        <w:tc>
          <w:tcPr>
            <w:tcW w:type="dxa" w:w="3515"/>
            <w:shd w:fill="F2F7F4"/>
            <w:vAlign w:val="center"/>
          </w:tcPr>
          <w:p>
            <w:r>
              <w:t>100.0</w:t>
            </w:r>
          </w:p>
        </w:tc>
      </w:tr>
      <w:tr>
        <w:tc>
          <w:tcPr>
            <w:tcW w:type="dxa" w:w="1928"/>
            <w:vAlign w:val="center"/>
          </w:tcPr>
          <w:p>
            <w:r>
              <w:t>信号日开盘 / 最高 / 最低 / 收盘</w:t>
            </w:r>
          </w:p>
        </w:tc>
        <w:tc>
          <w:tcPr>
            <w:tcW w:type="dxa" w:w="3515"/>
            <w:vAlign w:val="center"/>
          </w:tcPr>
          <w:p>
            <w:r>
              <w:t>98.0 / 100.5 / 96.5 / 98.3</w:t>
            </w:r>
          </w:p>
        </w:tc>
        <w:tc>
          <w:tcPr>
            <w:tcW w:type="dxa" w:w="3515"/>
            <w:vAlign w:val="center"/>
          </w:tcPr>
          <w:p>
            <w:r>
              <w:t>99.0 / 100.0 / 95.0 / 98.5</w:t>
            </w:r>
          </w:p>
        </w:tc>
      </w:tr>
      <w:tr>
        <w:tc>
          <w:tcPr>
            <w:tcW w:type="dxa" w:w="1928"/>
            <w:shd w:fill="F2F7F4"/>
            <w:vAlign w:val="center"/>
          </w:tcPr>
          <w:p>
            <w:r>
              <w:t>实体</w:t>
            </w:r>
          </w:p>
        </w:tc>
        <w:tc>
          <w:tcPr>
            <w:tcW w:type="dxa" w:w="3515"/>
            <w:shd w:fill="F2F7F4"/>
            <w:vAlign w:val="center"/>
          </w:tcPr>
          <w:p>
            <w:r>
              <w:t>|98.3 - 98.0| = 0.3</w:t>
            </w:r>
          </w:p>
        </w:tc>
        <w:tc>
          <w:tcPr>
            <w:tcW w:type="dxa" w:w="3515"/>
            <w:shd w:fill="F2F7F4"/>
            <w:vAlign w:val="center"/>
          </w:tcPr>
          <w:p>
            <w:r>
              <w:t>|98.5 - 99.0| = 0.5</w:t>
            </w:r>
          </w:p>
        </w:tc>
      </w:tr>
      <w:tr>
        <w:tc>
          <w:tcPr>
            <w:tcW w:type="dxa" w:w="1928"/>
            <w:vAlign w:val="center"/>
          </w:tcPr>
          <w:p>
            <w:r>
              <w:t>当日振幅</w:t>
            </w:r>
          </w:p>
        </w:tc>
        <w:tc>
          <w:tcPr>
            <w:tcW w:type="dxa" w:w="3515"/>
            <w:vAlign w:val="center"/>
          </w:tcPr>
          <w:p>
            <w:r>
              <w:t>100.5 - 96.5 = 4.0</w:t>
            </w:r>
          </w:p>
        </w:tc>
        <w:tc>
          <w:tcPr>
            <w:tcW w:type="dxa" w:w="3515"/>
            <w:vAlign w:val="center"/>
          </w:tcPr>
          <w:p>
            <w:r>
              <w:t>100.0 - 95.0 = 5.0</w:t>
            </w:r>
          </w:p>
        </w:tc>
      </w:tr>
      <w:tr>
        <w:tc>
          <w:tcPr>
            <w:tcW w:type="dxa" w:w="1928"/>
            <w:shd w:fill="F2F7F4"/>
            <w:vAlign w:val="center"/>
          </w:tcPr>
          <w:p>
            <w:r>
              <w:t>实体占振幅</w:t>
            </w:r>
          </w:p>
        </w:tc>
        <w:tc>
          <w:tcPr>
            <w:tcW w:type="dxa" w:w="3515"/>
            <w:shd w:fill="F2F7F4"/>
            <w:vAlign w:val="center"/>
          </w:tcPr>
          <w:p>
            <w:r>
              <w:t>0.3 / 4.0 = 7.5%，满足 &lt;= 10%</w:t>
            </w:r>
          </w:p>
        </w:tc>
        <w:tc>
          <w:tcPr>
            <w:tcW w:type="dxa" w:w="3515"/>
            <w:shd w:fill="F2F7F4"/>
            <w:vAlign w:val="center"/>
          </w:tcPr>
          <w:p>
            <w:r>
              <w:t>0.5 / 5.0 = 10%，满足 &lt;= 20%</w:t>
            </w:r>
          </w:p>
        </w:tc>
      </w:tr>
      <w:tr>
        <w:tc>
          <w:tcPr>
            <w:tcW w:type="dxa" w:w="1928"/>
            <w:vAlign w:val="center"/>
          </w:tcPr>
          <w:p>
            <w:r>
              <w:t>下影线 / 实体</w:t>
            </w:r>
          </w:p>
        </w:tc>
        <w:tc>
          <w:tcPr>
            <w:tcW w:type="dxa" w:w="3515"/>
            <w:vAlign w:val="center"/>
          </w:tcPr>
          <w:p>
            <w:r>
              <w:t>不作为必需条件</w:t>
            </w:r>
          </w:p>
        </w:tc>
        <w:tc>
          <w:tcPr>
            <w:tcW w:type="dxa" w:w="3515"/>
            <w:vAlign w:val="center"/>
          </w:tcPr>
          <w:p>
            <w:r>
              <w:t>(98.5 - 95.0) / 0.5 = 7 倍，满足 &gt;= 1 倍</w:t>
            </w:r>
          </w:p>
        </w:tc>
      </w:tr>
    </w:tbl>
    <w:p/>
    <w:p>
      <w:pPr>
        <w:pStyle w:val="Heading1"/>
      </w:pPr>
      <w:r>
        <w:t>二、衰竭止跌型</w:t>
      </w:r>
    </w:p>
    <w:p>
      <w:r>
        <w:rPr>
          <w:b w:val="0"/>
        </w:rPr>
        <w:t>核心判断：连续下跌后，信号日盘中仍会探低，但开盘与收盘贴近、实体很小，说明单日方向性减弱，卖压可能衰竭。它不是强势反转确认。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315A78"/>
            <w:vAlign w:val="center"/>
          </w:tcPr>
          <w:p>
            <w:r>
              <w:rPr>
                <w:b/>
                <w:color w:val="FFFFFF"/>
              </w:rPr>
              <w:t>细分条件</w:t>
            </w:r>
          </w:p>
        </w:tc>
        <w:tc>
          <w:tcPr>
            <w:tcW w:type="dxa" w:w="1361"/>
            <w:shd w:fill="315A78"/>
            <w:vAlign w:val="center"/>
          </w:tcPr>
          <w:p>
            <w:r>
              <w:rPr>
                <w:b/>
                <w:color w:val="FFFFFF"/>
              </w:rPr>
              <w:t>当前默认值</w:t>
            </w:r>
          </w:p>
        </w:tc>
        <w:tc>
          <w:tcPr>
            <w:tcW w:type="dxa" w:w="5669"/>
            <w:shd w:fill="315A78"/>
            <w:vAlign w:val="center"/>
          </w:tcPr>
          <w:p>
            <w:r>
              <w:rPr>
                <w:b/>
                <w:color w:val="FFFFFF"/>
              </w:rPr>
              <w:t>计算与含义</w:t>
            </w:r>
          </w:p>
        </w:tc>
      </w:tr>
      <w:tr>
        <w:tc>
          <w:tcPr>
            <w:tcW w:type="dxa" w:w="1928"/>
            <w:shd w:fill="F2F7F4"/>
            <w:vAlign w:val="center"/>
          </w:tcPr>
          <w:p>
            <w:r>
              <w:t>低点修复至少</w:t>
            </w:r>
          </w:p>
        </w:tc>
        <w:tc>
          <w:tcPr>
            <w:tcW w:type="dxa" w:w="1361"/>
            <w:shd w:fill="F2F7F4"/>
            <w:vAlign w:val="center"/>
          </w:tcPr>
          <w:p>
            <w:r>
              <w:t>2.0%</w:t>
            </w:r>
          </w:p>
        </w:tc>
        <w:tc>
          <w:tcPr>
            <w:tcW w:type="dxa" w:w="5669"/>
            <w:shd w:fill="F2F7F4"/>
            <w:vAlign w:val="center"/>
          </w:tcPr>
          <w:p>
            <w:r>
              <w:t>(信号日收盘 - 信号日最低) / 前一日收盘 &gt;= 2.0%。衡量从盘中低点收回了多少昨日收盘价的百分点。</w:t>
            </w:r>
          </w:p>
        </w:tc>
      </w:tr>
      <w:tr>
        <w:tc>
          <w:tcPr>
            <w:tcW w:type="dxa" w:w="1928"/>
            <w:vAlign w:val="center"/>
          </w:tcPr>
          <w:p>
            <w:r>
              <w:t>实体占振幅最多</w:t>
            </w:r>
          </w:p>
        </w:tc>
        <w:tc>
          <w:tcPr>
            <w:tcW w:type="dxa" w:w="1361"/>
            <w:vAlign w:val="center"/>
          </w:tcPr>
          <w:p>
            <w:r>
              <w:t>10%</w:t>
            </w:r>
          </w:p>
        </w:tc>
        <w:tc>
          <w:tcPr>
            <w:tcW w:type="dxa" w:w="5669"/>
            <w:vAlign w:val="center"/>
          </w:tcPr>
          <w:p>
            <w:r>
              <w:t>|收盘 - 开盘| / (最高 - 最低) &lt;= 10%。小实体表示开收盘接近。</w:t>
            </w:r>
          </w:p>
        </w:tc>
      </w:tr>
      <w:tr>
        <w:tc>
          <w:tcPr>
            <w:tcW w:type="dxa" w:w="1928"/>
            <w:shd w:fill="F2F7F4"/>
            <w:vAlign w:val="center"/>
          </w:tcPr>
          <w:p>
            <w:r>
              <w:t>信号日最低涨跌</w:t>
            </w:r>
          </w:p>
        </w:tc>
        <w:tc>
          <w:tcPr>
            <w:tcW w:type="dxa" w:w="1361"/>
            <w:shd w:fill="F2F7F4"/>
            <w:vAlign w:val="center"/>
          </w:tcPr>
          <w:p>
            <w:r>
              <w:t>-1.5%</w:t>
            </w:r>
          </w:p>
        </w:tc>
        <w:tc>
          <w:tcPr>
            <w:tcW w:type="dxa" w:w="5669"/>
            <w:shd w:fill="F2F7F4"/>
            <w:vAlign w:val="center"/>
          </w:tcPr>
          <w:p>
            <w:r>
              <w:t>信号日收盘相对前一日收盘不能跌超 1.5%。</w:t>
            </w:r>
          </w:p>
        </w:tc>
      </w:tr>
      <w:tr>
        <w:tc>
          <w:tcPr>
            <w:tcW w:type="dxa" w:w="1928"/>
            <w:vAlign w:val="center"/>
          </w:tcPr>
          <w:p>
            <w:r>
              <w:t>信号日最高涨跌</w:t>
            </w:r>
          </w:p>
        </w:tc>
        <w:tc>
          <w:tcPr>
            <w:tcW w:type="dxa" w:w="1361"/>
            <w:vAlign w:val="center"/>
          </w:tcPr>
          <w:p>
            <w:r>
              <w:t>+3.0%</w:t>
            </w:r>
          </w:p>
        </w:tc>
        <w:tc>
          <w:tcPr>
            <w:tcW w:type="dxa" w:w="5669"/>
            <w:vAlign w:val="center"/>
          </w:tcPr>
          <w:p>
            <w:r>
              <w:t>信号日收盘相对前一日收盘不能涨超 3.0%，避免把强反转归为衰竭止跌。</w:t>
            </w:r>
          </w:p>
        </w:tc>
      </w:tr>
      <w:tr>
        <w:tc>
          <w:tcPr>
            <w:tcW w:type="dxa" w:w="1928"/>
            <w:shd w:fill="F2F7F4"/>
            <w:vAlign w:val="center"/>
          </w:tcPr>
          <w:p>
            <w:r>
              <w:t>止跌型量比最多</w:t>
            </w:r>
          </w:p>
        </w:tc>
        <w:tc>
          <w:tcPr>
            <w:tcW w:type="dxa" w:w="1361"/>
            <w:shd w:fill="F2F7F4"/>
            <w:vAlign w:val="center"/>
          </w:tcPr>
          <w:p>
            <w:r>
              <w:t>1.0</w:t>
            </w:r>
          </w:p>
        </w:tc>
        <w:tc>
          <w:tcPr>
            <w:tcW w:type="dxa" w:w="5669"/>
            <w:shd w:fill="F2F7F4"/>
            <w:vAlign w:val="center"/>
          </w:tcPr>
          <w:p>
            <w:r>
              <w:t>收盘确认时：信号日成交量 / T-1 成交量 &lt;= 1.0，即不放量。盘中候选暂不强制该项。</w:t>
            </w:r>
          </w:p>
        </w:tc>
      </w:tr>
    </w:tbl>
    <w:p/>
    <w:p>
      <w:r>
        <w:rPr>
          <w:b/>
          <w:color w:val="173B2A"/>
        </w:rPr>
        <w:t>修复幅度为什么以“前一日收盘”作分母？</w:t>
      </w:r>
    </w:p>
    <w:p>
      <w:pPr>
        <w:jc w:val="center"/>
      </w:pPr>
      <w:r>
        <w:rPr>
          <w:rFonts w:ascii="Consolas" w:hAnsi="Consolas"/>
          <w:b/>
          <w:color w:val="315A78"/>
          <w:sz w:val="21"/>
        </w:rPr>
        <w:t>修复幅度 = (信号日收盘 - 信号日最低) / 前一日收盘</w:t>
      </w:r>
    </w:p>
    <w:p>
      <w:r>
        <w:rPr>
          <w:b w:val="0"/>
        </w:rPr>
        <w:t>此口径与日涨跌幅、前置累计跌幅共用昨日价格基准，便于不同价格水平的标的横向比较。它衡量的是实际收回的价格空间，而不是相对最低价被放大的百分比。</w:t>
      </w:r>
    </w:p>
    <w:p>
      <w:pPr>
        <w:pStyle w:val="Heading1"/>
      </w:pPr>
      <w:r>
        <w:t>三、下影止跌型</w:t>
      </w:r>
    </w:p>
    <w:p>
      <w:r>
        <w:rPr>
          <w:b w:val="0"/>
        </w:rPr>
        <w:t>核心判断：信号日盘中杀跌后出现明显承接，最低价被拉回，留下相对实体足够长的下影线。它代表低位承接出现，但单根下影线仍可能只是下跌过程中的短暂反抽。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315A78"/>
            <w:vAlign w:val="center"/>
          </w:tcPr>
          <w:p>
            <w:r>
              <w:rPr>
                <w:b/>
                <w:color w:val="FFFFFF"/>
              </w:rPr>
              <w:t>细分条件</w:t>
            </w:r>
          </w:p>
        </w:tc>
        <w:tc>
          <w:tcPr>
            <w:tcW w:type="dxa" w:w="1361"/>
            <w:shd w:fill="315A78"/>
            <w:vAlign w:val="center"/>
          </w:tcPr>
          <w:p>
            <w:r>
              <w:rPr>
                <w:b/>
                <w:color w:val="FFFFFF"/>
              </w:rPr>
              <w:t>当前默认值</w:t>
            </w:r>
          </w:p>
        </w:tc>
        <w:tc>
          <w:tcPr>
            <w:tcW w:type="dxa" w:w="5669"/>
            <w:shd w:fill="315A78"/>
            <w:vAlign w:val="center"/>
          </w:tcPr>
          <w:p>
            <w:r>
              <w:rPr>
                <w:b/>
                <w:color w:val="FFFFFF"/>
              </w:rPr>
              <w:t>计算与含义</w:t>
            </w:r>
          </w:p>
        </w:tc>
      </w:tr>
      <w:tr>
        <w:tc>
          <w:tcPr>
            <w:tcW w:type="dxa" w:w="1928"/>
            <w:shd w:fill="F2F7F4"/>
            <w:vAlign w:val="center"/>
          </w:tcPr>
          <w:p>
            <w:r>
              <w:t>低点修复至少</w:t>
            </w:r>
          </w:p>
        </w:tc>
        <w:tc>
          <w:tcPr>
            <w:tcW w:type="dxa" w:w="1361"/>
            <w:shd w:fill="F2F7F4"/>
            <w:vAlign w:val="center"/>
          </w:tcPr>
          <w:p>
            <w:r>
              <w:t>1.5%</w:t>
            </w:r>
          </w:p>
        </w:tc>
        <w:tc>
          <w:tcPr>
            <w:tcW w:type="dxa" w:w="5669"/>
            <w:shd w:fill="F2F7F4"/>
            <w:vAlign w:val="center"/>
          </w:tcPr>
          <w:p>
            <w:r>
              <w:t>(信号日收盘 - 信号日最低) / 前一日收盘 &gt;= 1.5%。</w:t>
            </w:r>
          </w:p>
        </w:tc>
      </w:tr>
      <w:tr>
        <w:tc>
          <w:tcPr>
            <w:tcW w:type="dxa" w:w="1928"/>
            <w:vAlign w:val="center"/>
          </w:tcPr>
          <w:p>
            <w:r>
              <w:t>实体占振幅最多</w:t>
            </w:r>
          </w:p>
        </w:tc>
        <w:tc>
          <w:tcPr>
            <w:tcW w:type="dxa" w:w="1361"/>
            <w:vAlign w:val="center"/>
          </w:tcPr>
          <w:p>
            <w:r>
              <w:t>20%</w:t>
            </w:r>
          </w:p>
        </w:tc>
        <w:tc>
          <w:tcPr>
            <w:tcW w:type="dxa" w:w="5669"/>
            <w:vAlign w:val="center"/>
          </w:tcPr>
          <w:p>
            <w:r>
              <w:t>|收盘 - 开盘| / (最高 - 最低) &lt;= 20%。允许的实体比衰竭止跌型更大。</w:t>
            </w:r>
          </w:p>
        </w:tc>
      </w:tr>
      <w:tr>
        <w:tc>
          <w:tcPr>
            <w:tcW w:type="dxa" w:w="1928"/>
            <w:shd w:fill="F2F7F4"/>
            <w:vAlign w:val="center"/>
          </w:tcPr>
          <w:p>
            <w:r>
              <w:t>下影线 / 实体至少</w:t>
            </w:r>
          </w:p>
        </w:tc>
        <w:tc>
          <w:tcPr>
            <w:tcW w:type="dxa" w:w="1361"/>
            <w:shd w:fill="F2F7F4"/>
            <w:vAlign w:val="center"/>
          </w:tcPr>
          <w:p>
            <w:r>
              <w:t>1.0 倍</w:t>
            </w:r>
          </w:p>
        </w:tc>
        <w:tc>
          <w:tcPr>
            <w:tcW w:type="dxa" w:w="5669"/>
            <w:shd w:fill="F2F7F4"/>
            <w:vAlign w:val="center"/>
          </w:tcPr>
          <w:p>
            <w:r>
              <w:t>[min(开盘, 收盘) - 最低] / |收盘 - 开盘| &gt;= 1。要求下影线至少和实体一样长。</w:t>
            </w:r>
          </w:p>
        </w:tc>
      </w:tr>
      <w:tr>
        <w:tc>
          <w:tcPr>
            <w:tcW w:type="dxa" w:w="1928"/>
            <w:vAlign w:val="center"/>
          </w:tcPr>
          <w:p>
            <w:r>
              <w:t>信号日涨跌范围</w:t>
            </w:r>
          </w:p>
        </w:tc>
        <w:tc>
          <w:tcPr>
            <w:tcW w:type="dxa" w:w="1361"/>
            <w:vAlign w:val="center"/>
          </w:tcPr>
          <w:p>
            <w:r>
              <w:t>-1.5% 至 +3.0%</w:t>
            </w:r>
          </w:p>
        </w:tc>
        <w:tc>
          <w:tcPr>
            <w:tcW w:type="dxa" w:w="5669"/>
            <w:vAlign w:val="center"/>
          </w:tcPr>
          <w:p>
            <w:r>
              <w:t>与衰竭止跌型相同，限制收盘既不能明显走弱，也不能反弹过强。</w:t>
            </w:r>
          </w:p>
        </w:tc>
      </w:tr>
      <w:tr>
        <w:tc>
          <w:tcPr>
            <w:tcW w:type="dxa" w:w="1928"/>
            <w:shd w:fill="F2F7F4"/>
            <w:vAlign w:val="center"/>
          </w:tcPr>
          <w:p>
            <w:r>
              <w:t>通知阶段</w:t>
            </w:r>
          </w:p>
        </w:tc>
        <w:tc>
          <w:tcPr>
            <w:tcW w:type="dxa" w:w="1361"/>
            <w:shd w:fill="F2F7F4"/>
            <w:vAlign w:val="center"/>
          </w:tcPr>
          <w:p>
            <w:r>
              <w:t>仅盘中候选</w:t>
            </w:r>
          </w:p>
        </w:tc>
        <w:tc>
          <w:tcPr>
            <w:tcW w:type="dxa" w:w="5669"/>
            <w:shd w:fill="F2F7F4"/>
            <w:vAlign w:val="center"/>
          </w:tcPr>
          <w:p>
            <w:r>
              <w:t>默认不升级为收盘确认，需后续价格行为验证。</w:t>
            </w:r>
          </w:p>
        </w:tc>
      </w:tr>
    </w:tbl>
    <w:p/>
    <w:p>
      <w:pPr>
        <w:pStyle w:val="Heading1"/>
      </w:pPr>
      <w:r>
        <w:t>四、两种形态的关键区别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315A78"/>
            <w:vAlign w:val="center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3572"/>
            <w:shd w:fill="315A78"/>
            <w:vAlign w:val="center"/>
          </w:tcPr>
          <w:p>
            <w:r>
              <w:rPr>
                <w:b/>
                <w:color w:val="FFFFFF"/>
              </w:rPr>
              <w:t>衰竭止跌型</w:t>
            </w:r>
          </w:p>
        </w:tc>
        <w:tc>
          <w:tcPr>
            <w:tcW w:type="dxa" w:w="3572"/>
            <w:shd w:fill="315A78"/>
            <w:vAlign w:val="center"/>
          </w:tcPr>
          <w:p>
            <w:r>
              <w:rPr>
                <w:b/>
                <w:color w:val="FFFFFF"/>
              </w:rPr>
              <w:t>下影止跌型</w:t>
            </w:r>
          </w:p>
        </w:tc>
      </w:tr>
      <w:tr>
        <w:tc>
          <w:tcPr>
            <w:tcW w:type="dxa" w:w="1814"/>
            <w:shd w:fill="F2F7F4"/>
            <w:vAlign w:val="center"/>
          </w:tcPr>
          <w:p>
            <w:r>
              <w:t>主要观察点</w:t>
            </w:r>
          </w:p>
        </w:tc>
        <w:tc>
          <w:tcPr>
            <w:tcW w:type="dxa" w:w="3572"/>
            <w:shd w:fill="F2F7F4"/>
            <w:vAlign w:val="center"/>
          </w:tcPr>
          <w:p>
            <w:r>
              <w:t>小实体，单日方向性消失</w:t>
            </w:r>
          </w:p>
        </w:tc>
        <w:tc>
          <w:tcPr>
            <w:tcW w:type="dxa" w:w="3572"/>
            <w:shd w:fill="F2F7F4"/>
            <w:vAlign w:val="center"/>
          </w:tcPr>
          <w:p>
            <w:r>
              <w:t>长下影，低位承接清晰</w:t>
            </w:r>
          </w:p>
        </w:tc>
      </w:tr>
      <w:tr>
        <w:tc>
          <w:tcPr>
            <w:tcW w:type="dxa" w:w="1814"/>
            <w:vAlign w:val="center"/>
          </w:tcPr>
          <w:p>
            <w:r>
              <w:t>实体占振幅上限</w:t>
            </w:r>
          </w:p>
        </w:tc>
        <w:tc>
          <w:tcPr>
            <w:tcW w:type="dxa" w:w="3572"/>
            <w:vAlign w:val="center"/>
          </w:tcPr>
          <w:p>
            <w:r>
              <w:t>10%，更严格</w:t>
            </w:r>
          </w:p>
        </w:tc>
        <w:tc>
          <w:tcPr>
            <w:tcW w:type="dxa" w:w="3572"/>
            <w:vAlign w:val="center"/>
          </w:tcPr>
          <w:p>
            <w:r>
              <w:t>20%，可略放宽</w:t>
            </w:r>
          </w:p>
        </w:tc>
      </w:tr>
      <w:tr>
        <w:tc>
          <w:tcPr>
            <w:tcW w:type="dxa" w:w="1814"/>
            <w:shd w:fill="F2F7F4"/>
            <w:vAlign w:val="center"/>
          </w:tcPr>
          <w:p>
            <w:r>
              <w:t>下影线硬条件</w:t>
            </w:r>
          </w:p>
        </w:tc>
        <w:tc>
          <w:tcPr>
            <w:tcW w:type="dxa" w:w="3572"/>
            <w:shd w:fill="F2F7F4"/>
            <w:vAlign w:val="center"/>
          </w:tcPr>
          <w:p>
            <w:r>
              <w:t>无</w:t>
            </w:r>
          </w:p>
        </w:tc>
        <w:tc>
          <w:tcPr>
            <w:tcW w:type="dxa" w:w="3572"/>
            <w:shd w:fill="F2F7F4"/>
            <w:vAlign w:val="center"/>
          </w:tcPr>
          <w:p>
            <w:r>
              <w:t>下影线至少为实体 1 倍</w:t>
            </w:r>
          </w:p>
        </w:tc>
      </w:tr>
      <w:tr>
        <w:tc>
          <w:tcPr>
            <w:tcW w:type="dxa" w:w="1814"/>
            <w:vAlign w:val="center"/>
          </w:tcPr>
          <w:p>
            <w:r>
              <w:t>低点修复门槛</w:t>
            </w:r>
          </w:p>
        </w:tc>
        <w:tc>
          <w:tcPr>
            <w:tcW w:type="dxa" w:w="3572"/>
            <w:vAlign w:val="center"/>
          </w:tcPr>
          <w:p>
            <w:r>
              <w:t>2.0%</w:t>
            </w:r>
          </w:p>
        </w:tc>
        <w:tc>
          <w:tcPr>
            <w:tcW w:type="dxa" w:w="3572"/>
            <w:vAlign w:val="center"/>
          </w:tcPr>
          <w:p>
            <w:r>
              <w:t>1.5%</w:t>
            </w:r>
          </w:p>
        </w:tc>
      </w:tr>
      <w:tr>
        <w:tc>
          <w:tcPr>
            <w:tcW w:type="dxa" w:w="1814"/>
            <w:shd w:fill="F2F7F4"/>
            <w:vAlign w:val="center"/>
          </w:tcPr>
          <w:p>
            <w:r>
              <w:t>提醒处理</w:t>
            </w:r>
          </w:p>
        </w:tc>
        <w:tc>
          <w:tcPr>
            <w:tcW w:type="dxa" w:w="3572"/>
            <w:shd w:fill="F2F7F4"/>
            <w:vAlign w:val="center"/>
          </w:tcPr>
          <w:p>
            <w:r>
              <w:t>可盘中候选，也可收盘确认</w:t>
            </w:r>
          </w:p>
        </w:tc>
        <w:tc>
          <w:tcPr>
            <w:tcW w:type="dxa" w:w="3572"/>
            <w:shd w:fill="F2F7F4"/>
            <w:vAlign w:val="center"/>
          </w:tcPr>
          <w:p>
            <w:r>
              <w:t>默认仅盘中候选</w:t>
            </w:r>
          </w:p>
        </w:tc>
      </w:tr>
      <w:tr>
        <w:tc>
          <w:tcPr>
            <w:tcW w:type="dxa" w:w="1814"/>
            <w:vAlign w:val="center"/>
          </w:tcPr>
          <w:p>
            <w:r>
              <w:t>风险理解</w:t>
            </w:r>
          </w:p>
        </w:tc>
        <w:tc>
          <w:tcPr>
            <w:tcW w:type="dxa" w:w="3572"/>
            <w:vAlign w:val="center"/>
          </w:tcPr>
          <w:p>
            <w:r>
              <w:t>可能只是下跌动能减弱</w:t>
            </w:r>
          </w:p>
        </w:tc>
        <w:tc>
          <w:tcPr>
            <w:tcW w:type="dxa" w:w="3572"/>
            <w:vAlign w:val="center"/>
          </w:tcPr>
          <w:p>
            <w:r>
              <w:t>可能只是盘中短暂承接</w:t>
            </w:r>
          </w:p>
        </w:tc>
      </w:tr>
    </w:tbl>
    <w:p/>
    <w:p>
      <w:pPr>
        <w:pStyle w:val="Heading1"/>
      </w:pPr>
      <w:r>
        <w:t>五、快速判断清单</w:t>
      </w:r>
    </w:p>
    <w:p>
      <w:pPr>
        <w:pStyle w:val="ListBullet"/>
      </w:pPr>
      <w:r>
        <w:t>先看 4 日窗口：基准日收红，随后两日收阴且收盘逐日走低。</w:t>
      </w:r>
    </w:p>
    <w:p>
      <w:pPr>
        <w:pStyle w:val="ListBullet"/>
      </w:pPr>
      <w:r>
        <w:t>再看位置：信号日低点是否仍在前低附近，并达到共同累计跌幅要求。</w:t>
      </w:r>
    </w:p>
    <w:p>
      <w:pPr>
        <w:pStyle w:val="ListBullet"/>
      </w:pPr>
      <w:r>
        <w:t>若实体很小，优先按衰竭止跌型检查。</w:t>
      </w:r>
    </w:p>
    <w:p>
      <w:pPr>
        <w:pStyle w:val="ListBullet"/>
      </w:pPr>
      <w:r>
        <w:t>若低点被明显拉回，且下影线至少与实体等长，按下影止跌型检查。</w:t>
      </w:r>
    </w:p>
    <w:p>
      <w:pPr>
        <w:pStyle w:val="ListBullet"/>
      </w:pPr>
      <w:r>
        <w:t>形态命中只表示出现候选结构；仍应结合大盘、板块、量能、仓位与风险控制独立决策。</w:t>
      </w:r>
    </w:p>
    <w:p>
      <w:pPr>
        <w:pStyle w:val="Heading1"/>
      </w:pPr>
      <w:r>
        <w:t>附：当前默认参数速览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315A78"/>
            <w:vAlign w:val="center"/>
          </w:tcPr>
          <w:p>
            <w:r>
              <w:rPr>
                <w:b/>
                <w:color w:val="FFFFFF"/>
              </w:rPr>
              <w:t>参数</w:t>
            </w:r>
          </w:p>
        </w:tc>
        <w:tc>
          <w:tcPr>
            <w:tcW w:type="dxa" w:w="3175"/>
            <w:shd w:fill="315A78"/>
            <w:vAlign w:val="center"/>
          </w:tcPr>
          <w:p>
            <w:r>
              <w:rPr>
                <w:b/>
                <w:color w:val="FFFFFF"/>
              </w:rPr>
              <w:t>衰竭止跌型</w:t>
            </w:r>
          </w:p>
        </w:tc>
        <w:tc>
          <w:tcPr>
            <w:tcW w:type="dxa" w:w="3175"/>
            <w:shd w:fill="315A78"/>
            <w:vAlign w:val="center"/>
          </w:tcPr>
          <w:p>
            <w:r>
              <w:rPr>
                <w:b/>
                <w:color w:val="FFFFFF"/>
              </w:rPr>
              <w:t>下影止跌型</w:t>
            </w:r>
          </w:p>
        </w:tc>
      </w:tr>
      <w:tr>
        <w:tc>
          <w:tcPr>
            <w:tcW w:type="dxa" w:w="2268"/>
            <w:shd w:fill="F2F7F4"/>
            <w:vAlign w:val="center"/>
          </w:tcPr>
          <w:p>
            <w:r>
              <w:t>低点修复至少</w:t>
            </w:r>
          </w:p>
        </w:tc>
        <w:tc>
          <w:tcPr>
            <w:tcW w:type="dxa" w:w="3175"/>
            <w:shd w:fill="F2F7F4"/>
            <w:vAlign w:val="center"/>
          </w:tcPr>
          <w:p>
            <w:r>
              <w:t>2.0%</w:t>
            </w:r>
          </w:p>
        </w:tc>
        <w:tc>
          <w:tcPr>
            <w:tcW w:type="dxa" w:w="3175"/>
            <w:shd w:fill="F2F7F4"/>
            <w:vAlign w:val="center"/>
          </w:tcPr>
          <w:p>
            <w:r>
              <w:t>1.5%</w:t>
            </w:r>
          </w:p>
        </w:tc>
      </w:tr>
      <w:tr>
        <w:tc>
          <w:tcPr>
            <w:tcW w:type="dxa" w:w="2268"/>
            <w:vAlign w:val="center"/>
          </w:tcPr>
          <w:p>
            <w:r>
              <w:t>实体占振幅最多</w:t>
            </w:r>
          </w:p>
        </w:tc>
        <w:tc>
          <w:tcPr>
            <w:tcW w:type="dxa" w:w="3175"/>
            <w:vAlign w:val="center"/>
          </w:tcPr>
          <w:p>
            <w:r>
              <w:t>10%</w:t>
            </w:r>
          </w:p>
        </w:tc>
        <w:tc>
          <w:tcPr>
            <w:tcW w:type="dxa" w:w="3175"/>
            <w:vAlign w:val="center"/>
          </w:tcPr>
          <w:p>
            <w:r>
              <w:t>20%</w:t>
            </w:r>
          </w:p>
        </w:tc>
      </w:tr>
      <w:tr>
        <w:tc>
          <w:tcPr>
            <w:tcW w:type="dxa" w:w="2268"/>
            <w:shd w:fill="F2F7F4"/>
            <w:vAlign w:val="center"/>
          </w:tcPr>
          <w:p>
            <w:r>
              <w:t>下影 / 实体至少</w:t>
            </w:r>
          </w:p>
        </w:tc>
        <w:tc>
          <w:tcPr>
            <w:tcW w:type="dxa" w:w="3175"/>
            <w:shd w:fill="F2F7F4"/>
            <w:vAlign w:val="center"/>
          </w:tcPr>
          <w:p>
            <w:r>
              <w:t>不要求</w:t>
            </w:r>
          </w:p>
        </w:tc>
        <w:tc>
          <w:tcPr>
            <w:tcW w:type="dxa" w:w="3175"/>
            <w:shd w:fill="F2F7F4"/>
            <w:vAlign w:val="center"/>
          </w:tcPr>
          <w:p>
            <w:r>
              <w:t>1.0 倍</w:t>
            </w:r>
          </w:p>
        </w:tc>
      </w:tr>
      <w:tr>
        <w:tc>
          <w:tcPr>
            <w:tcW w:type="dxa" w:w="2268"/>
            <w:vAlign w:val="center"/>
          </w:tcPr>
          <w:p>
            <w:r>
              <w:t>信号日涨跌范围</w:t>
            </w:r>
          </w:p>
        </w:tc>
        <w:tc>
          <w:tcPr>
            <w:tcW w:type="dxa" w:w="3175"/>
            <w:vAlign w:val="center"/>
          </w:tcPr>
          <w:p>
            <w:r>
              <w:t>-1.5% 至 +3.0%</w:t>
            </w:r>
          </w:p>
        </w:tc>
        <w:tc>
          <w:tcPr>
            <w:tcW w:type="dxa" w:w="3175"/>
            <w:vAlign w:val="center"/>
          </w:tcPr>
          <w:p>
            <w:r>
              <w:t>-1.5% 至 +3.0%</w:t>
            </w:r>
          </w:p>
        </w:tc>
      </w:tr>
      <w:tr>
        <w:tc>
          <w:tcPr>
            <w:tcW w:type="dxa" w:w="2268"/>
            <w:shd w:fill="F2F7F4"/>
            <w:vAlign w:val="center"/>
          </w:tcPr>
          <w:p>
            <w:r>
              <w:t>收盘确认</w:t>
            </w:r>
          </w:p>
        </w:tc>
        <w:tc>
          <w:tcPr>
            <w:tcW w:type="dxa" w:w="3175"/>
            <w:shd w:fill="F2F7F4"/>
            <w:vAlign w:val="center"/>
          </w:tcPr>
          <w:p>
            <w:r>
              <w:t>允许，且需量比 &lt;= 1.0</w:t>
            </w:r>
          </w:p>
        </w:tc>
        <w:tc>
          <w:tcPr>
            <w:tcW w:type="dxa" w:w="3175"/>
            <w:shd w:fill="F2F7F4"/>
            <w:vAlign w:val="center"/>
          </w:tcPr>
          <w:p>
            <w:r>
              <w:t>默认不允许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A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B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