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Authorization Evidence for High-Risk Actions</w:t>
      </w:r>
    </w:p>
    <w:p>
      <w:pPr>
        <w:spacing w:after="40"/>
        <w:jc w:val="center"/>
      </w:pPr>
      <w:r>
        <w:rPr>
          <w:color w:val="555555"/>
          <w:sz w:val="26"/>
          <w:szCs w:val="26"/>
        </w:rPr>
        <w:t xml:space="preserve">A Comparative Landscape Map</w:t>
      </w:r>
    </w:p>
    <w:p>
      <w:pPr>
        <w:spacing w:after="240"/>
        <w:jc w:val="center"/>
      </w:pPr>
      <w:r>
        <w:rPr>
          <w:i/>
          <w:iCs/>
          <w:color w:val="888888"/>
          <w:sz w:val="18"/>
          <w:szCs w:val="18"/>
        </w:rPr>
        <w:t xml:space="preserve">Internal reference — M. Khalil-Yossif / draft-yossif-psea — June 2026</w:t>
      </w:r>
    </w:p>
    <w:p>
      <w:pPr>
        <w:spacing w:after="120"/>
      </w:pPr>
      <w:r>
        <w:rPr>
          <w:sz w:val="22"/>
          <w:szCs w:val="22"/>
        </w:rPr>
        <w:t xml:space="preserve">This map places every verified effort in the emerging authorization-evidence space onto one layered matrix, anchored to first-public datatracker dates. It is internal reference material: ammunition for a chairs' question, a survey revision, or an IETF 126 presentation — not a document for distribution. Every row is drawn from two independent research passes; where the two disagree, the conflict is marked and the unverified item is flagged rather than asserted.</w:t>
      </w:r>
    </w:p>
    <w:p>
      <w:pPr>
        <w:pStyle w:val="Heading2"/>
      </w:pPr>
      <w:r>
        <w:t xml:space="preserve">1. The one-line thesis</w:t>
      </w:r>
    </w:p>
    <w:p>
      <w:pPr>
        <w:spacing w:after="120"/>
      </w:pPr>
      <w:r>
        <w:rPr>
          <w:sz w:val="22"/>
          <w:szCs w:val="22"/>
        </w:rPr>
        <w:t xml:space="preserve">Session authentication answers “who logged in.” It does not answer “did an accountable human approve this exact action, now.” Between late 2025 and mid 2026, at least twenty independent efforts converged on that gap. The convergence is the signal, and it is documented in datatracker timestamps no one can edit.</w:t>
      </w:r>
    </w:p>
    <w:p>
      <w:pPr>
        <w:pStyle w:val="Heading2"/>
      </w:pPr>
      <w:r>
        <w:t xml:space="preserve">2. Where the contest actually is</w:t>
      </w:r>
    </w:p>
    <w:p>
      <w:pPr>
        <w:spacing w:after="120"/>
      </w:pPr>
      <w:r>
        <w:rPr>
          <w:sz w:val="22"/>
          <w:szCs w:val="22"/>
        </w:rPr>
        <w:t xml:space="preserve">The space splits into layers. Most of the twenty efforts are identity, discovery, or delegation work that sits beside the problem. The genuinely contested core — binding a signed human approval to a specific action payload, verifiable after the fact without trusting the operator — is layer (c), and it holds roughly seven efforts. PSEA is the earliest-dated entry in that layer after CHEQ, and the only one with a deployed verifier.</w:t>
      </w:r>
    </w:p>
    <w:p>
      <w:pPr>
        <w:pStyle w:val="Heading2"/>
      </w:pPr>
      <w:r>
        <w:t xml:space="preserve">3. Priority — the dates that settle independence</w:t>
      </w:r>
    </w:p>
    <w:p>
      <w:pPr>
        <w:spacing w:after="120"/>
      </w:pPr>
      <w:r>
        <w:rPr>
          <w:sz w:val="22"/>
          <w:szCs w:val="22"/>
        </w:rPr>
        <w:t xml:space="preserve">Anchoring to first-public -00 submission dates: GNA (2025-12-02) and CHEQ (2025-07-24) precede the wave; PSEA-00 lands 2026-02-09; then ACTA (Mar), DAAP (Mar), DKA (Apr), DRP (Apr), Permit Receipts (Jun), EP (Jun). PSEA is among the first three efforts in the entire space and the first dedicated-hardware per-action evidence profile. This is a wave, not coordination — the timestamps prove no one copied anyone.</w:t>
      </w:r>
    </w:p>
    <w:p>
      <w:pPr>
        <w:pStyle w:val="Heading2"/>
      </w:pPr>
      <w:r>
        <w:t xml:space="preserve">4. Layer (c) — per-action human-approval evidence (the contested core)</w:t>
      </w:r>
    </w:p>
    <w:p>
      <w:pPr>
        <w:spacing w:after="120"/>
      </w:pPr>
      <w:r>
        <w:rPr>
          <w:i/>
          <w:iCs/>
          <w:sz w:val="20"/>
          <w:szCs w:val="20"/>
        </w:rPr>
        <w:t xml:space="preserve">This is the layer the survey's dispatch question targets. PSEA is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80"/>
        <w:gridCol w:w="900"/>
        <w:gridCol w:w="1340"/>
        <w:gridCol w:w="314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Author / Affiliation</w:t>
            </w:r>
          </w:p>
        </w:tc>
        <w:tc>
          <w:tcPr>
            <w:tcW w:type="dxa" w:w="9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First public</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Layer</w:t>
            </w:r>
          </w:p>
        </w:tc>
        <w:tc>
          <w:tcPr>
            <w:tcW w:type="dxa" w:w="1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Maturity</w:t>
            </w:r>
          </w:p>
        </w:tc>
        <w:tc>
          <w:tcPr>
            <w:tcW w:type="dxa" w:w="31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Relation to PSEA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CHEQ
draft-rosenberg-cheq</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Rosenberg, White, Jennings (Five9 / Bitwave / Cisco)</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2025-07-24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(a)+(c)</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Spec only (“details TBD”)</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Confirmation/ask layer — produces the human prompt; PSEA produces the portable evidence the ask leaves behind. Above PSEA, not competing.</w:t>
            </w:r>
          </w:p>
        </w:tc>
      </w:tr>
      <w:tr>
        <w:tc>
          <w:tcPr>
            <w:tcW w:type="dxa" w:w="1500"/>
            <w:tcBorders>
              <w:top w:val="single" w:color="CCCCCC" w:sz="1"/>
              <w:left w:val="single" w:color="CCCCCC" w:sz="1"/>
              <w:bottom w:val="single" w:color="CCCCCC" w:sz="1"/>
              <w:right w:val="single" w:color="CCCCCC" w:sz="1"/>
            </w:tcBorders>
            <w:shd w:fill="FCE8D5" w:val="clear"/>
            <w:tcMar>
              <w:top w:type="dxa" w:w="60"/>
              <w:left w:type="dxa" w:w="100"/>
              <w:bottom w:type="dxa" w:w="60"/>
              <w:right w:type="dxa" w:w="100"/>
            </w:tcMar>
          </w:tcPr>
          <w:p>
            <w:pPr>
              <w:spacing w:after="0"/>
            </w:pPr>
            <w:r>
              <w:rPr>
                <w:b/>
                <w:bCs/>
                <w:sz w:val="18"/>
                <w:szCs w:val="18"/>
              </w:rPr>
              <w:t xml:space="preserve">PSEA
draft-yossif-psea</w:t>
            </w:r>
          </w:p>
        </w:tc>
        <w:tc>
          <w:tcPr>
            <w:tcW w:type="dxa" w:w="1500"/>
            <w:tcBorders>
              <w:top w:val="single" w:color="CCCCCC" w:sz="1"/>
              <w:left w:val="single" w:color="CCCCCC" w:sz="1"/>
              <w:bottom w:val="single" w:color="CCCCCC" w:sz="1"/>
              <w:right w:val="single" w:color="CCCCCC" w:sz="1"/>
            </w:tcBorders>
            <w:shd w:fill="FCE8D5" w:val="clear"/>
            <w:tcMar>
              <w:top w:type="dxa" w:w="60"/>
              <w:left w:type="dxa" w:w="100"/>
              <w:bottom w:type="dxa" w:w="60"/>
              <w:right w:type="dxa" w:w="100"/>
            </w:tcMar>
          </w:tcPr>
          <w:p>
            <w:pPr>
              <w:spacing w:after="0"/>
            </w:pPr>
            <w:r>
              <w:rPr>
                <w:sz w:val="18"/>
                <w:szCs w:val="18"/>
              </w:rPr>
              <w:t xml:space="preserve">Khalil-Yossif (Yuthent)</w:t>
            </w:r>
          </w:p>
        </w:tc>
        <w:tc>
          <w:tcPr>
            <w:tcW w:type="dxa" w:w="980"/>
            <w:tcBorders>
              <w:top w:val="single" w:color="CCCCCC" w:sz="1"/>
              <w:left w:val="single" w:color="CCCCCC" w:sz="1"/>
              <w:bottom w:val="single" w:color="CCCCCC" w:sz="1"/>
              <w:right w:val="single" w:color="CCCCCC" w:sz="1"/>
            </w:tcBorders>
            <w:shd w:fill="FCE8D5" w:val="clear"/>
            <w:tcMar>
              <w:top w:type="dxa" w:w="60"/>
              <w:left w:type="dxa" w:w="100"/>
              <w:bottom w:type="dxa" w:w="60"/>
              <w:right w:type="dxa" w:w="100"/>
            </w:tcMar>
          </w:tcPr>
          <w:p>
            <w:pPr>
              <w:spacing w:after="0"/>
            </w:pPr>
            <w:r>
              <w:rPr>
                <w:b/>
                <w:bCs/>
                <w:sz w:val="18"/>
                <w:szCs w:val="18"/>
              </w:rPr>
              <w:t xml:space="preserve">2026-02-09 (-00)</w:t>
            </w:r>
          </w:p>
        </w:tc>
        <w:tc>
          <w:tcPr>
            <w:tcW w:type="dxa" w:w="900"/>
            <w:tcBorders>
              <w:top w:val="single" w:color="CCCCCC" w:sz="1"/>
              <w:left w:val="single" w:color="CCCCCC" w:sz="1"/>
              <w:bottom w:val="single" w:color="CCCCCC" w:sz="1"/>
              <w:right w:val="single" w:color="CCCCCC" w:sz="1"/>
            </w:tcBorders>
            <w:shd w:fill="FCE8D5" w:val="clear"/>
            <w:tcMar>
              <w:top w:type="dxa" w:w="60"/>
              <w:left w:type="dxa" w:w="100"/>
              <w:bottom w:type="dxa" w:w="60"/>
              <w:right w:type="dxa" w:w="100"/>
            </w:tcMar>
          </w:tcPr>
          <w:p>
            <w:pPr>
              <w:spacing w:after="0"/>
            </w:pPr>
            <w:r>
              <w:rPr>
                <w:sz w:val="18"/>
                <w:szCs w:val="18"/>
              </w:rPr>
              <w:t xml:space="preserve">(c)</w:t>
            </w:r>
          </w:p>
        </w:tc>
        <w:tc>
          <w:tcPr>
            <w:tcW w:type="dxa" w:w="1340"/>
            <w:tcBorders>
              <w:top w:val="single" w:color="CCCCCC" w:sz="1"/>
              <w:left w:val="single" w:color="CCCCCC" w:sz="1"/>
              <w:bottom w:val="single" w:color="CCCCCC" w:sz="1"/>
              <w:right w:val="single" w:color="CCCCCC" w:sz="1"/>
            </w:tcBorders>
            <w:shd w:fill="FCE8D5" w:val="clear"/>
            <w:tcMar>
              <w:top w:type="dxa" w:w="60"/>
              <w:left w:type="dxa" w:w="100"/>
              <w:bottom w:type="dxa" w:w="60"/>
              <w:right w:type="dxa" w:w="100"/>
            </w:tcMar>
          </w:tcPr>
          <w:p>
            <w:pPr>
              <w:spacing w:after="0"/>
            </w:pPr>
            <w:r>
              <w:rPr>
                <w:sz w:val="18"/>
                <w:szCs w:val="18"/>
              </w:rPr>
              <w:t xml:space="preserve">Code + cross-platform vectors + deployed verifier</w:t>
            </w:r>
          </w:p>
        </w:tc>
        <w:tc>
          <w:tcPr>
            <w:tcW w:type="dxa" w:w="3140"/>
            <w:tcBorders>
              <w:top w:val="single" w:color="CCCCCC" w:sz="1"/>
              <w:left w:val="single" w:color="CCCCCC" w:sz="1"/>
              <w:bottom w:val="single" w:color="CCCCCC" w:sz="1"/>
              <w:right w:val="single" w:color="CCCCCC" w:sz="1"/>
            </w:tcBorders>
            <w:shd w:fill="FCE8D5" w:val="clear"/>
            <w:tcMar>
              <w:top w:type="dxa" w:w="60"/>
              <w:left w:type="dxa" w:w="100"/>
              <w:bottom w:type="dxa" w:w="60"/>
              <w:right w:type="dxa" w:w="100"/>
            </w:tcMar>
          </w:tcPr>
          <w:p>
            <w:pPr>
              <w:spacing w:after="0"/>
            </w:pPr>
            <w:r>
              <w:rPr>
                <w:sz w:val="18"/>
                <w:szCs w:val="18"/>
              </w:rPr>
              <w:t xml:space="preserve">— The reference column. Dedicated-hardware-attested tier; EAT token profile; only effort in layer (c) with a deployed verifier.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ACTA
draft-farley-acta-signed-receipts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Farley (ScopeBlind / Veritas Acta)</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2026-03-26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(c)+(f)</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Code + cross-impl test vectors</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Decision-log receipt (who decided, which policy). PSEA proves the human-approval act; ACTA records the policy outcome. Adjacent, composable.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DRP
draft-nelson-agent-delegation-receipts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Nelson (Authproof)</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2026-04-28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(b)+(c)</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SDK + vectors (per source 1) / spec-only (per source 2) — verify</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Delegation of authority (what the user authorized an agent to do), not per-action approval. Sits beside PSEA on the matrix.</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DKA
draft-swaminathan-dka-framework</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Swaminathan (Independent)</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2026-04-20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(d) — NOT (c)</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Reference demo + US patent 12401508</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Identity/key-discovery for email IDs. NOT a per-action evidence effort. Complementary identity layer; never a PSEA dependency.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Permit Receipts
draft-lee-orprg-permit-receipts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Lee (Meridian Verity Group)</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2026-06-04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(c)</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Spec + synthetic verifier (IETF 126 Hackathon)</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Requirements + abstract data model for permit-before-commit. Same fail-closed claim as PSEA, at requirements level; PSEA is a concrete token profile.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EP
draft-schrock-ep-authorization-receipts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Schrock (EMILIA Protocol, Inc.)</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2026-06-09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(c)</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Public verifiers + TLA+/Alloy models; no RP production deployment</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The parallel per-action profile. Commodity-WebAuthn tier vs PSEA dedicated-hardware tier; directory trust root vs attestation chain. Same verifier philosophy.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Sello / Notarized Agents
arXiv:2606.04193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Figuera (Independent)</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2026-06-01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(c)</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Reference implementation</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Receiver-side signing (the service signs what it observed). Trust-boundary inversion; complements producer-side evidence like PSEA.</w:t>
            </w:r>
          </w:p>
        </w:tc>
      </w:tr>
    </w:tbl>
    <w:p>
      <w:pPr>
        <w:spacing w:before="200"/>
      </w:pPr>
    </w:p>
    <w:p>
      <w:pPr>
        <w:pStyle w:val="Heading2"/>
      </w:pPr>
      <w:r>
        <w:t xml:space="preserve">5. Layer (b) — delegation / authority</w:t>
      </w:r>
    </w:p>
    <w:p>
      <w:pPr>
        <w:spacing w:after="120"/>
      </w:pPr>
      <w:r>
        <w:rPr>
          <w:i/>
          <w:iCs/>
          <w:sz w:val="20"/>
          <w:szCs w:val="20"/>
        </w:rPr>
        <w:t xml:space="preserve">What a user authorized an agent to do, propagated across hops. Beside the evidence core, not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80"/>
        <w:gridCol w:w="900"/>
        <w:gridCol w:w="1340"/>
        <w:gridCol w:w="314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Author / Affiliation</w:t>
            </w:r>
          </w:p>
        </w:tc>
        <w:tc>
          <w:tcPr>
            <w:tcW w:type="dxa" w:w="9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First public</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Layer</w:t>
            </w:r>
          </w:p>
        </w:tc>
        <w:tc>
          <w:tcPr>
            <w:tcW w:type="dxa" w:w="1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Maturity</w:t>
            </w:r>
          </w:p>
        </w:tc>
        <w:tc>
          <w:tcPr>
            <w:tcW w:type="dxa" w:w="31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Relation to PSEA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DAAP
draft-mishra-oauth-agent-grants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Kumar (Grantex) [source 1 said “Mishra” — corrected]</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2026-03-02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(b)</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SDKs (TS/Py/Go) + conformance suite</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OAuth-native delegation grants with cascading revocation. Authority layer; PSEA is the evidence layer beneath the action.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HDP
draft-helixar-hdp-agentic-delegation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Dalugoda (Helixar Ltd)</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2026-03 / arXiv 2026-04-06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(b)+(c)</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TypeScript SDK + integrations</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Append-only signed delegation hops, offline-verifiable. Overlaps PSEA on offline verification + Ed25519; differs in delegation-chain focus.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IPP
draft-haberkamp-ipp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Haberkamp (Independent)</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2026-03-16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(b)+(c)</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Spec only</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Intent Token with narrowing invariant across delegation chain. Authority-lineage layer; cited by HDP as closest prior art.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APS
draft-pidlisnyi-aps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Pidlisnyi (Independent)</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2025 (verify -00)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(b)+(c)+(e)</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Code (UNVERIFIED in source 1)</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Agent passports with action/authority/custody/contestability receipts. Broad; touches the evidence layer.</w:t>
            </w:r>
          </w:p>
        </w:tc>
      </w:tr>
    </w:tbl>
    <w:p>
      <w:pPr>
        <w:spacing w:before="200"/>
      </w:pPr>
    </w:p>
    <w:p>
      <w:pPr>
        <w:pStyle w:val="Heading2"/>
      </w:pPr>
      <w:r>
        <w:t xml:space="preserve">6. Layers (d)/(e)/(f) — identity, discovery, policy &amp; enforcement</w:t>
      </w:r>
    </w:p>
    <w:p>
      <w:pPr>
        <w:spacing w:after="120"/>
      </w:pPr>
      <w:r>
        <w:rPr>
          <w:i/>
          <w:iCs/>
          <w:sz w:val="20"/>
          <w:szCs w:val="20"/>
        </w:rPr>
        <w:t xml:space="preserve">Substrates the evidence core can sit on, but deliberately out of scope for the shared verifier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80"/>
        <w:gridCol w:w="900"/>
        <w:gridCol w:w="1340"/>
        <w:gridCol w:w="314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Author / Affiliation</w:t>
            </w:r>
          </w:p>
        </w:tc>
        <w:tc>
          <w:tcPr>
            <w:tcW w:type="dxa" w:w="9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First public</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Layer</w:t>
            </w:r>
          </w:p>
        </w:tc>
        <w:tc>
          <w:tcPr>
            <w:tcW w:type="dxa" w:w="1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Maturity</w:t>
            </w:r>
          </w:p>
        </w:tc>
        <w:tc>
          <w:tcPr>
            <w:tcW w:type="dxa" w:w="31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b/>
                <w:bCs/>
                <w:color w:val="FFFFFF"/>
                <w:sz w:val="18"/>
                <w:szCs w:val="18"/>
              </w:rPr>
              <w:t xml:space="preserve">Relation to PSEA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DNS-AID
draft-mozleywilliams-dnsop-dnsaid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Mozley, Williams, Sarikaya, Schott, Damick (Infoblox / DT / Amazon)</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2026-02-23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(d)</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Deployed (Route53/Cloudflare/Infoblox)</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Agent discovery via DNS. Pure identity/discovery substrate; out of scope for the evidence core.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ADP
draft-pro-adp-agent-discovery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Lian / AI Pair [source 1 said “Pro” — corrected]</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2026-06-09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(d)</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Spec only</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DNS-based agent discovery, 3-layer fallback. Discovery substrate; adjacent.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AIP ×4 distinct drafts
(Cao; Singla; Prakash; Song)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Cao/Arango (NVIDIA/Montcao); Singla; Prakash; Song/Yuan</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2026-03 / 2026-04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(e)</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Mixed (Cao has proxy code)</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Agent IDENTITY — four unrelated drafts sharing the “AIP” name. Identity layer beside the evidence core; do not conflate.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AIMS
draft-klrc-aiagent-auth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Kasselman, Parecki et al. (Defakto / Okta)</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2026-03-02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(e)</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Spec only</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Workload-identity model for agents (SPIFFE/WIMSE). Heavyweight standards backing; identity layer.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AgentROA
draft-nivalto-agentroa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Michalak (Nivalto)</w:t>
            </w:r>
          </w:p>
        </w:tc>
        <w:tc>
          <w:tcPr>
            <w:tcW w:type="dxa" w:w="9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b w:val="false"/>
                <w:bCs w:val="false"/>
                <w:sz w:val="18"/>
                <w:szCs w:val="18"/>
              </w:rPr>
              <w:t xml:space="preserve">2026-04-10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(f)</w:t>
            </w:r>
          </w:p>
        </w:tc>
        <w:tc>
          <w:tcPr>
            <w:tcW w:type="dxa" w:w="1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Spec + US provisional patent</w:t>
            </w:r>
          </w:p>
        </w:tc>
        <w:tc>
          <w:tcPr>
            <w:tcW w:type="dxa" w:w="31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sz w:val="18"/>
                <w:szCs w:val="18"/>
              </w:rPr>
              <w:t xml:space="preserve">Out-of-process boundary gateway + execution receipts. Enforcement-topology layer; PSEA is deployment-agnostic on topology.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GNA
draft-madaras-guardsuite-gna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Madaras, Estis (GuardSuite / VXMSecure)</w:t>
            </w:r>
          </w:p>
        </w:tc>
        <w:tc>
          <w:tcPr>
            <w:tcW w:type="dxa" w:w="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8"/>
                <w:szCs w:val="18"/>
              </w:rPr>
              <w:t xml:space="preserve">2025-12-02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(a)+(c)+(f)</w:t>
            </w:r>
          </w:p>
        </w:tc>
        <w:tc>
          <w:tcPr>
            <w:tcW w:type="dxa" w:w="1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Spec only (Experimental)</w:t>
            </w:r>
          </w:p>
        </w:tc>
        <w:tc>
          <w:tcPr>
            <w:tcW w:type="dxa" w:w="3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sz w:val="18"/>
                <w:szCs w:val="18"/>
              </w:rPr>
              <w:t xml:space="preserve">Pre-execution authorization framework — intercept, route to approver, issue token. Broad enforcement framing; predates PSEA-00 by ~2 months — confirms the wave is older than 2026.</w:t>
            </w:r>
          </w:p>
        </w:tc>
      </w:tr>
    </w:tbl>
    <w:p>
      <w:r>
        <w:br w:type="page"/>
      </w:r>
    </w:p>
    <w:p>
      <w:pPr>
        <w:pStyle w:val="Heading2"/>
      </w:pPr>
      <w:r>
        <w:t xml:space="preserve">7. Coordination venues (not a layer)</w:t>
      </w:r>
    </w:p>
    <w:p>
      <w:pPr>
        <w:pStyle w:val="ListParagraph"/>
        <w:numPr>
          <w:ilvl w:val="0"/>
          <w:numId w:val="2"/>
        </w:numPr>
        <w:spacing w:after="60"/>
      </w:pPr>
      <w:r>
        <w:rPr>
          <w:b/>
          <w:bCs/>
          <w:sz w:val="22"/>
          <w:szCs w:val="22"/>
        </w:rPr>
        <w:t xml:space="preserve">CATALIST:</w:t>
      </w:r>
      <w:r>
        <w:rPr>
          <w:sz w:val="22"/>
          <w:szCs w:val="22"/>
        </w:rPr>
        <w:t xml:space="preserve"> — CATALIST BoF, IETF 125 (Shenzhen, 2026-03-18). Non-WG-forming; convened to inventory the agent-protocol sprawl. A slide flagged “NO COORDINATION.” Follow-up expected at IETF 126. The agent-initiated slice of this space; secdispatch is the home for the initiator-agnostic evidence question.</w:t>
      </w:r>
    </w:p>
    <w:p>
      <w:pPr>
        <w:pStyle w:val="ListParagraph"/>
        <w:numPr>
          <w:ilvl w:val="0"/>
          <w:numId w:val="2"/>
        </w:numPr>
        <w:spacing w:after="60"/>
      </w:pPr>
      <w:r>
        <w:rPr>
          <w:b/>
          <w:bCs/>
          <w:sz w:val="22"/>
          <w:szCs w:val="22"/>
        </w:rPr>
        <w:t xml:space="preserve">SCITT:</w:t>
      </w:r>
      <w:r>
        <w:rPr>
          <w:sz w:val="22"/>
          <w:szCs w:val="22"/>
        </w:rPr>
        <w:t xml:space="preserve"> — the receipt-style efforts' most likely standards home (COSE Receipts / transparency logs). Track as a convergence point.</w:t>
      </w:r>
    </w:p>
    <w:p>
      <w:pPr>
        <w:pStyle w:val="ListParagraph"/>
        <w:numPr>
          <w:ilvl w:val="0"/>
          <w:numId w:val="2"/>
        </w:numPr>
        <w:spacing w:after="60"/>
      </w:pPr>
      <w:r>
        <w:rPr>
          <w:b/>
          <w:bCs/>
          <w:sz w:val="22"/>
          <w:szCs w:val="22"/>
        </w:rPr>
        <w:t xml:space="preserve">OAuth / RATS:</w:t>
      </w:r>
      <w:r>
        <w:rPr>
          <w:sz w:val="22"/>
          <w:szCs w:val="22"/>
        </w:rPr>
        <w:t xml:space="preserve"> — step-up adjacency (RFC 9470); WIMSE for agent credentials. Named in the survey as adjacency, not territory to claim.</w:t>
      </w:r>
    </w:p>
    <w:p>
      <w:pPr>
        <w:pStyle w:val="Heading2"/>
      </w:pPr>
      <w:r>
        <w:t xml:space="preserve">8. Where PSEA stands, in one paragraph</w:t>
      </w:r>
    </w:p>
    <w:p>
      <w:pPr>
        <w:spacing w:after="120"/>
      </w:pPr>
      <w:r>
        <w:rPr>
          <w:sz w:val="22"/>
          <w:szCs w:val="22"/>
        </w:rPr>
        <w:t xml:space="preserve">Among twenty efforts, PSEA is one of the first three by date and the earliest dedicated-hardware per-action evidence profile. It is the only layer-(c) effort with a deployed verifier. It is a pure token profile (EAT/RFC 9711), which is why it composes cleanly with the confirmation layer (CHEQ), the delegation layer (DRP/DAAP/HDP), the identity layer (DKA/AIP), and the enforcement layer (AgentROA) instead of competing with any of them. The dispatch question the survey asks — is there a shared fail-closed verifier core — is answered, in running code, by exactly one of these efforts today.</w:t>
      </w:r>
    </w:p>
    <w:p>
      <w:pPr>
        <w:pStyle w:val="Heading2"/>
      </w:pPr>
      <w:r>
        <w:t xml:space="preserve">9. Verification discipline</w:t>
      </w:r>
    </w:p>
    <w:p>
      <w:pPr>
        <w:spacing w:after="120"/>
      </w:pPr>
      <w:r>
        <w:rPr>
          <w:sz w:val="22"/>
          <w:szCs w:val="22"/>
        </w:rPr>
        <w:t xml:space="preserve">Items asserted here are confirmed by both research passes. Flagged for caution before any external citation: DRP maturity (source 1 said SDK+vectors; source 2 said spec-only); APS first-public date and code status (unverified); DKA is Domain Key Authorities, an identity/key-discovery framework, NOT a per-action evidence effort; “AIP” denotes four unrelated drafts and must be disambiguated; DAAP author is Kumar (not “Mishra”); ADP author is Lian (not “Pro”). Do not cite any patent number for another effort. No item leaves this document for an IETF channel without an individual re-check against datatracker.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2026-06-13T07:21:02.047Z</dcterms:created>
  <dcterms:modified xsi:type="dcterms:W3CDTF">2026-06-13T07:21:02.047Z</dcterms:modified>
</cp:coreProperties>
</file>

<file path=docProps/custom.xml><?xml version="1.0" encoding="utf-8"?>
<Properties xmlns="http://schemas.openxmlformats.org/officeDocument/2006/custom-properties" xmlns:vt="http://schemas.openxmlformats.org/officeDocument/2006/docPropsVTypes"/>
</file>