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a13ffb41690307a29ba2570799bbb39e44d9e8"/>
    <w:p>
      <w:pPr>
        <w:pStyle w:val="Heading1"/>
      </w:pPr>
      <w:r>
        <w:t xml:space="preserve">Authorization Evidence for High-Risk Agent Actions</w:t>
      </w:r>
    </w:p>
    <w:p>
      <w:pPr>
        <w:pStyle w:val="FirstParagraph"/>
      </w:pPr>
      <w:r>
        <w:t xml:space="preserve">A survey of independent efforts - strawman for a joint note to the SECDISPATCH chairs</w:t>
      </w:r>
    </w:p>
    <w:p>
      <w:pPr>
        <w:pStyle w:val="BodyText"/>
      </w:pPr>
      <w:r>
        <w:t xml:space="preserve">Status: strawman v1.2 markup by S. Bu against v1.1. This version integrates the common-core / profile-specific / out-of-scope split, makes the offline/server-state boundary a first-class conformance boundary, normalizes PSEA and EP onto the same decision axes, and folds the Microsoft curriculum reference into the ScopeBlind entry rather than treating it as a separate signal.</w:t>
      </w:r>
    </w:p>
    <w:p>
      <w:pPr>
        <w:pStyle w:val="BodyText"/>
      </w:pPr>
      <w:r>
        <w:t xml:space="preserve">Note for co-authors: entries marked</w:t>
      </w:r>
      <w:r>
        <w:t xml:space="preserve"> </w:t>
      </w:r>
      <w:r>
        <w:rPr>
          <w:rStyle w:val="VerbatimChar"/>
        </w:rPr>
        <w:t xml:space="preserve">[to verify]</w:t>
      </w:r>
      <w:r>
        <w:t xml:space="preserve"> </w:t>
      </w:r>
      <w:r>
        <w:t xml:space="preserve">should be source-checked by the relevant author before the note is sent to chairs. The point of the survey is convergence, not breadth by soft citation.</w:t>
      </w:r>
    </w:p>
    <w:bookmarkStart w:id="9" w:name="problem"/>
    <w:p>
      <w:pPr>
        <w:pStyle w:val="Heading2"/>
      </w:pPr>
      <w:r>
        <w:t xml:space="preserve">1. Problem</w:t>
      </w:r>
    </w:p>
    <w:p>
      <w:pPr>
        <w:pStyle w:val="FirstParagraph"/>
      </w:pPr>
      <w:r>
        <w:t xml:space="preserve">AI agents increasingly initiate high-risk, irreversible actions - moving money, changing records, and acting externally. Session authentication answers</w:t>
      </w:r>
      <w:r>
        <w:t xml:space="preserve"> </w:t>
      </w:r>
      <w:r>
        <w:t xml:space="preserve">“who logged in,”</w:t>
      </w:r>
      <w:r>
        <w:t xml:space="preserve"> </w:t>
      </w:r>
      <w:r>
        <w:t xml:space="preserve">not</w:t>
      </w:r>
      <w:r>
        <w:t xml:space="preserve"> </w:t>
      </w:r>
      <w:r>
        <w:t xml:space="preserve">“did an accountable human approve this action, now.”</w:t>
      </w:r>
      <w:r>
        <w:t xml:space="preserve"> </w:t>
      </w:r>
      <w:r>
        <w:t xml:space="preserve">Multiple groups independently built cryptographic evidence that binds a human’s user-verification-gated approval to a specific action payload, verifiable after the fact without trusting the operator. The convergence is the signal.</w:t>
      </w:r>
    </w:p>
    <w:bookmarkEnd w:id="9"/>
    <w:bookmarkStart w:id="10" w:name="shared-construction"/>
    <w:p>
      <w:pPr>
        <w:pStyle w:val="Heading2"/>
      </w:pPr>
      <w:r>
        <w:t xml:space="preserve">2. Shared Construction</w:t>
      </w:r>
    </w:p>
    <w:p>
      <w:pPr>
        <w:pStyle w:val="FirstParagraph"/>
      </w:pPr>
      <w:r>
        <w:t xml:space="preserve">The efforts differ in assurance tier, token format, and deployment model, but they converge on the same basic construction:</w:t>
      </w:r>
    </w:p>
    <w:p>
      <w:pPr>
        <w:pStyle w:val="Compact"/>
        <w:numPr>
          <w:ilvl w:val="0"/>
          <w:numId w:val="1001"/>
        </w:numPr>
      </w:pPr>
      <w:r>
        <w:t xml:space="preserve">canonical serialization of an explicit action / authorization context;</w:t>
      </w:r>
    </w:p>
    <w:p>
      <w:pPr>
        <w:pStyle w:val="Compact"/>
        <w:numPr>
          <w:ilvl w:val="0"/>
          <w:numId w:val="1001"/>
        </w:numPr>
      </w:pPr>
      <w:r>
        <w:t xml:space="preserve">a signature or assertion gated on user verification;</w:t>
      </w:r>
    </w:p>
    <w:p>
      <w:pPr>
        <w:pStyle w:val="Compact"/>
        <w:numPr>
          <w:ilvl w:val="0"/>
          <w:numId w:val="1001"/>
        </w:numPr>
      </w:pPr>
      <w:r>
        <w:t xml:space="preserve">a signed challenge or claim set that binds the hash of the exact action;</w:t>
      </w:r>
    </w:p>
    <w:p>
      <w:pPr>
        <w:pStyle w:val="Compact"/>
        <w:numPr>
          <w:ilvl w:val="0"/>
          <w:numId w:val="1001"/>
        </w:numPr>
      </w:pPr>
      <w:r>
        <w:t xml:space="preserve">verifier rules that fail closed on action mismatch, cross-context reuse, replay, or missing user verification;</w:t>
      </w:r>
    </w:p>
    <w:p>
      <w:pPr>
        <w:pStyle w:val="Compact"/>
        <w:numPr>
          <w:ilvl w:val="0"/>
          <w:numId w:val="1001"/>
        </w:numPr>
      </w:pPr>
      <w:r>
        <w:t xml:space="preserve">independently verifiable evidence that removes the operator from the signing trust path.</w:t>
      </w:r>
    </w:p>
    <w:bookmarkEnd w:id="10"/>
    <w:bookmarkStart w:id="14" w:name="boundary-that-should-be-explicit"/>
    <w:p>
      <w:pPr>
        <w:pStyle w:val="Heading2"/>
      </w:pPr>
      <w:r>
        <w:t xml:space="preserve">3. Boundary That Should Be Explicit</w:t>
      </w:r>
    </w:p>
    <w:p>
      <w:pPr>
        <w:pStyle w:val="FirstParagraph"/>
      </w:pPr>
      <w:r>
        <w:t xml:space="preserve">The survey should separate the shared core from profile-specific choices and residual risks. This lets chairs see the common work item without treating PSEA, EP, DRP, and ScopeBlind as the same protocol.</w:t>
      </w:r>
    </w:p>
    <w:bookmarkStart w:id="11" w:name="common-core"/>
    <w:p>
      <w:pPr>
        <w:pStyle w:val="Heading3"/>
      </w:pPr>
      <w:r>
        <w:t xml:space="preserve">3.1 Common Core</w:t>
      </w:r>
    </w:p>
    <w:p>
      <w:pPr>
        <w:pStyle w:val="FirstParagraph"/>
      </w:pPr>
      <w:r>
        <w:t xml:space="preserve">The common core is an authorization-evidence and verifier-fail-closed core:</w:t>
      </w:r>
    </w:p>
    <w:p>
      <w:pPr>
        <w:pStyle w:val="Compact"/>
        <w:numPr>
          <w:ilvl w:val="0"/>
          <w:numId w:val="1002"/>
        </w:numPr>
      </w:pPr>
      <w:r>
        <w:t xml:space="preserve">action-context canonicalization and exact action-hash binding;</w:t>
      </w:r>
    </w:p>
    <w:p>
      <w:pPr>
        <w:pStyle w:val="Compact"/>
        <w:numPr>
          <w:ilvl w:val="0"/>
          <w:numId w:val="1002"/>
        </w:numPr>
      </w:pPr>
      <w:r>
        <w:t xml:space="preserve">a UV-gated signature or assertion over the authorization context;</w:t>
      </w:r>
    </w:p>
    <w:p>
      <w:pPr>
        <w:pStyle w:val="Compact"/>
        <w:numPr>
          <w:ilvl w:val="0"/>
          <w:numId w:val="1002"/>
        </w:numPr>
      </w:pPr>
      <w:r>
        <w:t xml:space="preserve">verifier-side fail-closed checks for structural, cryptographic, action-binding, audience, lifecycle/UV, and replay/state failures;</w:t>
      </w:r>
    </w:p>
    <w:p>
      <w:pPr>
        <w:pStyle w:val="Compact"/>
        <w:numPr>
          <w:ilvl w:val="0"/>
          <w:numId w:val="1002"/>
        </w:numPr>
      </w:pPr>
      <w:r>
        <w:t xml:space="preserve">a clear offline assertion-verification boundary and a clear verifier-state boundary;</w:t>
      </w:r>
    </w:p>
    <w:p>
      <w:pPr>
        <w:pStyle w:val="Compact"/>
        <w:numPr>
          <w:ilvl w:val="0"/>
          <w:numId w:val="1002"/>
        </w:numPr>
      </w:pPr>
      <w:r>
        <w:t xml:space="preserve">an independently verifiable proof, receipt, or relying-party result whose success form cannot be produced after a failed decision;</w:t>
      </w:r>
    </w:p>
    <w:p>
      <w:pPr>
        <w:pStyle w:val="Compact"/>
        <w:numPr>
          <w:ilvl w:val="0"/>
          <w:numId w:val="1002"/>
        </w:numPr>
      </w:pPr>
      <w:r>
        <w:t xml:space="preserve">the invariant that rejection occurs before any approval-bearing state mutation.</w:t>
      </w:r>
    </w:p>
    <w:bookmarkEnd w:id="11"/>
    <w:bookmarkStart w:id="12" w:name="profile-specific-surface"/>
    <w:p>
      <w:pPr>
        <w:pStyle w:val="Heading3"/>
      </w:pPr>
      <w:r>
        <w:t xml:space="preserve">3.2 Profile-Specific Surface</w:t>
      </w:r>
    </w:p>
    <w:p>
      <w:pPr>
        <w:pStyle w:val="FirstParagraph"/>
      </w:pPr>
      <w:r>
        <w:t xml:space="preserve">The following should remain profile-specific:</w:t>
      </w:r>
    </w:p>
    <w:p>
      <w:pPr>
        <w:pStyle w:val="Compact"/>
        <w:numPr>
          <w:ilvl w:val="0"/>
          <w:numId w:val="1003"/>
        </w:numPr>
      </w:pPr>
      <w:r>
        <w:t xml:space="preserve">authenticator assurance tier and attestation model;</w:t>
      </w:r>
    </w:p>
    <w:p>
      <w:pPr>
        <w:pStyle w:val="Compact"/>
        <w:numPr>
          <w:ilvl w:val="0"/>
          <w:numId w:val="1003"/>
        </w:numPr>
      </w:pPr>
      <w:r>
        <w:t xml:space="preserve">token format, claim names, and proof envelope;</w:t>
      </w:r>
    </w:p>
    <w:p>
      <w:pPr>
        <w:pStyle w:val="Compact"/>
        <w:numPr>
          <w:ilvl w:val="0"/>
          <w:numId w:val="1003"/>
        </w:numPr>
      </w:pPr>
      <w:r>
        <w:t xml:space="preserve">enrollment lifecycle and approver / subject policy;</w:t>
      </w:r>
    </w:p>
    <w:p>
      <w:pPr>
        <w:pStyle w:val="Compact"/>
        <w:numPr>
          <w:ilvl w:val="0"/>
          <w:numId w:val="1003"/>
        </w:numPr>
      </w:pPr>
      <w:r>
        <w:t xml:space="preserve">delegation versus per-action approval;</w:t>
      </w:r>
    </w:p>
    <w:p>
      <w:pPr>
        <w:pStyle w:val="Compact"/>
        <w:numPr>
          <w:ilvl w:val="0"/>
          <w:numId w:val="1003"/>
        </w:numPr>
      </w:pPr>
      <w:r>
        <w:t xml:space="preserve">enforcement mode and deployment class;</w:t>
      </w:r>
    </w:p>
    <w:p>
      <w:pPr>
        <w:pStyle w:val="Compact"/>
        <w:numPr>
          <w:ilvl w:val="0"/>
          <w:numId w:val="1003"/>
        </w:numPr>
      </w:pPr>
      <w:r>
        <w:t xml:space="preserve">whether the relying party consumes a receipt offline, waits for an online ACK, or combines both.</w:t>
      </w:r>
    </w:p>
    <w:bookmarkEnd w:id="12"/>
    <w:bookmarkStart w:id="13" w:name="residual-out-of-scope"/>
    <w:p>
      <w:pPr>
        <w:pStyle w:val="Heading3"/>
      </w:pPr>
      <w:r>
        <w:t xml:space="preserve">3.3 Residual / Out of Scope</w:t>
      </w:r>
    </w:p>
    <w:p>
      <w:pPr>
        <w:pStyle w:val="FirstParagraph"/>
      </w:pPr>
      <w:r>
        <w:t xml:space="preserve">The shared core does not, by itself, solve:</w:t>
      </w:r>
    </w:p>
    <w:p>
      <w:pPr>
        <w:pStyle w:val="Compact"/>
        <w:numPr>
          <w:ilvl w:val="0"/>
          <w:numId w:val="1004"/>
        </w:numPr>
      </w:pPr>
      <w:r>
        <w:t xml:space="preserve">WYSIWYS or display integrity;</w:t>
      </w:r>
    </w:p>
    <w:p>
      <w:pPr>
        <w:pStyle w:val="Compact"/>
        <w:numPr>
          <w:ilvl w:val="0"/>
          <w:numId w:val="1004"/>
        </w:numPr>
      </w:pPr>
      <w:r>
        <w:t xml:space="preserve">proof of a natural-person identity;</w:t>
      </w:r>
    </w:p>
    <w:p>
      <w:pPr>
        <w:pStyle w:val="Compact"/>
        <w:numPr>
          <w:ilvl w:val="0"/>
          <w:numId w:val="1004"/>
        </w:numPr>
      </w:pPr>
      <w:r>
        <w:t xml:space="preserve">OAuth step-up policy or authorization-policy semantics;</w:t>
      </w:r>
    </w:p>
    <w:p>
      <w:pPr>
        <w:pStyle w:val="Compact"/>
        <w:numPr>
          <w:ilvl w:val="0"/>
          <w:numId w:val="1004"/>
        </w:numPr>
      </w:pPr>
      <w:r>
        <w:t xml:space="preserve">every revocation-timing question in offline verification modes.</w:t>
      </w:r>
    </w:p>
    <w:p>
      <w:pPr>
        <w:pStyle w:val="FirstParagraph"/>
      </w:pPr>
      <w:r>
        <w:t xml:space="preserve">Those boundaries keep the work complementary to OAuth and RATS/EAT rather than competing with either.</w:t>
      </w:r>
    </w:p>
    <w:bookmarkEnd w:id="13"/>
    <w:bookmarkEnd w:id="14"/>
    <w:bookmarkStart w:id="18" w:name="shared-verifier-model"/>
    <w:p>
      <w:pPr>
        <w:pStyle w:val="Heading2"/>
      </w:pPr>
      <w:r>
        <w:t xml:space="preserve">4. Shared Verifier Model</w:t>
      </w:r>
    </w:p>
    <w:p>
      <w:pPr>
        <w:pStyle w:val="FirstParagraph"/>
      </w:pPr>
      <w:r>
        <w:t xml:space="preserve">The useful comparison is not whether token formats are identical. It is whether the verifier decision matrices line up.</w:t>
      </w:r>
    </w:p>
    <w:bookmarkStart w:id="15" w:name="processing-invariant"/>
    <w:p>
      <w:pPr>
        <w:pStyle w:val="Heading3"/>
      </w:pPr>
      <w:r>
        <w:t xml:space="preserve">4.1 Processing Invariant</w:t>
      </w:r>
    </w:p>
    <w:p>
      <w:pPr>
        <w:pStyle w:val="FirstParagraph"/>
      </w:pPr>
      <w:r>
        <w:t xml:space="preserve">On receipt of a proof submission, the verifier treats the signed proof, the submitted action payload, enrollment state, and replay state as one authorization decision. It validates the signed token or assertion first, then evaluates only verified claims together with server-side enrollment and replay state.</w:t>
      </w:r>
    </w:p>
    <w:p>
      <w:pPr>
        <w:pStyle w:val="BodyText"/>
      </w:pPr>
      <w:r>
        <w:t xml:space="preserve">Any mismatch, missing required signed claim, stale freshness value, replayed replay key, inactive enrollment state, insufficient user-verification evidence, or failed operation/audience binding is a non-approval outcome.</w:t>
      </w:r>
    </w:p>
    <w:p>
      <w:pPr>
        <w:pStyle w:val="BodyText"/>
      </w:pPr>
      <w:r>
        <w:t xml:space="preserve">The common invariant is: reject before any approval-bearing state mutation. A rejected proof must not advance a counter, finalize a jti, consume a nonce, write an approval ledger entry, sign an ACK, or emit a success-bearing result.</w:t>
      </w:r>
    </w:p>
    <w:bookmarkEnd w:id="15"/>
    <w:bookmarkStart w:id="16" w:name="offline-versus-server-state-boundary"/>
    <w:p>
      <w:pPr>
        <w:pStyle w:val="Heading3"/>
      </w:pPr>
      <w:r>
        <w:t xml:space="preserve">4.2 Offline Versus Server-State Boundary</w:t>
      </w:r>
    </w:p>
    <w:p>
      <w:pPr>
        <w:pStyle w:val="FirstParagraph"/>
      </w:pPr>
      <w:r>
        <w:t xml:space="preserve">This boundary should be a row in the survey matrix, not a footnote.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Boundary</w:t>
            </w:r>
          </w:p>
        </w:tc>
        <w:tc>
          <w:tcPr/>
          <w:p>
            <w:pPr>
              <w:pStyle w:val="Compact"/>
            </w:pPr>
            <w:r>
              <w:t xml:space="preserve">Offline-checkable</w:t>
            </w:r>
          </w:p>
        </w:tc>
        <w:tc>
          <w:tcPr/>
          <w:p>
            <w:pPr>
              <w:pStyle w:val="Compact"/>
            </w:pPr>
            <w:r>
              <w:t xml:space="preserve">Requires verifier/server state</w:t>
            </w:r>
          </w:p>
        </w:tc>
      </w:tr>
      <w:tr>
        <w:tc>
          <w:tcPr/>
          <w:p>
            <w:pPr>
              <w:pStyle w:val="Compact"/>
            </w:pPr>
            <w:r>
              <w:t xml:space="preserve">Cryptographic assertion</w:t>
            </w:r>
          </w:p>
        </w:tc>
        <w:tc>
          <w:tcPr/>
          <w:p>
            <w:pPr>
              <w:pStyle w:val="Compact"/>
            </w:pPr>
            <w:r>
              <w:t xml:space="preserve">Signature/assertion validity, key binding, supported algorithm/profile</w:t>
            </w:r>
          </w:p>
        </w:tc>
        <w:tc>
          <w:tcPr/>
          <w:p>
            <w:pPr>
              <w:pStyle w:val="Compact"/>
            </w:pPr>
            <w:r>
              <w:t xml:space="preserve">Key lifecycle if revocation or enrollment status is not carried in the offline trust material</w:t>
            </w:r>
          </w:p>
        </w:tc>
      </w:tr>
      <w:tr>
        <w:tc>
          <w:tcPr/>
          <w:p>
            <w:pPr>
              <w:pStyle w:val="Compact"/>
            </w:pPr>
            <w:r>
              <w:t xml:space="preserve">Action binding</w:t>
            </w:r>
          </w:p>
        </w:tc>
        <w:tc>
          <w:tcPr/>
          <w:p>
            <w:pPr>
              <w:pStyle w:val="Compact"/>
            </w:pPr>
            <w:r>
              <w:t xml:space="preserve">Canonicalization, exact action hash, signed context, audience/rp_id</w:t>
            </w:r>
          </w:p>
        </w:tc>
        <w:tc>
          <w:tcPr/>
          <w:p>
            <w:pPr>
              <w:pStyle w:val="Compact"/>
            </w:pPr>
            <w:r>
              <w:t xml:space="preserve">Context-specific acceptance policy, if policy state is external</w:t>
            </w:r>
          </w:p>
        </w:tc>
      </w:tr>
      <w:tr>
        <w:tc>
          <w:tcPr/>
          <w:p>
            <w:pPr>
              <w:pStyle w:val="Compact"/>
            </w:pPr>
            <w:r>
              <w:t xml:space="preserve">User verification</w:t>
            </w:r>
          </w:p>
        </w:tc>
        <w:tc>
          <w:tcPr/>
          <w:p>
            <w:pPr>
              <w:pStyle w:val="Compact"/>
            </w:pPr>
            <w:r>
              <w:t xml:space="preserve">UV/UP or equivalent assurance evidence in the signed assertion</w:t>
            </w:r>
          </w:p>
        </w:tc>
        <w:tc>
          <w:tcPr/>
          <w:p>
            <w:pPr>
              <w:pStyle w:val="Compact"/>
            </w:pPr>
            <w:r>
              <w:t xml:space="preserve">Assurance-tier policy and enrollment-active checks</w:t>
            </w:r>
          </w:p>
        </w:tc>
      </w:tr>
      <w:tr>
        <w:tc>
          <w:tcPr/>
          <w:p>
            <w:pPr>
              <w:pStyle w:val="Compact"/>
            </w:pPr>
            <w:r>
              <w:t xml:space="preserve">Replay / one-time consumption</w:t>
            </w:r>
          </w:p>
        </w:tc>
        <w:tc>
          <w:tcPr/>
          <w:p>
            <w:pPr>
              <w:pStyle w:val="Compact"/>
            </w:pPr>
            <w:r>
              <w:t xml:space="preserve">A replay key can be carried or signed</w:t>
            </w:r>
          </w:p>
        </w:tc>
        <w:tc>
          <w:tcPr/>
          <w:p>
            <w:pPr>
              <w:pStyle w:val="Compact"/>
            </w:pPr>
            <w:r>
              <w:t xml:space="preserve">Actual compare-and-advance, nonce consumption, jti finalization, high-water mark, revocation freshness</w:t>
            </w:r>
          </w:p>
        </w:tc>
      </w:tr>
      <w:tr>
        <w:tc>
          <w:tcPr/>
          <w:p>
            <w:pPr>
              <w:pStyle w:val="Compact"/>
            </w:pPr>
            <w:r>
              <w:t xml:space="preserve">Result semantics</w:t>
            </w:r>
          </w:p>
        </w:tc>
        <w:tc>
          <w:tcPr/>
          <w:p>
            <w:pPr>
              <w:pStyle w:val="Compact"/>
            </w:pPr>
            <w:r>
              <w:t xml:space="preserve">A receipt/proof can be independently verified</w:t>
            </w:r>
          </w:p>
        </w:tc>
        <w:tc>
          <w:tcPr/>
          <w:p>
            <w:pPr>
              <w:pStyle w:val="Compact"/>
            </w:pPr>
            <w:r>
              <w:t xml:space="preserve">Whether a success-bearing ACK, ledger write, or execution gate has been finalized</w:t>
            </w:r>
          </w:p>
        </w:tc>
      </w:tr>
    </w:tbl>
    <w:p>
      <w:pPr>
        <w:pStyle w:val="BodyText"/>
      </w:pPr>
      <w:r>
        <w:t xml:space="preserve">EP and PSEA enforce the one-time property differently. EP uses nonce consumption at the consume/ledger step; PSEA uses jti plus counter high-water mark. Those are different mechanisms for the same verifier-state invariant.</w:t>
      </w:r>
    </w:p>
    <w:bookmarkEnd w:id="16"/>
    <w:bookmarkStart w:id="17" w:name="failure-classes"/>
    <w:p>
      <w:pPr>
        <w:pStyle w:val="Heading3"/>
      </w:pPr>
      <w:r>
        <w:t xml:space="preserve">4.3 Failure Classes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Failure class</w:t>
            </w:r>
          </w:p>
        </w:tc>
        <w:tc>
          <w:tcPr/>
          <w:p>
            <w:pPr>
              <w:pStyle w:val="Compact"/>
            </w:pPr>
            <w:r>
              <w:t xml:space="preserve">Examples</w:t>
            </w:r>
          </w:p>
        </w:tc>
      </w:tr>
      <w:tr>
        <w:tc>
          <w:tcPr/>
          <w:p>
            <w:pPr>
              <w:pStyle w:val="Compact"/>
            </w:pPr>
            <w:r>
              <w:t xml:space="preserve">Structural / cryptographic</w:t>
            </w:r>
          </w:p>
        </w:tc>
        <w:tc>
          <w:tcPr/>
          <w:p>
            <w:pPr>
              <w:pStyle w:val="Compact"/>
            </w:pPr>
            <w:r>
              <w:t xml:space="preserve">Wrong profile or ceremony type; unsupported algorithm; bad signature; wrong key; unrecognized critical field</w:t>
            </w:r>
          </w:p>
        </w:tc>
      </w:tr>
      <w:tr>
        <w:tc>
          <w:tcPr/>
          <w:p>
            <w:pPr>
              <w:pStyle w:val="Compact"/>
            </w:pPr>
            <w:r>
              <w:t xml:space="preserve">Action-binding</w:t>
            </w:r>
          </w:p>
        </w:tc>
        <w:tc>
          <w:tcPr/>
          <w:p>
            <w:pPr>
              <w:pStyle w:val="Compact"/>
            </w:pPr>
            <w:r>
              <w:t xml:space="preserve">Missing payload; payload-hash mismatch; non-canonical payload; hash-encoding mismatch; altered nonce or context after signing</w:t>
            </w:r>
          </w:p>
        </w:tc>
      </w:tr>
      <w:tr>
        <w:tc>
          <w:tcPr/>
          <w:p>
            <w:pPr>
              <w:pStyle w:val="Compact"/>
            </w:pPr>
            <w:r>
              <w:t xml:space="preserve">Operation / audience</w:t>
            </w:r>
          </w:p>
        </w:tc>
        <w:tc>
          <w:tcPr/>
          <w:p>
            <w:pPr>
              <w:pStyle w:val="Compact"/>
            </w:pPr>
            <w:r>
              <w:t xml:space="preserve">Tier, operation, audience, issuer, caller, policy reference, or relying-party identifier does not match the expected operation context</w:t>
            </w:r>
          </w:p>
        </w:tc>
      </w:tr>
      <w:tr>
        <w:tc>
          <w:tcPr/>
          <w:p>
            <w:pPr>
              <w:pStyle w:val="Compact"/>
            </w:pPr>
            <w:r>
              <w:t xml:space="preserve">Freshness / replay</w:t>
            </w:r>
          </w:p>
        </w:tc>
        <w:tc>
          <w:tcPr/>
          <w:p>
            <w:pPr>
              <w:pStyle w:val="Compact"/>
            </w:pPr>
            <w:r>
              <w:t xml:space="preserve">Expired proof; implausible issuance time; wrong nonce; reused jti; non-increasing counter; reused consumption nonce</w:t>
            </w:r>
          </w:p>
        </w:tc>
      </w:tr>
      <w:tr>
        <w:tc>
          <w:tcPr/>
          <w:p>
            <w:pPr>
              <w:pStyle w:val="Compact"/>
            </w:pPr>
            <w:r>
              <w:t xml:space="preserve">Lifecycle / trust gate</w:t>
            </w:r>
          </w:p>
        </w:tc>
        <w:tc>
          <w:tcPr/>
          <w:p>
            <w:pPr>
              <w:pStyle w:val="Compact"/>
            </w:pPr>
            <w:r>
              <w:t xml:space="preserve">Enrollment not active; revoked or suspended key; user-verification or user-presence evidence below the required assurance level</w:t>
            </w:r>
          </w:p>
        </w:tc>
      </w:tr>
    </w:tbl>
    <w:bookmarkEnd w:id="17"/>
    <w:bookmarkEnd w:id="18"/>
    <w:bookmarkStart w:id="19" w:name="worked-comparison-on-the-decision-matrix"/>
    <w:p>
      <w:pPr>
        <w:pStyle w:val="Heading2"/>
      </w:pPr>
      <w:r>
        <w:t xml:space="preserve">5. Worked Comparison on the Decision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Verifier axis</w:t>
            </w:r>
          </w:p>
        </w:tc>
        <w:tc>
          <w:tcPr/>
          <w:p>
            <w:pPr>
              <w:pStyle w:val="Compact"/>
            </w:pPr>
            <w:r>
              <w:t xml:space="preserve">PSEA (-02)</w:t>
            </w:r>
          </w:p>
        </w:tc>
        <w:tc>
          <w:tcPr/>
          <w:p>
            <w:pPr>
              <w:pStyle w:val="Compact"/>
            </w:pPr>
            <w:r>
              <w:t xml:space="preserve">EP authorization receipts / Class-A signoff</w:t>
            </w:r>
          </w:p>
        </w:tc>
      </w:tr>
      <w:tr>
        <w:tc>
          <w:tcPr/>
          <w:p>
            <w:pPr>
              <w:pStyle w:val="Compact"/>
            </w:pPr>
            <w:r>
              <w:t xml:space="preserve">Action canonicalization / hash</w:t>
            </w:r>
          </w:p>
        </w:tc>
        <w:tc>
          <w:tcPr/>
          <w:p>
            <w:pPr>
              <w:pStyle w:val="Compact"/>
            </w:pPr>
            <w:r>
              <w:t xml:space="preserve">JCS (RFC 8785) to SHA-256; non-canonical input rejected; byte-exact recompute before any approval-bearing state mutation.</w:t>
            </w:r>
          </w:p>
        </w:tc>
        <w:tc>
          <w:tcPr/>
          <w:p>
            <w:pPr>
              <w:pStyle w:val="Compact"/>
            </w:pPr>
            <w:r>
              <w:t xml:space="preserve">JCS (RFC 8785) of the action object to SHA-256 context hash; non-canonical input rejected.</w:t>
            </w:r>
          </w:p>
        </w:tc>
      </w:tr>
      <w:tr>
        <w:tc>
          <w:tcPr/>
          <w:p>
            <w:pPr>
              <w:pStyle w:val="Compact"/>
            </w:pPr>
            <w:r>
              <w:t xml:space="preserve">Approver / subject binding</w:t>
            </w:r>
          </w:p>
        </w:tc>
        <w:tc>
          <w:tcPr/>
          <w:p>
            <w:pPr>
              <w:pStyle w:val="Compact"/>
            </w:pPr>
            <w:r>
              <w:t xml:space="preserve">Dedicated hardware-attested device key; hardware-resident key material with enforced user verification, evidenced by a platform attestation chain. Device- and vendor-agnostic if the platform can produce that evidence.</w:t>
            </w:r>
          </w:p>
        </w:tc>
        <w:tc>
          <w:tcPr/>
          <w:p>
            <w:pPr>
              <w:pStyle w:val="Compact"/>
            </w:pPr>
            <w:r>
              <w:t xml:space="preserve">Device-bound approver key for Class A, using WebAuthn ECDSA P-256; approver_id resolved through a signed Approver Directory.</w:t>
            </w:r>
          </w:p>
        </w:tc>
      </w:tr>
      <w:tr>
        <w:tc>
          <w:tcPr/>
          <w:p>
            <w:pPr>
              <w:pStyle w:val="Compact"/>
            </w:pPr>
            <w:r>
              <w:t xml:space="preserve">Operation / audience binding</w:t>
            </w:r>
          </w:p>
        </w:tc>
        <w:tc>
          <w:tcPr/>
          <w:p>
            <w:pPr>
              <w:pStyle w:val="Compact"/>
            </w:pPr>
            <w:r>
              <w:t xml:space="preserve">psea_tier, psea_op, aud, iss, and optional caller identity binding are byte-exact in the signed claim set.</w:t>
            </w:r>
          </w:p>
        </w:tc>
        <w:tc>
          <w:tcPr/>
          <w:p>
            <w:pPr>
              <w:pStyle w:val="Compact"/>
            </w:pPr>
            <w:r>
              <w:t xml:space="preserve">action_hash, policy reference, and initiator are in the signed context; WebAuthn rp_id binds the relying party.</w:t>
            </w:r>
          </w:p>
        </w:tc>
      </w:tr>
      <w:tr>
        <w:tc>
          <w:tcPr/>
          <w:p>
            <w:pPr>
              <w:pStyle w:val="Compact"/>
            </w:pPr>
            <w:r>
              <w:t xml:space="preserve">Replay key</w:t>
            </w:r>
          </w:p>
        </w:tc>
        <w:tc>
          <w:tcPr/>
          <w:p>
            <w:pPr>
              <w:pStyle w:val="Compact"/>
            </w:pPr>
            <w:r>
              <w:t xml:space="preserve">jti plus a per-scope strictly increasing counter; freshness also uses iat / eat_nonce where applicable.</w:t>
            </w:r>
          </w:p>
        </w:tc>
        <w:tc>
          <w:tcPr/>
          <w:p>
            <w:pPr>
              <w:pStyle w:val="Compact"/>
            </w:pPr>
            <w:r>
              <w:t xml:space="preserve">128-bit CSPRNG nonce, globally unique; the nonce is the consumption key.</w:t>
            </w:r>
          </w:p>
        </w:tc>
      </w:tr>
      <w:tr>
        <w:tc>
          <w:tcPr/>
          <w:p>
            <w:pPr>
              <w:pStyle w:val="Compact"/>
            </w:pPr>
            <w:r>
              <w:t xml:space="preserve">One-time state</w:t>
            </w:r>
          </w:p>
        </w:tc>
        <w:tc>
          <w:tcPr/>
          <w:p>
            <w:pPr>
              <w:pStyle w:val="Compact"/>
            </w:pPr>
            <w:r>
              <w:t xml:space="preserve">Counter compare-and-advance and jti finalization in one atomic transaction; replay terminally refused.</w:t>
            </w:r>
          </w:p>
        </w:tc>
        <w:tc>
          <w:tcPr/>
          <w:p>
            <w:pPr>
              <w:pStyle w:val="Compact"/>
            </w:pPr>
            <w:r>
              <w:t xml:space="preserve">Consumed at most once globally; replay across sessions, operators, or time is terminally refused at consume/ledger step.</w:t>
            </w:r>
          </w:p>
        </w:tc>
      </w:tr>
      <w:tr>
        <w:tc>
          <w:tcPr/>
          <w:p>
            <w:pPr>
              <w:pStyle w:val="Compact"/>
            </w:pPr>
            <w:r>
              <w:t xml:space="preserve">Trust root</w:t>
            </w:r>
          </w:p>
        </w:tc>
        <w:tc>
          <w:tcPr/>
          <w:p>
            <w:pPr>
              <w:pStyle w:val="Compact"/>
            </w:pPr>
            <w:r>
              <w:t xml:space="preserve">Platform key-attestation chain, never the operator.</w:t>
            </w:r>
          </w:p>
        </w:tc>
        <w:tc>
          <w:tcPr/>
          <w:p>
            <w:pPr>
              <w:pStyle w:val="Compact"/>
            </w:pPr>
            <w:r>
              <w:t xml:space="preserve">Signed Approver Directory; MUST NOT default to the EP operator.</w:t>
            </w:r>
          </w:p>
        </w:tc>
      </w:tr>
      <w:tr>
        <w:tc>
          <w:tcPr/>
          <w:p>
            <w:pPr>
              <w:pStyle w:val="Compact"/>
            </w:pPr>
            <w:r>
              <w:t xml:space="preserve">Relying-party result</w:t>
            </w:r>
          </w:p>
        </w:tc>
        <w:tc>
          <w:tcPr/>
          <w:p>
            <w:pPr>
              <w:pStyle w:val="Compact"/>
            </w:pPr>
            <w:r>
              <w:t xml:space="preserve">Signed proof token; highest enforcement tier also requires server ACK before execution, fail-closed.</w:t>
            </w:r>
          </w:p>
        </w:tc>
        <w:tc>
          <w:tcPr/>
          <w:p>
            <w:pPr>
              <w:pStyle w:val="Compact"/>
            </w:pPr>
            <w:r>
              <w:t xml:space="preserve">Offline-verifiable Trust Receipt: signed authorization plus consumption record plus Merkle anchor.</w:t>
            </w:r>
          </w:p>
        </w:tc>
      </w:tr>
      <w:tr>
        <w:tc>
          <w:tcPr/>
          <w:p>
            <w:pPr>
              <w:pStyle w:val="Compact"/>
            </w:pPr>
            <w:r>
              <w:t xml:space="preserve">Enforcement / deployment class</w:t>
            </w:r>
          </w:p>
        </w:tc>
        <w:tc>
          <w:tcPr/>
          <w:p>
            <w:pPr>
              <w:pStyle w:val="Compact"/>
            </w:pPr>
            <w:r>
              <w:t xml:space="preserve">Four tiers (P/S/E/A), from passive evidence to per-action online fail-closed authorization.</w:t>
            </w:r>
          </w:p>
        </w:tc>
        <w:tc>
          <w:tcPr/>
          <w:p>
            <w:pPr>
              <w:pStyle w:val="Compact"/>
            </w:pPr>
            <w:r>
              <w:t xml:space="preserve">Class A device-bound recommended; Class C operator-custodied legacy/weaker; execution-side enforcement is the strongest deployment class.</w:t>
            </w:r>
          </w:p>
        </w:tc>
      </w:tr>
      <w:tr>
        <w:tc>
          <w:tcPr/>
          <w:p>
            <w:pPr>
              <w:pStyle w:val="Compact"/>
            </w:pPr>
            <w:r>
              <w:t xml:space="preserve">Residual risk</w:t>
            </w:r>
          </w:p>
        </w:tc>
        <w:tc>
          <w:tcPr/>
          <w:p>
            <w:pPr>
              <w:pStyle w:val="Compact"/>
            </w:pPr>
            <w:r>
              <w:t xml:space="preserve">WYSIWYS / display integrity and natural-person identity are explicitly out of scope.</w:t>
            </w:r>
          </w:p>
        </w:tc>
        <w:tc>
          <w:tcPr/>
          <w:p>
            <w:pPr>
              <w:pStyle w:val="Compact"/>
            </w:pPr>
            <w:r>
              <w:t xml:space="preserve">Presentation attack / WYSIWYS and key-revocation timing are stated residual risks, not claimed solved.</w:t>
            </w:r>
          </w:p>
        </w:tc>
      </w:tr>
    </w:tbl>
    <w:p>
      <w:pPr>
        <w:pStyle w:val="BodyText"/>
      </w:pPr>
      <w:r>
        <w:t xml:space="preserve">The profiles differ mainly by assurance tier and enforcement/deployment choices. The verifier decision matrix is the same: a signed action-bound proof is either accepted before approval-bearing state changes, or rejected with no approval-bearing state mutation.</w:t>
      </w:r>
    </w:p>
    <w:bookmarkEnd w:id="19"/>
    <w:bookmarkStart w:id="24" w:name="X43d0871426feed9a7b904b44b848e25fdabce98"/>
    <w:p>
      <w:pPr>
        <w:pStyle w:val="Heading2"/>
      </w:pPr>
      <w:r>
        <w:t xml:space="preserve">6. Independent Efforts Under a Common Template</w:t>
      </w:r>
    </w:p>
    <w:p>
      <w:pPr>
        <w:pStyle w:val="FirstParagraph"/>
      </w:pPr>
      <w:r>
        <w:t xml:space="preserve">Each entry should use the same template: scope, specification status, implementation status, conformance evidence, and deployment state. Where an item cannot be verified, it should be marked as such instead of padded.</w:t>
      </w:r>
    </w:p>
    <w:bookmarkStart w:id="20" w:name="draft-yossif-psea"/>
    <w:p>
      <w:pPr>
        <w:pStyle w:val="Heading3"/>
      </w:pPr>
      <w:r>
        <w:t xml:space="preserve">6.1 draft-yossif-psea</w:t>
      </w:r>
    </w:p>
    <w:p>
      <w:pPr>
        <w:pStyle w:val="Compact"/>
        <w:numPr>
          <w:ilvl w:val="0"/>
          <w:numId w:val="1005"/>
        </w:numPr>
      </w:pPr>
      <w:r>
        <w:t xml:space="preserve">Scope: EAT token profile for proof of human authorization for specific high-risk actions.</w:t>
      </w:r>
    </w:p>
    <w:p>
      <w:pPr>
        <w:pStyle w:val="Compact"/>
        <w:numPr>
          <w:ilvl w:val="0"/>
          <w:numId w:val="1005"/>
        </w:numPr>
      </w:pPr>
      <w:r>
        <w:t xml:space="preserve">Assurance tier: dedicated hardware-attested authenticators; standard FIDO2/WebAuthn authenticators do not conform by design.</w:t>
      </w:r>
    </w:p>
    <w:p>
      <w:pPr>
        <w:pStyle w:val="Compact"/>
        <w:numPr>
          <w:ilvl w:val="0"/>
          <w:numId w:val="1005"/>
        </w:numPr>
      </w:pPr>
      <w:r>
        <w:t xml:space="preserve">Implementation status: complete reference implementation across two major mobile platforms plus deployed backend verifier, as reported by M. Khalil-Yossif.</w:t>
      </w:r>
      <w:r>
        <w:t xml:space="preserve"> </w:t>
      </w:r>
      <w:r>
        <w:rPr>
          <w:rStyle w:val="VerbatimChar"/>
        </w:rPr>
        <w:t xml:space="preserve">[to verify source/citation before chair note]</w:t>
      </w:r>
    </w:p>
    <w:p>
      <w:pPr>
        <w:pStyle w:val="Compact"/>
        <w:numPr>
          <w:ilvl w:val="0"/>
          <w:numId w:val="1005"/>
        </w:numPr>
      </w:pPr>
      <w:r>
        <w:t xml:space="preserve">Conformance evidence: canonical vectors in Appendix A of -02; negative-case set exists using the failure grouping above.</w:t>
      </w:r>
      <w:r>
        <w:t xml:space="preserve"> </w:t>
      </w:r>
      <w:r>
        <w:rPr>
          <w:rStyle w:val="VerbatimChar"/>
        </w:rPr>
        <w:t xml:space="preserve">[to verify pointer]</w:t>
      </w:r>
    </w:p>
    <w:p>
      <w:pPr>
        <w:pStyle w:val="Compact"/>
        <w:numPr>
          <w:ilvl w:val="0"/>
          <w:numId w:val="1005"/>
        </w:numPr>
      </w:pPr>
      <w:r>
        <w:t xml:space="preserve">Deployment state: production backend verifier reported by M. Khalil-Yossif.</w:t>
      </w:r>
      <w:r>
        <w:t xml:space="preserve"> </w:t>
      </w:r>
      <w:r>
        <w:rPr>
          <w:rStyle w:val="VerbatimChar"/>
        </w:rPr>
        <w:t xml:space="preserve">[to verify exact wording]</w:t>
      </w:r>
    </w:p>
    <w:bookmarkEnd w:id="20"/>
    <w:bookmarkStart w:id="21" w:name="draft-schrock-ep-authorization-receipts"/>
    <w:p>
      <w:pPr>
        <w:pStyle w:val="Heading3"/>
      </w:pPr>
      <w:r>
        <w:t xml:space="preserve">6.2 draft-schrock-ep-authorization-receipts</w:t>
      </w:r>
    </w:p>
    <w:p>
      <w:pPr>
        <w:pStyle w:val="Compact"/>
        <w:numPr>
          <w:ilvl w:val="0"/>
          <w:numId w:val="1006"/>
        </w:numPr>
      </w:pPr>
      <w:r>
        <w:t xml:space="preserve">Scope: authorization receipts and Class-A signoff using commodity WebAuthn/passkey authenticators, plus enrollment and separation-of-duties handling.</w:t>
      </w:r>
    </w:p>
    <w:p>
      <w:pPr>
        <w:pStyle w:val="Compact"/>
        <w:numPr>
          <w:ilvl w:val="0"/>
          <w:numId w:val="1006"/>
        </w:numPr>
      </w:pPr>
      <w:r>
        <w:t xml:space="preserve">Assurance tier: broad-deployment commodity authenticator path, distinct from PSEA’s dedicated-hardware tier.</w:t>
      </w:r>
    </w:p>
    <w:p>
      <w:pPr>
        <w:pStyle w:val="Compact"/>
        <w:numPr>
          <w:ilvl w:val="0"/>
          <w:numId w:val="1006"/>
        </w:numPr>
      </w:pPr>
      <w:r>
        <w:t xml:space="preserve">Implementation status: public reference verifiers and conformance material in the EMILIA Protocol repository.</w:t>
      </w:r>
    </w:p>
    <w:p>
      <w:pPr>
        <w:pStyle w:val="Compact"/>
        <w:numPr>
          <w:ilvl w:val="0"/>
          <w:numId w:val="1006"/>
        </w:numPr>
      </w:pPr>
      <w:r>
        <w:t xml:space="preserve">Conformance evidence: EP-RECEIPT-v1 vectors are run through JavaScript, Python, and Go verifiers; EP-SIGNOFF-v1 Class-A negative vectors are currently run through Node and Web Crypto verifiers. This distinction should remain explicit.</w:t>
      </w:r>
    </w:p>
    <w:p>
      <w:pPr>
        <w:pStyle w:val="Compact"/>
        <w:numPr>
          <w:ilvl w:val="0"/>
          <w:numId w:val="1006"/>
        </w:numPr>
      </w:pPr>
      <w:r>
        <w:t xml:space="preserve">Deployment state:</w:t>
      </w:r>
      <w:r>
        <w:t xml:space="preserve"> </w:t>
      </w:r>
      <w:r>
        <w:rPr>
          <w:rStyle w:val="VerbatimChar"/>
        </w:rPr>
        <w:t xml:space="preserve">[to verify exact production/deployment wording with I. Schrock before chair note]</w:t>
      </w:r>
    </w:p>
    <w:bookmarkEnd w:id="21"/>
    <w:bookmarkStart w:id="22" w:name="draft-nelson-agent-delegation-receipts"/>
    <w:p>
      <w:pPr>
        <w:pStyle w:val="Heading3"/>
      </w:pPr>
      <w:r>
        <w:t xml:space="preserve">6.3 draft-nelson-agent-delegation-receipts</w:t>
      </w:r>
    </w:p>
    <w:p>
      <w:pPr>
        <w:pStyle w:val="Compact"/>
        <w:numPr>
          <w:ilvl w:val="0"/>
          <w:numId w:val="1007"/>
        </w:numPr>
      </w:pPr>
      <w:r>
        <w:t xml:space="preserve">Scope: user-signed delegation receipts, adjacent to per-action approval.</w:t>
      </w:r>
    </w:p>
    <w:p>
      <w:pPr>
        <w:pStyle w:val="Compact"/>
        <w:numPr>
          <w:ilvl w:val="0"/>
          <w:numId w:val="1007"/>
        </w:numPr>
      </w:pPr>
      <w:r>
        <w:t xml:space="preserve">Relationship to core: delegation of authority rather than per-action approval; should be compared on whether its verifier semantics share action/audience binding, replay handling, and residual-risk boundaries.</w:t>
      </w:r>
    </w:p>
    <w:p>
      <w:pPr>
        <w:pStyle w:val="Compact"/>
        <w:numPr>
          <w:ilvl w:val="0"/>
          <w:numId w:val="1007"/>
        </w:numPr>
      </w:pPr>
      <w:r>
        <w:t xml:space="preserve">Implementation status:</w:t>
      </w:r>
      <w:r>
        <w:t xml:space="preserve"> </w:t>
      </w:r>
      <w:r>
        <w:rPr>
          <w:rStyle w:val="VerbatimChar"/>
        </w:rPr>
        <w:t xml:space="preserve">[to verify]</w:t>
      </w:r>
    </w:p>
    <w:p>
      <w:pPr>
        <w:pStyle w:val="Compact"/>
        <w:numPr>
          <w:ilvl w:val="0"/>
          <w:numId w:val="1007"/>
        </w:numPr>
      </w:pPr>
      <w:r>
        <w:t xml:space="preserve">Conformance evidence:</w:t>
      </w:r>
      <w:r>
        <w:t xml:space="preserve"> </w:t>
      </w:r>
      <w:r>
        <w:rPr>
          <w:rStyle w:val="VerbatimChar"/>
        </w:rPr>
        <w:t xml:space="preserve">[to verify]</w:t>
      </w:r>
    </w:p>
    <w:p>
      <w:pPr>
        <w:pStyle w:val="Compact"/>
        <w:numPr>
          <w:ilvl w:val="0"/>
          <w:numId w:val="1007"/>
        </w:numPr>
      </w:pPr>
      <w:r>
        <w:t xml:space="preserve">Deployment state:</w:t>
      </w:r>
      <w:r>
        <w:t xml:space="preserve"> </w:t>
      </w:r>
      <w:r>
        <w:rPr>
          <w:rStyle w:val="VerbatimChar"/>
        </w:rPr>
        <w:t xml:space="preserve">[to verify]</w:t>
      </w:r>
    </w:p>
    <w:bookmarkEnd w:id="22"/>
    <w:bookmarkStart w:id="23" w:name="scopeblind"/>
    <w:p>
      <w:pPr>
        <w:pStyle w:val="Heading3"/>
      </w:pPr>
      <w:r>
        <w:t xml:space="preserve">6.4 ScopeBlind</w:t>
      </w:r>
    </w:p>
    <w:p>
      <w:pPr>
        <w:pStyle w:val="Compact"/>
        <w:numPr>
          <w:ilvl w:val="0"/>
          <w:numId w:val="1008"/>
        </w:numPr>
      </w:pPr>
      <w:r>
        <w:t xml:space="preserve">Scope: agent-action receipt format plus policy layer, including Cedar-based policy and public conformance vectors.</w:t>
      </w:r>
    </w:p>
    <w:p>
      <w:pPr>
        <w:pStyle w:val="Compact"/>
        <w:numPr>
          <w:ilvl w:val="0"/>
          <w:numId w:val="1008"/>
        </w:numPr>
      </w:pPr>
      <w:r>
        <w:t xml:space="preserve">Relationship to core: pragmatic receipt / policy tooling adjacent to the authorization-evidence core.</w:t>
      </w:r>
    </w:p>
    <w:p>
      <w:pPr>
        <w:pStyle w:val="Compact"/>
        <w:numPr>
          <w:ilvl w:val="0"/>
          <w:numId w:val="1008"/>
        </w:numPr>
      </w:pPr>
      <w:r>
        <w:t xml:space="preserve">Implementation status:</w:t>
      </w:r>
      <w:r>
        <w:t xml:space="preserve"> </w:t>
      </w:r>
      <w:r>
        <w:rPr>
          <w:rStyle w:val="VerbatimChar"/>
        </w:rPr>
        <w:t xml:space="preserve">[to verify]</w:t>
      </w:r>
    </w:p>
    <w:p>
      <w:pPr>
        <w:pStyle w:val="Compact"/>
        <w:numPr>
          <w:ilvl w:val="0"/>
          <w:numId w:val="1008"/>
        </w:numPr>
      </w:pPr>
      <w:r>
        <w:t xml:space="preserve">Conformance evidence: public conformance test vectors reported in the skeleton.</w:t>
      </w:r>
      <w:r>
        <w:t xml:space="preserve"> </w:t>
      </w:r>
      <w:r>
        <w:rPr>
          <w:rStyle w:val="VerbatimChar"/>
        </w:rPr>
        <w:t xml:space="preserve">[to verify repository pointer]</w:t>
      </w:r>
    </w:p>
    <w:p>
      <w:pPr>
        <w:pStyle w:val="Compact"/>
        <w:numPr>
          <w:ilvl w:val="0"/>
          <w:numId w:val="1008"/>
        </w:numPr>
      </w:pPr>
      <w:r>
        <w:t xml:space="preserve">Deployment state:</w:t>
      </w:r>
      <w:r>
        <w:t xml:space="preserve"> </w:t>
      </w:r>
      <w:r>
        <w:rPr>
          <w:rStyle w:val="VerbatimChar"/>
        </w:rPr>
        <w:t xml:space="preserve">[to verify]</w:t>
      </w:r>
    </w:p>
    <w:p>
      <w:pPr>
        <w:pStyle w:val="Compact"/>
        <w:numPr>
          <w:ilvl w:val="0"/>
          <w:numId w:val="1008"/>
        </w:numPr>
      </w:pPr>
      <w:r>
        <w:t xml:space="preserve">Microsoft curriculum reference: treat only as a clause under this entry if retained, for example:</w:t>
      </w:r>
      <w:r>
        <w:t xml:space="preserve"> </w:t>
      </w:r>
      <w:r>
        <w:t xml:space="preserve">“The receipt format also appears as a community-contributed lesson in Microsoft’s ai-agents-for-beginners curriculum.”</w:t>
      </w:r>
      <w:r>
        <w:t xml:space="preserve"> </w:t>
      </w:r>
      <w:r>
        <w:t xml:space="preserve">Do not list Microsoft as an independent effort or endorsement unless separately confirmed.</w:t>
      </w:r>
    </w:p>
    <w:bookmarkEnd w:id="23"/>
    <w:bookmarkEnd w:id="24"/>
    <w:bookmarkStart w:id="25" w:name="what-differs-and-why-it-is-complementary"/>
    <w:p>
      <w:pPr>
        <w:pStyle w:val="Heading2"/>
      </w:pPr>
      <w:r>
        <w:t xml:space="preserve">7. What Differs, and Why It Is Complementary</w:t>
      </w:r>
    </w:p>
    <w:p>
      <w:pPr>
        <w:pStyle w:val="FirstParagraph"/>
      </w:pPr>
      <w:r>
        <w:t xml:space="preserve">The efforts differ along predictable axes:</w:t>
      </w:r>
    </w:p>
    <w:p>
      <w:pPr>
        <w:pStyle w:val="Compact"/>
        <w:numPr>
          <w:ilvl w:val="0"/>
          <w:numId w:val="1009"/>
        </w:numPr>
      </w:pPr>
      <w:r>
        <w:t xml:space="preserve">assurance tier: dedicated hardware attestation, commodity authenticator, delegation receipt, or policy tooling;</w:t>
      </w:r>
    </w:p>
    <w:p>
      <w:pPr>
        <w:pStyle w:val="Compact"/>
        <w:numPr>
          <w:ilvl w:val="0"/>
          <w:numId w:val="1009"/>
        </w:numPr>
      </w:pPr>
      <w:r>
        <w:t xml:space="preserve">enforcement point: offline receipt verification, online consume/ledger, server ACK, execution-side gate, or delegated authority;</w:t>
      </w:r>
    </w:p>
    <w:p>
      <w:pPr>
        <w:pStyle w:val="Compact"/>
        <w:numPr>
          <w:ilvl w:val="0"/>
          <w:numId w:val="1009"/>
        </w:numPr>
      </w:pPr>
      <w:r>
        <w:t xml:space="preserve">lifecycle model: enrollment, approver directory, attestation chain, revocation, and separation of duties;</w:t>
      </w:r>
    </w:p>
    <w:p>
      <w:pPr>
        <w:pStyle w:val="Compact"/>
        <w:numPr>
          <w:ilvl w:val="0"/>
          <w:numId w:val="1009"/>
        </w:numPr>
      </w:pPr>
      <w:r>
        <w:t xml:space="preserve">profile envelope: EAT, WebAuthn/passkey assertion, receipt, or delegation artifact.</w:t>
      </w:r>
    </w:p>
    <w:p>
      <w:pPr>
        <w:pStyle w:val="FirstParagraph"/>
      </w:pPr>
      <w:r>
        <w:t xml:space="preserve">These differences support coordinated work rather than precluding it. A shared authorization-evidence / fail-closed-verifier core can define the verifier invariants and comparison taxonomy while individual profiles define envelope and assurance-tier details.</w:t>
      </w:r>
    </w:p>
    <w:bookmarkEnd w:id="25"/>
    <w:bookmarkStart w:id="26" w:name="what-is-out-of-scope-for-the-shared-core"/>
    <w:p>
      <w:pPr>
        <w:pStyle w:val="Heading2"/>
      </w:pPr>
      <w:r>
        <w:t xml:space="preserve">8. What Is Out of Scope for the Shared Core</w:t>
      </w:r>
    </w:p>
    <w:p>
      <w:pPr>
        <w:pStyle w:val="FirstParagraph"/>
      </w:pPr>
      <w:r>
        <w:t xml:space="preserve">The shared core should not claim to solve:</w:t>
      </w:r>
    </w:p>
    <w:p>
      <w:pPr>
        <w:pStyle w:val="Compact"/>
        <w:numPr>
          <w:ilvl w:val="0"/>
          <w:numId w:val="1010"/>
        </w:numPr>
      </w:pPr>
      <w:r>
        <w:t xml:space="preserve">display integrity or WYSIWYS;</w:t>
      </w:r>
    </w:p>
    <w:p>
      <w:pPr>
        <w:pStyle w:val="Compact"/>
        <w:numPr>
          <w:ilvl w:val="0"/>
          <w:numId w:val="1010"/>
        </w:numPr>
      </w:pPr>
      <w:r>
        <w:t xml:space="preserve">proof of a specific natural-person identity;</w:t>
      </w:r>
    </w:p>
    <w:p>
      <w:pPr>
        <w:pStyle w:val="Compact"/>
        <w:numPr>
          <w:ilvl w:val="0"/>
          <w:numId w:val="1010"/>
        </w:numPr>
      </w:pPr>
      <w:r>
        <w:t xml:space="preserve">the OAuth step-up policy decision;</w:t>
      </w:r>
    </w:p>
    <w:p>
      <w:pPr>
        <w:pStyle w:val="Compact"/>
        <w:numPr>
          <w:ilvl w:val="0"/>
          <w:numId w:val="1010"/>
        </w:numPr>
      </w:pPr>
      <w:r>
        <w:t xml:space="preserve">general authorization-policy semantics;</w:t>
      </w:r>
    </w:p>
    <w:p>
      <w:pPr>
        <w:pStyle w:val="Compact"/>
        <w:numPr>
          <w:ilvl w:val="0"/>
          <w:numId w:val="1010"/>
        </w:numPr>
      </w:pPr>
      <w:r>
        <w:t xml:space="preserve">all revocation-timing consequences of offline verification.</w:t>
      </w:r>
    </w:p>
    <w:p>
      <w:pPr>
        <w:pStyle w:val="FirstParagraph"/>
      </w:pPr>
      <w:r>
        <w:t xml:space="preserve">Profiles may layer mitigations or policy hooks for these, but the survey should keep the common claim narrower.</w:t>
      </w:r>
    </w:p>
    <w:bookmarkEnd w:id="26"/>
    <w:bookmarkStart w:id="27" w:name="dispatch-question"/>
    <w:p>
      <w:pPr>
        <w:pStyle w:val="Heading2"/>
      </w:pPr>
      <w:r>
        <w:t xml:space="preserve">9. Dispatch Question</w:t>
      </w:r>
    </w:p>
    <w:p>
      <w:pPr>
        <w:pStyle w:val="FirstParagraph"/>
      </w:pPr>
      <w:r>
        <w:t xml:space="preserve">Is there enough shared structure for coordinated work on a common authorization-evidence / fail-closed-verifier core, with PSEA, EP, DRP, and ScopeBlind as profiles or adjacent instantiations?</w:t>
      </w:r>
    </w:p>
    <w:p>
      <w:pPr>
        <w:pStyle w:val="BodyText"/>
      </w:pPr>
      <w:r>
        <w:t xml:space="preserve">Candidate outcomes for discussion:</w:t>
      </w:r>
    </w:p>
    <w:p>
      <w:pPr>
        <w:pStyle w:val="Compact"/>
        <w:numPr>
          <w:ilvl w:val="0"/>
          <w:numId w:val="1011"/>
        </w:numPr>
      </w:pPr>
      <w:r>
        <w:t xml:space="preserve">a focused BoF;</w:t>
      </w:r>
    </w:p>
    <w:p>
      <w:pPr>
        <w:pStyle w:val="Compact"/>
        <w:numPr>
          <w:ilvl w:val="0"/>
          <w:numId w:val="1011"/>
        </w:numPr>
      </w:pPr>
      <w:r>
        <w:t xml:space="preserve">existing-WG adoption or coordination, for example OAuth for step-up adjacency and RATS for EAT/evidence adjacency;</w:t>
      </w:r>
    </w:p>
    <w:p>
      <w:pPr>
        <w:pStyle w:val="Compact"/>
        <w:numPr>
          <w:ilvl w:val="0"/>
          <w:numId w:val="1011"/>
        </w:numPr>
      </w:pPr>
      <w:r>
        <w:t xml:space="preserve">continued individual submissions with a shared conformance basis and common verifier taxonomy.</w:t>
      </w:r>
    </w:p>
    <w:p>
      <w:pPr>
        <w:pStyle w:val="FirstParagraph"/>
      </w:pPr>
      <w:r>
        <w:t xml:space="preserve">The authors are not asking for a specific outcome. The narrower claim is that independent convergence suggests the need is real and coordinatable, and that a shared verifier core could reduce gratuitous divergence for implementers.</w:t>
      </w:r>
    </w:p>
    <w:bookmarkEnd w:id="27"/>
    <w:bookmarkStart w:id="28" w:name="acknowledgment"/>
    <w:p>
      <w:pPr>
        <w:pStyle w:val="Heading2"/>
      </w:pPr>
      <w:r>
        <w:t xml:space="preserve">Acknowledgment</w:t>
      </w:r>
    </w:p>
    <w:p>
      <w:pPr>
        <w:pStyle w:val="FirstParagraph"/>
      </w:pPr>
      <w:r>
        <w:t xml:space="preserve">The verifier processing model, failure-class grouping, common-core / profile-specific split, and decision-matrix axes in this note were prompted by Songbo Bu’s review feedback on the SECDISPATCH list and subsequent off-list markup work in June 2026.</w:t>
      </w:r>
    </w:p>
    <w:bookmarkEnd w:id="28"/>
    <w:bookmarkStart w:id="29" w:name="appendix-pointers"/>
    <w:p>
      <w:pPr>
        <w:pStyle w:val="Heading2"/>
      </w:pPr>
      <w:r>
        <w:t xml:space="preserve">Appendix: Pointers</w:t>
      </w:r>
    </w:p>
    <w:p>
      <w:pPr>
        <w:pStyle w:val="Compact"/>
        <w:numPr>
          <w:ilvl w:val="0"/>
          <w:numId w:val="1012"/>
        </w:numPr>
      </w:pPr>
      <w:r>
        <w:t xml:space="preserve">draft-yossif-psea: https://datatracker.ietf.org/doc/draft-yossif-psea/</w:t>
      </w:r>
    </w:p>
    <w:p>
      <w:pPr>
        <w:pStyle w:val="Compact"/>
        <w:numPr>
          <w:ilvl w:val="0"/>
          <w:numId w:val="1012"/>
        </w:numPr>
      </w:pPr>
      <w:r>
        <w:t xml:space="preserve">draft-schrock-ep-authorization-receipts: https://datatracker.ietf.org/doc/draft-schrock-ep-authorization-receipts/</w:t>
      </w:r>
    </w:p>
    <w:p>
      <w:pPr>
        <w:pStyle w:val="Compact"/>
        <w:numPr>
          <w:ilvl w:val="0"/>
          <w:numId w:val="1012"/>
        </w:numPr>
      </w:pPr>
      <w:r>
        <w:t xml:space="preserve">EMILIA conformance vectors and offline verifiers: https://github.com/emiliaprotocol/emilia-protocol</w:t>
      </w:r>
    </w:p>
    <w:p>
      <w:pPr>
        <w:pStyle w:val="Compact"/>
        <w:numPr>
          <w:ilvl w:val="0"/>
          <w:numId w:val="1012"/>
        </w:numPr>
      </w:pPr>
      <w:r>
        <w:t xml:space="preserve">draft-nelson-agent-delegation-receipts:</w:t>
      </w:r>
      <w:r>
        <w:t xml:space="preserve"> </w:t>
      </w:r>
      <w:r>
        <w:rPr>
          <w:rStyle w:val="VerbatimChar"/>
        </w:rPr>
        <w:t xml:space="preserve">[add datatracker pointer]</w:t>
      </w:r>
    </w:p>
    <w:p>
      <w:pPr>
        <w:pStyle w:val="Compact"/>
        <w:numPr>
          <w:ilvl w:val="0"/>
          <w:numId w:val="1012"/>
        </w:numPr>
      </w:pPr>
      <w:r>
        <w:t xml:space="preserve">ScopeBlind conformance test vectors: https://github.com/ScopeBlind/agent-governance-testvectors</w:t>
      </w:r>
      <w:r>
        <w:t xml:space="preserve"> </w:t>
      </w:r>
      <w:r>
        <w:rPr>
          <w:rStyle w:val="VerbatimChar"/>
        </w:rPr>
        <w:t xml:space="preserve">[verify exact repository]</w:t>
      </w:r>
    </w:p>
    <w:bookmarkEnd w:id="29"/>
    <w:bookmarkStart w:id="30" w:name="changes-from-v1.1-to-v1.2"/>
    <w:p>
      <w:pPr>
        <w:pStyle w:val="Heading2"/>
      </w:pPr>
      <w:r>
        <w:t xml:space="preserve">Changes from v1.1 to v1.2</w:t>
      </w:r>
    </w:p>
    <w:p>
      <w:pPr>
        <w:pStyle w:val="Compact"/>
        <w:numPr>
          <w:ilvl w:val="0"/>
          <w:numId w:val="1013"/>
        </w:numPr>
      </w:pPr>
      <w:r>
        <w:t xml:space="preserve">Made the common-core / profile-specific / out-of-scope split explicit.</w:t>
      </w:r>
    </w:p>
    <w:p>
      <w:pPr>
        <w:pStyle w:val="Compact"/>
        <w:numPr>
          <w:ilvl w:val="0"/>
          <w:numId w:val="1013"/>
        </w:numPr>
      </w:pPr>
      <w:r>
        <w:t xml:space="preserve">Promoted offline assertion verification versus server-state evaluation to a matrix row and conformance boundary.</w:t>
      </w:r>
    </w:p>
    <w:p>
      <w:pPr>
        <w:pStyle w:val="Compact"/>
        <w:numPr>
          <w:ilvl w:val="0"/>
          <w:numId w:val="1013"/>
        </w:numPr>
      </w:pPr>
      <w:r>
        <w:t xml:space="preserve">Integrated Mohamad’s PSEA nine-axis text into the decision matrix.</w:t>
      </w:r>
    </w:p>
    <w:p>
      <w:pPr>
        <w:pStyle w:val="Compact"/>
        <w:numPr>
          <w:ilvl w:val="0"/>
          <w:numId w:val="1013"/>
        </w:numPr>
      </w:pPr>
      <w:r>
        <w:t xml:space="preserve">Kept EP and PSEA at comparable depth and moved longer implementation/deployment claims into a common template.</w:t>
      </w:r>
    </w:p>
    <w:p>
      <w:pPr>
        <w:pStyle w:val="Compact"/>
        <w:numPr>
          <w:ilvl w:val="0"/>
          <w:numId w:val="1013"/>
        </w:numPr>
      </w:pPr>
      <w:r>
        <w:t xml:space="preserve">Folded the Microsoft curriculum item into the ScopeBlind entry as an optional clause rather than a standalone signal.</w:t>
      </w:r>
    </w:p>
    <w:p>
      <w:pPr>
        <w:pStyle w:val="Compact"/>
        <w:numPr>
          <w:ilvl w:val="0"/>
          <w:numId w:val="1013"/>
        </w:numPr>
      </w:pPr>
      <w:r>
        <w:t xml:space="preserve">Added explicit</w:t>
      </w:r>
      <w:r>
        <w:t xml:space="preserve"> </w:t>
      </w:r>
      <w:r>
        <w:rPr>
          <w:rStyle w:val="VerbatimChar"/>
        </w:rPr>
        <w:t xml:space="preserve">[to verify]</w:t>
      </w:r>
      <w:r>
        <w:t xml:space="preserve"> </w:t>
      </w:r>
      <w:r>
        <w:t xml:space="preserve">markers where implementation status, deployment state, or pointers need author/source confirmation before sending to chairs.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2026-06-11T08:21:50Z</dcterms:created>
  <dcterms:modified xsi:type="dcterms:W3CDTF">2026-06-11T08:21:50Z</dcterms:modified>
</cp:coreProperties>
</file>

<file path=docProps/custom.xml><?xml version="1.0" encoding="utf-8"?>
<Properties xmlns="http://schemas.openxmlformats.org/officeDocument/2006/custom-properties" xmlns:vt="http://schemas.openxmlformats.org/officeDocument/2006/docPropsVTypes"/>
</file>