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Authorization Evidence for High-Risk Actions</w:t>
      </w:r>
    </w:p>
    <w:p>
      <w:pPr>
        <w:spacing w:after="120"/>
      </w:pPr>
      <w:r>
        <w:rPr>
          <w:rFonts w:ascii="Arial" w:cs="Arial" w:eastAsia="Arial" w:hAnsi="Arial"/>
          <w:i/>
          <w:iCs/>
          <w:sz w:val="22"/>
          <w:szCs w:val="22"/>
        </w:rPr>
        <w:t xml:space="preserve">A survey of independent efforts — joint note for the SECDISPATCH chairs</w:t>
      </w:r>
    </w:p>
    <w:p>
      <w:pPr>
        <w:spacing w:after="120"/>
      </w:pPr>
      <w:r>
        <w:rPr>
          <w:rFonts w:ascii="Arial" w:cs="Arial" w:eastAsia="Arial" w:hAnsi="Arial"/>
          <w:sz w:val="22"/>
          <w:szCs w:val="22"/>
        </w:rPr>
        <w:t xml:space="preserve">Status: strawman v1.4 — single merged base. Folds I. Schrock's v1.2 merge (normative-layer reading convention, EP normative-vs-deployment symmetry, narrowed dispatch question) into the v1.3 edit by M. Khalil-Yossif (widened title, corrected PSEA column, authors block, changelog). This is the base for S. Bu's final consistency-only redline before freeze.</w:t>
      </w:r>
    </w:p>
    <w:p>
      <w:pPr>
        <w:pStyle w:val="Heading1"/>
      </w:pPr>
      <w:r>
        <w:t xml:space="preserve">Authors</w:t>
      </w:r>
    </w:p>
    <w:p>
      <w:pPr>
        <w:pStyle w:val="ListParagraph"/>
        <w:numPr>
          <w:ilvl w:val="0"/>
          <w:numId w:val="2"/>
        </w:numPr>
        <w:spacing w:after="80"/>
      </w:pPr>
      <w:r>
        <w:rPr>
          <w:rFonts w:ascii="Arial" w:cs="Arial" w:eastAsia="Arial" w:hAnsi="Arial"/>
          <w:sz w:val="22"/>
          <w:szCs w:val="22"/>
        </w:rPr>
        <w:t xml:space="preserve">Mohamad Khalil-Yossif — Yuthent (draft-yossif-psea)</w:t>
      </w:r>
    </w:p>
    <w:p>
      <w:pPr>
        <w:pStyle w:val="ListParagraph"/>
        <w:numPr>
          <w:ilvl w:val="0"/>
          <w:numId w:val="2"/>
        </w:numPr>
        <w:spacing w:after="80"/>
      </w:pPr>
      <w:r>
        <w:rPr>
          <w:rFonts w:ascii="Arial" w:cs="Arial" w:eastAsia="Arial" w:hAnsi="Arial"/>
          <w:sz w:val="22"/>
          <w:szCs w:val="22"/>
        </w:rPr>
        <w:t xml:space="preserve">Iman Schrock — EMILIA Protocol, Inc. (draft-schrock-ep-authorization-receipts)</w:t>
      </w:r>
    </w:p>
    <w:p>
      <w:pPr>
        <w:pStyle w:val="ListParagraph"/>
        <w:numPr>
          <w:ilvl w:val="0"/>
          <w:numId w:val="2"/>
        </w:numPr>
        <w:spacing w:after="80"/>
      </w:pPr>
      <w:r>
        <w:rPr>
          <w:rFonts w:ascii="Arial" w:cs="Arial" w:eastAsia="Arial" w:hAnsi="Arial"/>
          <w:sz w:val="22"/>
          <w:szCs w:val="22"/>
        </w:rPr>
        <w:t xml:space="preserve">Songbo Bu — Shanghai Guan An Information Technology Co., Ltd.</w:t>
      </w:r>
    </w:p>
    <w:p>
      <w:pPr>
        <w:spacing w:after="120"/>
      </w:pPr>
      <w:r>
        <w:rPr>
          <w:rFonts w:ascii="Arial" w:cs="Arial" w:eastAsia="Arial" w:hAnsi="Arial"/>
          <w:sz w:val="22"/>
          <w:szCs w:val="22"/>
        </w:rPr>
        <w:t xml:space="preserve">Acknowledgment: developed on the SECDISPATCH list, June 2026. The verifier processing model, failure-class grouping, normative-layer reading convention, and decision-matrix axes originate in S. Bu's review work; the PSEA column and the normative-vs-deployment corrections were supplied by M. Khalil-Yossif; the survey initiative, EP column, and merge editing by I. Schrock.</w:t>
      </w:r>
    </w:p>
    <w:p>
      <w:pPr>
        <w:pStyle w:val="Heading1"/>
      </w:pPr>
      <w:r>
        <w:t xml:space="preserve">1. Problem</w:t>
      </w:r>
    </w:p>
    <w:p>
      <w:pPr>
        <w:spacing w:after="120"/>
      </w:pPr>
      <w:r>
        <w:rPr>
          <w:rFonts w:ascii="Arial" w:cs="Arial" w:eastAsia="Arial" w:hAnsi="Arial"/>
          <w:sz w:val="22"/>
          <w:szCs w:val="22"/>
        </w:rPr>
        <w:t xml:space="preserve">High-risk, irreversible actions — moving money, changing records, dispensing controlled goods, acting externally — are increasingly initiated both by humans operating within authenticated sessions and by AI agents acting on their behalf. Session authentication answers “who logged in,” not “did an accountable human approve this action, now.” Multiple groups independently built cryptographic evidence that binds a human's user-verification-gated approval to a specific action payload, verifiable after the fact without trusting the operator. The convergence is on the verifier-side problem, not on identical wire formats — and the convergence is the signal.</w:t>
      </w:r>
    </w:p>
    <w:p>
      <w:pPr>
        <w:pStyle w:val="Heading1"/>
      </w:pPr>
      <w:r>
        <w:t xml:space="preserve">2. Shared Construction</w:t>
      </w:r>
    </w:p>
    <w:p>
      <w:pPr>
        <w:spacing w:after="120"/>
      </w:pPr>
      <w:r>
        <w:rPr>
          <w:rFonts w:ascii="Arial" w:cs="Arial" w:eastAsia="Arial" w:hAnsi="Arial"/>
          <w:sz w:val="22"/>
          <w:szCs w:val="22"/>
        </w:rPr>
        <w:t xml:space="preserve">The efforts differ in assurance tier, token format, and deployment model, but they converge on the same basic construction:</w:t>
      </w:r>
    </w:p>
    <w:p>
      <w:pPr>
        <w:pStyle w:val="ListParagraph"/>
        <w:numPr>
          <w:ilvl w:val="0"/>
          <w:numId w:val="2"/>
        </w:numPr>
        <w:spacing w:after="80"/>
      </w:pPr>
      <w:r>
        <w:rPr>
          <w:rFonts w:ascii="Arial" w:cs="Arial" w:eastAsia="Arial" w:hAnsi="Arial"/>
          <w:sz w:val="22"/>
          <w:szCs w:val="22"/>
        </w:rPr>
        <w:t xml:space="preserve">canonical serialization of an explicit action / authorization context;</w:t>
      </w:r>
    </w:p>
    <w:p>
      <w:pPr>
        <w:pStyle w:val="ListParagraph"/>
        <w:numPr>
          <w:ilvl w:val="0"/>
          <w:numId w:val="2"/>
        </w:numPr>
        <w:spacing w:after="80"/>
      </w:pPr>
      <w:r>
        <w:rPr>
          <w:rFonts w:ascii="Arial" w:cs="Arial" w:eastAsia="Arial" w:hAnsi="Arial"/>
          <w:sz w:val="22"/>
          <w:szCs w:val="22"/>
        </w:rPr>
        <w:t xml:space="preserve">a signature or assertion gated on user verification;</w:t>
      </w:r>
    </w:p>
    <w:p>
      <w:pPr>
        <w:pStyle w:val="ListParagraph"/>
        <w:numPr>
          <w:ilvl w:val="0"/>
          <w:numId w:val="2"/>
        </w:numPr>
        <w:spacing w:after="80"/>
      </w:pPr>
      <w:r>
        <w:rPr>
          <w:rFonts w:ascii="Arial" w:cs="Arial" w:eastAsia="Arial" w:hAnsi="Arial"/>
          <w:sz w:val="22"/>
          <w:szCs w:val="22"/>
        </w:rPr>
        <w:t xml:space="preserve">a signed challenge or claim set that binds the hash of the exact action;</w:t>
      </w:r>
    </w:p>
    <w:p>
      <w:pPr>
        <w:pStyle w:val="ListParagraph"/>
        <w:numPr>
          <w:ilvl w:val="0"/>
          <w:numId w:val="2"/>
        </w:numPr>
        <w:spacing w:after="80"/>
      </w:pPr>
      <w:r>
        <w:rPr>
          <w:rFonts w:ascii="Arial" w:cs="Arial" w:eastAsia="Arial" w:hAnsi="Arial"/>
          <w:sz w:val="22"/>
          <w:szCs w:val="22"/>
        </w:rPr>
        <w:t xml:space="preserve">verifier rules that fail closed on action mismatch, cross-context reuse, replay, or missing user verification;</w:t>
      </w:r>
    </w:p>
    <w:p>
      <w:pPr>
        <w:pStyle w:val="ListParagraph"/>
        <w:numPr>
          <w:ilvl w:val="0"/>
          <w:numId w:val="2"/>
        </w:numPr>
        <w:spacing w:after="80"/>
      </w:pPr>
      <w:r>
        <w:rPr>
          <w:rFonts w:ascii="Arial" w:cs="Arial" w:eastAsia="Arial" w:hAnsi="Arial"/>
          <w:sz w:val="22"/>
          <w:szCs w:val="22"/>
        </w:rPr>
        <w:t xml:space="preserve">independently verifiable evidence that removes the operator from the signing trust path.</w:t>
      </w:r>
    </w:p>
    <w:p>
      <w:pPr>
        <w:pStyle w:val="Heading1"/>
      </w:pPr>
      <w:r>
        <w:t xml:space="preserve">3. Boundary That Should Be Explicit</w:t>
      </w:r>
    </w:p>
    <w:p>
      <w:pPr>
        <w:spacing w:after="120"/>
      </w:pPr>
      <w:r>
        <w:rPr>
          <w:rFonts w:ascii="Arial" w:cs="Arial" w:eastAsia="Arial" w:hAnsi="Arial"/>
          <w:sz w:val="22"/>
          <w:szCs w:val="22"/>
        </w:rPr>
        <w:t xml:space="preserve">The survey separates the shared core from profile-specific choices and residual risks. This lets chairs see the common work item without treating PSEA, EP, DRP, and ScopeBlind as the same protocol.</w:t>
      </w:r>
    </w:p>
    <w:p>
      <w:pPr>
        <w:pStyle w:val="Heading2"/>
      </w:pPr>
      <w:r>
        <w:t xml:space="preserve">3.1 Common Core</w:t>
      </w:r>
    </w:p>
    <w:p>
      <w:pPr>
        <w:spacing w:after="120"/>
      </w:pPr>
      <w:r>
        <w:rPr>
          <w:rFonts w:ascii="Arial" w:cs="Arial" w:eastAsia="Arial" w:hAnsi="Arial"/>
          <w:sz w:val="22"/>
          <w:szCs w:val="22"/>
        </w:rPr>
        <w:t xml:space="preserve">The common core is an authorization-evidence and verifier-fail-closed core:</w:t>
      </w:r>
    </w:p>
    <w:p>
      <w:pPr>
        <w:pStyle w:val="ListParagraph"/>
        <w:numPr>
          <w:ilvl w:val="0"/>
          <w:numId w:val="2"/>
        </w:numPr>
        <w:spacing w:after="80"/>
      </w:pPr>
      <w:r>
        <w:rPr>
          <w:rFonts w:ascii="Arial" w:cs="Arial" w:eastAsia="Arial" w:hAnsi="Arial"/>
          <w:sz w:val="22"/>
          <w:szCs w:val="22"/>
        </w:rPr>
        <w:t xml:space="preserve">action-context canonicalization and exact action-hash binding;</w:t>
      </w:r>
    </w:p>
    <w:p>
      <w:pPr>
        <w:pStyle w:val="ListParagraph"/>
        <w:numPr>
          <w:ilvl w:val="0"/>
          <w:numId w:val="2"/>
        </w:numPr>
        <w:spacing w:after="80"/>
      </w:pPr>
      <w:r>
        <w:rPr>
          <w:rFonts w:ascii="Arial" w:cs="Arial" w:eastAsia="Arial" w:hAnsi="Arial"/>
          <w:sz w:val="22"/>
          <w:szCs w:val="22"/>
        </w:rPr>
        <w:t xml:space="preserve">a UV-gated signature or assertion over the authorization context;</w:t>
      </w:r>
    </w:p>
    <w:p>
      <w:pPr>
        <w:pStyle w:val="ListParagraph"/>
        <w:numPr>
          <w:ilvl w:val="0"/>
          <w:numId w:val="2"/>
        </w:numPr>
        <w:spacing w:after="80"/>
      </w:pPr>
      <w:r>
        <w:rPr>
          <w:rFonts w:ascii="Arial" w:cs="Arial" w:eastAsia="Arial" w:hAnsi="Arial"/>
          <w:sz w:val="22"/>
          <w:szCs w:val="22"/>
        </w:rPr>
        <w:t xml:space="preserve">verifier-side fail-closed checks for structural, cryptographic, action-binding, audience, lifecycle/UV, and replay/state failures;</w:t>
      </w:r>
    </w:p>
    <w:p>
      <w:pPr>
        <w:pStyle w:val="ListParagraph"/>
        <w:numPr>
          <w:ilvl w:val="0"/>
          <w:numId w:val="2"/>
        </w:numPr>
        <w:spacing w:after="80"/>
      </w:pPr>
      <w:r>
        <w:rPr>
          <w:rFonts w:ascii="Arial" w:cs="Arial" w:eastAsia="Arial" w:hAnsi="Arial"/>
          <w:sz w:val="22"/>
          <w:szCs w:val="22"/>
        </w:rPr>
        <w:t xml:space="preserve">a clear offline assertion-verification boundary and a clear verifier-state boundary;</w:t>
      </w:r>
    </w:p>
    <w:p>
      <w:pPr>
        <w:pStyle w:val="ListParagraph"/>
        <w:numPr>
          <w:ilvl w:val="0"/>
          <w:numId w:val="2"/>
        </w:numPr>
        <w:spacing w:after="80"/>
      </w:pPr>
      <w:r>
        <w:rPr>
          <w:rFonts w:ascii="Arial" w:cs="Arial" w:eastAsia="Arial" w:hAnsi="Arial"/>
          <w:sz w:val="22"/>
          <w:szCs w:val="22"/>
        </w:rPr>
        <w:t xml:space="preserve">an independently verifiable proof, receipt, or relying-party result whose success form cannot be produced after a failed decision;</w:t>
      </w:r>
    </w:p>
    <w:p>
      <w:pPr>
        <w:pStyle w:val="ListParagraph"/>
        <w:numPr>
          <w:ilvl w:val="0"/>
          <w:numId w:val="2"/>
        </w:numPr>
        <w:spacing w:after="80"/>
      </w:pPr>
      <w:r>
        <w:rPr>
          <w:rFonts w:ascii="Arial" w:cs="Arial" w:eastAsia="Arial" w:hAnsi="Arial"/>
          <w:sz w:val="22"/>
          <w:szCs w:val="22"/>
        </w:rPr>
        <w:t xml:space="preserve">the invariant that rejection occurs before any approval-bearing state mutation.</w:t>
      </w:r>
    </w:p>
    <w:p>
      <w:pPr>
        <w:pStyle w:val="Heading2"/>
      </w:pPr>
      <w:r>
        <w:t xml:space="preserve">3.2 Profile-Specific Surface</w:t>
      </w:r>
    </w:p>
    <w:p>
      <w:pPr>
        <w:pStyle w:val="ListParagraph"/>
        <w:numPr>
          <w:ilvl w:val="0"/>
          <w:numId w:val="2"/>
        </w:numPr>
        <w:spacing w:after="80"/>
      </w:pPr>
      <w:r>
        <w:rPr>
          <w:rFonts w:ascii="Arial" w:cs="Arial" w:eastAsia="Arial" w:hAnsi="Arial"/>
          <w:sz w:val="22"/>
          <w:szCs w:val="22"/>
        </w:rPr>
        <w:t xml:space="preserve">authenticator assurance tier and attestation model;</w:t>
      </w:r>
    </w:p>
    <w:p>
      <w:pPr>
        <w:pStyle w:val="ListParagraph"/>
        <w:numPr>
          <w:ilvl w:val="0"/>
          <w:numId w:val="2"/>
        </w:numPr>
        <w:spacing w:after="80"/>
      </w:pPr>
      <w:r>
        <w:rPr>
          <w:rFonts w:ascii="Arial" w:cs="Arial" w:eastAsia="Arial" w:hAnsi="Arial"/>
          <w:sz w:val="22"/>
          <w:szCs w:val="22"/>
        </w:rPr>
        <w:t xml:space="preserve">token format, claim names, and proof envelope;</w:t>
      </w:r>
    </w:p>
    <w:p>
      <w:pPr>
        <w:pStyle w:val="ListParagraph"/>
        <w:numPr>
          <w:ilvl w:val="0"/>
          <w:numId w:val="2"/>
        </w:numPr>
        <w:spacing w:after="80"/>
      </w:pPr>
      <w:r>
        <w:rPr>
          <w:rFonts w:ascii="Arial" w:cs="Arial" w:eastAsia="Arial" w:hAnsi="Arial"/>
          <w:sz w:val="22"/>
          <w:szCs w:val="22"/>
        </w:rPr>
        <w:t xml:space="preserve">enrollment lifecycle and approver / subject policy;</w:t>
      </w:r>
    </w:p>
    <w:p>
      <w:pPr>
        <w:pStyle w:val="ListParagraph"/>
        <w:numPr>
          <w:ilvl w:val="0"/>
          <w:numId w:val="2"/>
        </w:numPr>
        <w:spacing w:after="80"/>
      </w:pPr>
      <w:r>
        <w:rPr>
          <w:rFonts w:ascii="Arial" w:cs="Arial" w:eastAsia="Arial" w:hAnsi="Arial"/>
          <w:sz w:val="22"/>
          <w:szCs w:val="22"/>
        </w:rPr>
        <w:t xml:space="preserve">delegation versus per-action approval;</w:t>
      </w:r>
    </w:p>
    <w:p>
      <w:pPr>
        <w:pStyle w:val="ListParagraph"/>
        <w:numPr>
          <w:ilvl w:val="0"/>
          <w:numId w:val="2"/>
        </w:numPr>
        <w:spacing w:after="80"/>
      </w:pPr>
      <w:r>
        <w:rPr>
          <w:rFonts w:ascii="Arial" w:cs="Arial" w:eastAsia="Arial" w:hAnsi="Arial"/>
          <w:sz w:val="22"/>
          <w:szCs w:val="22"/>
        </w:rPr>
        <w:t xml:space="preserve">enforcement mode and deployment class;</w:t>
      </w:r>
    </w:p>
    <w:p>
      <w:pPr>
        <w:pStyle w:val="ListParagraph"/>
        <w:numPr>
          <w:ilvl w:val="0"/>
          <w:numId w:val="2"/>
        </w:numPr>
        <w:spacing w:after="80"/>
      </w:pPr>
      <w:r>
        <w:rPr>
          <w:rFonts w:ascii="Arial" w:cs="Arial" w:eastAsia="Arial" w:hAnsi="Arial"/>
          <w:sz w:val="22"/>
          <w:szCs w:val="22"/>
        </w:rPr>
        <w:t xml:space="preserve">whether the relying party consumes a receipt offline, waits for an online ACK, or combines both.</w:t>
      </w:r>
    </w:p>
    <w:p>
      <w:pPr>
        <w:pStyle w:val="Heading2"/>
      </w:pPr>
      <w:r>
        <w:t xml:space="preserve">3.3 Residual / Out of Scope</w:t>
      </w:r>
    </w:p>
    <w:p>
      <w:pPr>
        <w:spacing w:after="120"/>
      </w:pPr>
      <w:r>
        <w:rPr>
          <w:rFonts w:ascii="Arial" w:cs="Arial" w:eastAsia="Arial" w:hAnsi="Arial"/>
          <w:sz w:val="22"/>
          <w:szCs w:val="22"/>
        </w:rPr>
        <w:t xml:space="preserve">The shared core does not, by itself, solve:</w:t>
      </w:r>
    </w:p>
    <w:p>
      <w:pPr>
        <w:pStyle w:val="ListParagraph"/>
        <w:numPr>
          <w:ilvl w:val="0"/>
          <w:numId w:val="2"/>
        </w:numPr>
        <w:spacing w:after="80"/>
      </w:pPr>
      <w:r>
        <w:rPr>
          <w:rFonts w:ascii="Arial" w:cs="Arial" w:eastAsia="Arial" w:hAnsi="Arial"/>
          <w:sz w:val="22"/>
          <w:szCs w:val="22"/>
        </w:rPr>
        <w:t xml:space="preserve">WYSIWYS or display integrity;</w:t>
      </w:r>
    </w:p>
    <w:p>
      <w:pPr>
        <w:pStyle w:val="ListParagraph"/>
        <w:numPr>
          <w:ilvl w:val="0"/>
          <w:numId w:val="2"/>
        </w:numPr>
        <w:spacing w:after="80"/>
      </w:pPr>
      <w:r>
        <w:rPr>
          <w:rFonts w:ascii="Arial" w:cs="Arial" w:eastAsia="Arial" w:hAnsi="Arial"/>
          <w:sz w:val="22"/>
          <w:szCs w:val="22"/>
        </w:rPr>
        <w:t xml:space="preserve">proof of a natural-person identity;</w:t>
      </w:r>
    </w:p>
    <w:p>
      <w:pPr>
        <w:pStyle w:val="ListParagraph"/>
        <w:numPr>
          <w:ilvl w:val="0"/>
          <w:numId w:val="2"/>
        </w:numPr>
        <w:spacing w:after="80"/>
      </w:pPr>
      <w:r>
        <w:rPr>
          <w:rFonts w:ascii="Arial" w:cs="Arial" w:eastAsia="Arial" w:hAnsi="Arial"/>
          <w:sz w:val="22"/>
          <w:szCs w:val="22"/>
        </w:rPr>
        <w:t xml:space="preserve">OAuth step-up policy or authorization-policy semantics;</w:t>
      </w:r>
    </w:p>
    <w:p>
      <w:pPr>
        <w:pStyle w:val="ListParagraph"/>
        <w:numPr>
          <w:ilvl w:val="0"/>
          <w:numId w:val="2"/>
        </w:numPr>
        <w:spacing w:after="80"/>
      </w:pPr>
      <w:r>
        <w:rPr>
          <w:rFonts w:ascii="Arial" w:cs="Arial" w:eastAsia="Arial" w:hAnsi="Arial"/>
          <w:sz w:val="22"/>
          <w:szCs w:val="22"/>
        </w:rPr>
        <w:t xml:space="preserve">every revocation-timing question in offline verification modes.</w:t>
      </w:r>
    </w:p>
    <w:p>
      <w:pPr>
        <w:spacing w:after="120"/>
      </w:pPr>
      <w:r>
        <w:rPr>
          <w:rFonts w:ascii="Arial" w:cs="Arial" w:eastAsia="Arial" w:hAnsi="Arial"/>
          <w:sz w:val="22"/>
          <w:szCs w:val="22"/>
        </w:rPr>
        <w:t xml:space="preserve">Those boundaries keep the work complementary to OAuth and RATS/EAT rather than competing with either.</w:t>
      </w:r>
    </w:p>
    <w:p>
      <w:pPr>
        <w:pStyle w:val="Heading1"/>
      </w:pPr>
      <w:r>
        <w:t xml:space="preserve">4. Shared Verifier Model</w:t>
      </w:r>
    </w:p>
    <w:p>
      <w:pPr>
        <w:spacing w:after="120"/>
      </w:pPr>
      <w:r>
        <w:rPr>
          <w:rFonts w:ascii="Arial" w:cs="Arial" w:eastAsia="Arial" w:hAnsi="Arial"/>
          <w:sz w:val="22"/>
          <w:szCs w:val="22"/>
        </w:rPr>
        <w:t xml:space="preserve">The useful comparison is not whether token formats are identical. It is whether the verifier decision matrices line up.</w:t>
      </w:r>
    </w:p>
    <w:p>
      <w:pPr>
        <w:pStyle w:val="Heading2"/>
      </w:pPr>
      <w:r>
        <w:t xml:space="preserve">4.1 Processing Invariant</w:t>
      </w:r>
    </w:p>
    <w:p>
      <w:pPr>
        <w:spacing w:after="120"/>
      </w:pPr>
      <w:r>
        <w:rPr>
          <w:rFonts w:ascii="Arial" w:cs="Arial" w:eastAsia="Arial" w:hAnsi="Arial"/>
          <w:sz w:val="22"/>
          <w:szCs w:val="22"/>
        </w:rPr>
        <w:t xml:space="preserve">On receipt of a proof submission, the verifier treats the signed proof, the submitted action payload, enrollment state, and replay state as one authorization decision. It validates the signed token or assertion first, then evaluates only verified claims together with server-side enrollment and replay state.</w:t>
      </w:r>
    </w:p>
    <w:p>
      <w:pPr>
        <w:spacing w:after="120"/>
      </w:pPr>
      <w:r>
        <w:rPr>
          <w:rFonts w:ascii="Arial" w:cs="Arial" w:eastAsia="Arial" w:hAnsi="Arial"/>
          <w:sz w:val="22"/>
          <w:szCs w:val="22"/>
        </w:rPr>
        <w:t xml:space="preserve">Any mismatch, missing required signed claim, stale freshness value, replayed replay key, inactive enrollment state, insufficient user-verification evidence, or failed operation/audience binding is a non-approval outcome.</w:t>
      </w:r>
    </w:p>
    <w:p>
      <w:pPr>
        <w:spacing w:after="120"/>
      </w:pPr>
      <w:r>
        <w:rPr>
          <w:rFonts w:ascii="Arial" w:cs="Arial" w:eastAsia="Arial" w:hAnsi="Arial"/>
          <w:sz w:val="22"/>
          <w:szCs w:val="22"/>
        </w:rPr>
        <w:t xml:space="preserve">The common invariant is: reject before any approval-bearing state mutation. A rejected proof must not advance a counter, finalize a jti, consume a nonce, write an approval ledger entry, sign an ACK, or emit a success-bearing result.</w:t>
      </w:r>
    </w:p>
    <w:p>
      <w:pPr>
        <w:pStyle w:val="Heading2"/>
      </w:pPr>
      <w:r>
        <w:t xml:space="preserve">4.2 Offline Versus Server-State Boundary</w:t>
      </w:r>
    </w:p>
    <w:p>
      <w:pPr>
        <w:spacing w:after="120"/>
      </w:pPr>
      <w:r>
        <w:rPr>
          <w:rFonts w:ascii="Arial" w:cs="Arial" w:eastAsia="Arial" w:hAnsi="Arial"/>
          <w:sz w:val="22"/>
          <w:szCs w:val="22"/>
        </w:rPr>
        <w:t xml:space="preserve">This boundary is a conformance boundary and a row in the survey matrix, not a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Boundary</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Offline-checkable</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Requires verifier/server state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Cryptographic assertion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Signature/assertion validity, key binding, supported algorithm/profile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Key lifecycle if revocation or enrollment status is not carried in the offline trust material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Action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Canonicalization, exact action hash, signed context, audience/rp_id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Context-specific acceptance policy, if policy state is external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User verification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UV/UP or equivalent assurance evidence in the signed assertion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Assurance-tier policy and enrollment-active checks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Replay / one-time consumption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 replay key can be carried or signed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Actual compare-and-advance, nonce consumption, jti finalization, high-water mark, revocation freshness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Result semantics</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 receipt/proof can be independently verified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Whether a success-bearing ACK, ledger write, or execution gate has been finalized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EP and PSEA enforce the one-time property differently. EP uses nonce consumption at the consume/ledger step; PSEA uses jti plus counter high-water mark. Those are different mechanisms for the same verifier-state invariant.</w:t>
      </w:r>
    </w:p>
    <w:p>
      <w:pPr>
        <w:pStyle w:val="Heading2"/>
      </w:pPr>
      <w:r>
        <w:t xml:space="preserve">4.3 Failure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0"/>
        <w:gridCol w:w="6550"/>
      </w:tblGrid>
      <w:tr>
        <w:tc>
          <w:tcPr>
            <w:tcW w:type="dxa" w:w="28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Failure class</w:t>
            </w:r>
          </w:p>
        </w:tc>
        <w:tc>
          <w:tcPr>
            <w:tcW w:type="dxa" w:w="655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Structural / cryptographic</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Wrong profile or ceremony type; unsupported algorithm; bad signature; wrong key; unrecognized critical field</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Action-binding</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Missing payload; payload-hash mismatch; non-canonical payload; hash-encoding mismatch; altered nonce or context after signing</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Operation / audience</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Tier, operation, audience, issuer, caller, policy reference, or relying-party identifier does not match the expected operation context</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Freshness / replay</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Expired proof; implausible issuance time; wrong nonce; reused jti; non-increasing counter; reused consumption nonce</w:t>
            </w:r>
          </w:p>
        </w:tc>
      </w:tr>
      <w:tr>
        <w:tc>
          <w:tcPr>
            <w:tcW w:type="dxa" w:w="28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Lifecycle / trust gate</w:t>
            </w:r>
          </w:p>
        </w:tc>
        <w:tc>
          <w:tcPr>
            <w:tcW w:type="dxa" w:w="655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Enrollment not active; revoked or suspended key; user-verification or user-presence evidence below the required assurance level</w:t>
            </w:r>
          </w:p>
        </w:tc>
      </w:tr>
    </w:tbl>
    <w:p>
      <w:pPr>
        <w:spacing w:after="120"/>
      </w:pPr>
      <w:r>
        <w:rPr>
          <w:rFonts w:ascii="Arial" w:cs="Arial" w:eastAsia="Arial" w:hAnsi="Arial"/>
          <w:sz w:val="22"/>
          <w:szCs w:val="22"/>
        </w:rPr>
        <w:t xml:space="preserve"/>
      </w:r>
    </w:p>
    <w:p>
      <w:pPr>
        <w:pStyle w:val="Heading1"/>
      </w:pPr>
      <w:r>
        <w:t xml:space="preserve">5. Worked Comparison on the Decision Matrix</w:t>
      </w:r>
    </w:p>
    <w:p>
      <w:pPr>
        <w:spacing w:after="120"/>
      </w:pPr>
      <w:r>
        <w:rPr>
          <w:rFonts w:ascii="Arial" w:cs="Arial" w:eastAsia="Arial" w:hAnsi="Arial"/>
          <w:sz w:val="22"/>
          <w:szCs w:val="22"/>
        </w:rPr>
        <w:t xml:space="preserve">Reading the matrix (convention, per S. Bu): each profile is described at the layer its draft normatively specifies. Server-state, acknowledgement, and enforcement-topology behavior is marked [deployment] and is not normalized across profiles. PSEA-02 is a pure token profile — wire format, claim set, verifier obligations — with enforcement left to deployment profiles; EP is described in terms of its authorization-receipt construction. The PSEA column below is as its author specified it in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Verifier axis</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PSEA (-02) — normative in the draft</w:t>
            </w:r>
          </w:p>
        </w:tc>
        <w:tc>
          <w:tcPr>
            <w:tcW w:type="dxa" w:w="351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EP authorization receipts (-00)</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Action canonicalization / hash</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JCS (RFC 8785) -&gt; SHA-256; non-canonical input rejected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JCS (RFC 8785) -&gt; SHA-256 context hash; non-canonical input rejected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Approver / subject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Dedicated hardware-resident key with enforced user verification, evidenced by a platform attestation chain; device- and vendor-agnostic (any platform producing that evidence can conform)</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Device-bound approver key (Class A, WebAuthn ECDSA P-256) on a commodity platform authenticator; approver_id resolved via a signed Approver Directory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Operation / audience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psea_tier, psea_op, aud, iss byte-exact in the signed claim set; optional signed caller-identity binding</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action_hash + policy reference + initiator in the signed context; WebAuthn rp_id for the relying party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Replay key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jti + per-scope strictly-increasing counter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128-bit CSPRNG nonce — the consumption key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One-time state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Counter compare-advance + jti finalization in one atomic transaction; replay terminally refused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Consumed at most once, globally; consumed/refused is terminal — same property, enforced differently</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Trust root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Platform key-attestation chain — never the operator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Signed Approver Directory — never the operator</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Relying-party result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Integrity-protected Attestation Result gating the action (normative). [deployment] synchronous-vs-deferred submission is per-deployment policy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Offline-verifiable Trust Receipt (signed authorization + consumption record + Merkle anchor)</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Conformance boundary (offline / server-state)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Offline-checkable: signature, action-binding, audience, UV. Verifier-state: replay (jti/counter), enrollment-active, revocation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Offline-checkable: signature, action-binding, audience, UV. Verifier-state: replay (nonce consumption), enrollment-active, revocation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Enforcement / deployment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[deployment] psea_tier is a signed opaque claim bound into the cross-replay check; the tier value space and app-&gt;level mapping are deployment policy, not fixed in -02</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Key custody is normative: Class A device-bound (recommended) vs Class C operator-custodied (legacy). [deployment] execution-side enforcement is the strongest deployment, not mandated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Residual risk (stated)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WYSIWYS / display integrity and natural-person identity — both explicitly out of scope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Presentation attack / WYSIWYS and key-revocation timing — stated, not claimed solved</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The two per-action profiles differ on assurance tier (dedicated hardware attestation vs commodity authenticators) and on where enforcement semantics live (PSEA: deliberately a pure token profile, enforcement left to deployment profiles; EP: enforcement classes specified within the profile). Same decision matrix, same fail-closed invariant.</w:t>
      </w:r>
    </w:p>
    <w:p>
      <w:pPr>
        <w:pStyle w:val="Heading1"/>
      </w:pPr>
      <w:r>
        <w:t xml:space="preserve">6. Independent Efforts Under a Common Template</w:t>
      </w:r>
    </w:p>
    <w:p>
      <w:pPr>
        <w:spacing w:after="120"/>
      </w:pPr>
      <w:r>
        <w:rPr>
          <w:rFonts w:ascii="Arial" w:cs="Arial" w:eastAsia="Arial" w:hAnsi="Arial"/>
          <w:sz w:val="22"/>
          <w:szCs w:val="22"/>
        </w:rPr>
        <w:t xml:space="preserve">Each entry uses the same template: scope, specification status, implementation status, conformance evidence, and deployment state. Where an item cannot be verified by its author, it is marked rather than padded.</w:t>
      </w:r>
    </w:p>
    <w:p>
      <w:pPr>
        <w:pStyle w:val="Heading2"/>
      </w:pPr>
      <w:r>
        <w:t xml:space="preserve">6.1 draft-yossif-psea</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EAT token profile for proof of human authorization for specific high-risk actions.</w:t>
      </w:r>
    </w:p>
    <w:p>
      <w:pPr>
        <w:pStyle w:val="ListParagraph"/>
        <w:numPr>
          <w:ilvl w:val="0"/>
          <w:numId w:val="2"/>
        </w:numPr>
        <w:spacing w:after="80"/>
      </w:pPr>
      <w:r>
        <w:rPr>
          <w:rFonts w:ascii="Arial" w:cs="Arial" w:eastAsia="Arial" w:hAnsi="Arial"/>
          <w:b/>
          <w:bCs/>
          <w:sz w:val="22"/>
          <w:szCs w:val="22"/>
        </w:rPr>
        <w:t xml:space="preserve">Assurance tier: </w:t>
      </w:r>
      <w:r>
        <w:rPr>
          <w:rFonts w:ascii="Arial" w:cs="Arial" w:eastAsia="Arial" w:hAnsi="Arial"/>
          <w:sz w:val="22"/>
          <w:szCs w:val="22"/>
        </w:rPr>
        <w:t xml:space="preserve">dedicated hardware-attested authenticators (TEE/Secure-Element keystores, PIN-gated PIV-class smartcards, programmable secure elements); standard FIDO2/WebAuthn authenticators do not conform by design.</w:t>
      </w:r>
    </w:p>
    <w:p>
      <w:pPr>
        <w:pStyle w:val="ListParagraph"/>
        <w:numPr>
          <w:ilvl w:val="0"/>
          <w:numId w:val="2"/>
        </w:numPr>
        <w:spacing w:after="80"/>
      </w:pPr>
      <w:r>
        <w:rPr>
          <w:rFonts w:ascii="Arial" w:cs="Arial" w:eastAsia="Arial" w:hAnsi="Arial"/>
          <w:b/>
          <w:bCs/>
          <w:sz w:val="22"/>
          <w:szCs w:val="22"/>
        </w:rPr>
        <w:t xml:space="preserve">Specification status: </w:t>
      </w:r>
      <w:r>
        <w:rPr>
          <w:rFonts w:ascii="Arial" w:cs="Arial" w:eastAsia="Arial" w:hAnsi="Arial"/>
          <w:sz w:val="22"/>
          <w:szCs w:val="22"/>
        </w:rPr>
        <w:t xml:space="preserve">draft-yossif-psea-02, individual submission, intended status Standards Track.</w:t>
      </w:r>
    </w:p>
    <w:p>
      <w:pPr>
        <w:pStyle w:val="ListParagraph"/>
        <w:numPr>
          <w:ilvl w:val="0"/>
          <w:numId w:val="2"/>
        </w:numPr>
        <w:spacing w:after="80"/>
      </w:pPr>
      <w:r>
        <w:rPr>
          <w:rFonts w:ascii="Arial" w:cs="Arial" w:eastAsia="Arial" w:hAnsi="Arial"/>
          <w:b/>
          <w:bCs/>
          <w:sz w:val="22"/>
          <w:szCs w:val="22"/>
        </w:rPr>
        <w:t xml:space="preserve">Implementation status: </w:t>
      </w:r>
      <w:r>
        <w:rPr>
          <w:rFonts w:ascii="Arial" w:cs="Arial" w:eastAsia="Arial" w:hAnsi="Arial"/>
          <w:sz w:val="22"/>
          <w:szCs w:val="22"/>
        </w:rPr>
        <w:t xml:space="preserve">a reference implementation exists across two major mobile platforms plus a deployed backend verifier; cross-platform golden vectors lock the canonical encoding byte-for-byte.</w:t>
      </w:r>
    </w:p>
    <w:p>
      <w:pPr>
        <w:pStyle w:val="ListParagraph"/>
        <w:numPr>
          <w:ilvl w:val="0"/>
          <w:numId w:val="2"/>
        </w:numPr>
        <w:spacing w:after="80"/>
      </w:pPr>
      <w:r>
        <w:rPr>
          <w:rFonts w:ascii="Arial" w:cs="Arial" w:eastAsia="Arial" w:hAnsi="Arial"/>
          <w:b/>
          <w:bCs/>
          <w:sz w:val="22"/>
          <w:szCs w:val="22"/>
        </w:rPr>
        <w:t xml:space="preserve">Conformance evidence: </w:t>
      </w:r>
      <w:r>
        <w:rPr>
          <w:rFonts w:ascii="Arial" w:cs="Arial" w:eastAsia="Arial" w:hAnsi="Arial"/>
          <w:sz w:val="22"/>
          <w:szCs w:val="22"/>
        </w:rPr>
        <w:t xml:space="preserve">canonical encoding test vectors in Appendix A of -02; specification and vectors at https://github.com/yuthent/psea-spec.</w:t>
      </w:r>
    </w:p>
    <w:p>
      <w:pPr>
        <w:pStyle w:val="ListParagraph"/>
        <w:numPr>
          <w:ilvl w:val="0"/>
          <w:numId w:val="2"/>
        </w:numPr>
        <w:spacing w:after="80"/>
      </w:pPr>
      <w:r>
        <w:rPr>
          <w:rFonts w:ascii="Arial" w:cs="Arial" w:eastAsia="Arial" w:hAnsi="Arial"/>
          <w:b/>
          <w:bCs/>
          <w:sz w:val="22"/>
          <w:szCs w:val="22"/>
        </w:rPr>
        <w:t xml:space="preserve">Deployment state: </w:t>
      </w:r>
      <w:r>
        <w:rPr>
          <w:rFonts w:ascii="Arial" w:cs="Arial" w:eastAsia="Arial" w:hAnsi="Arial"/>
          <w:sz w:val="22"/>
          <w:szCs w:val="22"/>
        </w:rPr>
        <w:t xml:space="preserve">deployed backend verifier in production use.</w:t>
      </w:r>
    </w:p>
    <w:p>
      <w:pPr>
        <w:pStyle w:val="Heading2"/>
      </w:pPr>
      <w:r>
        <w:t xml:space="preserve">6.2 draft-schrock-ep-authorization-receipts</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authorization receipts and Class-A signoff using commodity WebAuthn/passkey authenticators, plus enrollment and separation-of-duties handling.</w:t>
      </w:r>
    </w:p>
    <w:p>
      <w:pPr>
        <w:pStyle w:val="ListParagraph"/>
        <w:numPr>
          <w:ilvl w:val="0"/>
          <w:numId w:val="2"/>
        </w:numPr>
        <w:spacing w:after="80"/>
      </w:pPr>
      <w:r>
        <w:rPr>
          <w:rFonts w:ascii="Arial" w:cs="Arial" w:eastAsia="Arial" w:hAnsi="Arial"/>
          <w:b/>
          <w:bCs/>
          <w:sz w:val="22"/>
          <w:szCs w:val="22"/>
        </w:rPr>
        <w:t xml:space="preserve">Assurance tier: </w:t>
      </w:r>
      <w:r>
        <w:rPr>
          <w:rFonts w:ascii="Arial" w:cs="Arial" w:eastAsia="Arial" w:hAnsi="Arial"/>
          <w:sz w:val="22"/>
          <w:szCs w:val="22"/>
        </w:rPr>
        <w:t xml:space="preserve">broad-deployment commodity authenticator path, distinct from PSEA's dedicated-hardware tier.</w:t>
      </w:r>
    </w:p>
    <w:p>
      <w:pPr>
        <w:pStyle w:val="ListParagraph"/>
        <w:numPr>
          <w:ilvl w:val="0"/>
          <w:numId w:val="2"/>
        </w:numPr>
        <w:spacing w:after="80"/>
      </w:pPr>
      <w:r>
        <w:rPr>
          <w:rFonts w:ascii="Arial" w:cs="Arial" w:eastAsia="Arial" w:hAnsi="Arial"/>
          <w:b/>
          <w:bCs/>
          <w:sz w:val="22"/>
          <w:szCs w:val="22"/>
        </w:rPr>
        <w:t xml:space="preserve">Specification status: </w:t>
      </w:r>
      <w:r>
        <w:rPr>
          <w:rFonts w:ascii="Arial" w:cs="Arial" w:eastAsia="Arial" w:hAnsi="Arial"/>
          <w:sz w:val="22"/>
          <w:szCs w:val="22"/>
        </w:rPr>
        <w:t xml:space="preserve">draft-schrock-ep-authorization-receipts-00, individual submission.</w:t>
      </w:r>
    </w:p>
    <w:p>
      <w:pPr>
        <w:pStyle w:val="ListParagraph"/>
        <w:numPr>
          <w:ilvl w:val="0"/>
          <w:numId w:val="2"/>
        </w:numPr>
        <w:spacing w:after="80"/>
      </w:pPr>
      <w:r>
        <w:rPr>
          <w:rFonts w:ascii="Arial" w:cs="Arial" w:eastAsia="Arial" w:hAnsi="Arial"/>
          <w:b/>
          <w:bCs/>
          <w:sz w:val="22"/>
          <w:szCs w:val="22"/>
        </w:rPr>
        <w:t xml:space="preserve">Implementation status: </w:t>
      </w:r>
      <w:r>
        <w:rPr>
          <w:rFonts w:ascii="Arial" w:cs="Arial" w:eastAsia="Arial" w:hAnsi="Arial"/>
          <w:sz w:val="22"/>
          <w:szCs w:val="22"/>
        </w:rPr>
        <w:t xml:space="preserve">public reference verifiers and conformance material in the EMILIA Protocol repository.</w:t>
      </w:r>
    </w:p>
    <w:p>
      <w:pPr>
        <w:pStyle w:val="ListParagraph"/>
        <w:numPr>
          <w:ilvl w:val="0"/>
          <w:numId w:val="2"/>
        </w:numPr>
        <w:spacing w:after="80"/>
      </w:pPr>
      <w:r>
        <w:rPr>
          <w:rFonts w:ascii="Arial" w:cs="Arial" w:eastAsia="Arial" w:hAnsi="Arial"/>
          <w:b/>
          <w:bCs/>
          <w:sz w:val="22"/>
          <w:szCs w:val="22"/>
        </w:rPr>
        <w:t xml:space="preserve">Conformance evidence: </w:t>
      </w:r>
      <w:r>
        <w:rPr>
          <w:rFonts w:ascii="Arial" w:cs="Arial" w:eastAsia="Arial" w:hAnsi="Arial"/>
          <w:sz w:val="22"/>
          <w:szCs w:val="22"/>
        </w:rPr>
        <w:t xml:space="preserve">EP-RECEIPT-v1 vectors run through JavaScript, Python, and Go verifiers; EP-SIGNOFF-v1 Class-A negative vectors currently run through Node and Web Crypto verifiers. This distinction remains explicit.</w:t>
      </w:r>
    </w:p>
    <w:p>
      <w:pPr>
        <w:pStyle w:val="ListParagraph"/>
        <w:numPr>
          <w:ilvl w:val="0"/>
          <w:numId w:val="2"/>
        </w:numPr>
        <w:spacing w:after="80"/>
      </w:pPr>
      <w:r>
        <w:rPr>
          <w:rFonts w:ascii="Arial" w:cs="Arial" w:eastAsia="Arial" w:hAnsi="Arial"/>
          <w:b/>
          <w:bCs/>
          <w:sz w:val="22"/>
          <w:szCs w:val="22"/>
        </w:rPr>
        <w:t xml:space="preserve">Deployment state: </w:t>
      </w:r>
      <w:r>
        <w:rPr>
          <w:rFonts w:ascii="Arial" w:cs="Arial" w:eastAsia="Arial" w:hAnsi="Arial"/>
          <w:sz w:val="22"/>
          <w:szCs w:val="22"/>
        </w:rPr>
        <w:t xml:space="preserve">[to be confirmed by I. Schrock before the chair note]</w:t>
      </w:r>
    </w:p>
    <w:p>
      <w:pPr>
        <w:pStyle w:val="Heading2"/>
      </w:pPr>
      <w:r>
        <w:t xml:space="preserve">6.3 draft-nelson-agent-delegation-receipts</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user-signed delegation receipts — the authority to act — adjacent to per-action approval.</w:t>
      </w:r>
    </w:p>
    <w:p>
      <w:pPr>
        <w:pStyle w:val="ListParagraph"/>
        <w:numPr>
          <w:ilvl w:val="0"/>
          <w:numId w:val="2"/>
        </w:numPr>
        <w:spacing w:after="80"/>
      </w:pPr>
      <w:r>
        <w:rPr>
          <w:rFonts w:ascii="Arial" w:cs="Arial" w:eastAsia="Arial" w:hAnsi="Arial"/>
          <w:b/>
          <w:bCs/>
          <w:sz w:val="22"/>
          <w:szCs w:val="22"/>
        </w:rPr>
        <w:t xml:space="preserve">Relationship to core: </w:t>
      </w:r>
      <w:r>
        <w:rPr>
          <w:rFonts w:ascii="Arial" w:cs="Arial" w:eastAsia="Arial" w:hAnsi="Arial"/>
          <w:sz w:val="22"/>
          <w:szCs w:val="22"/>
        </w:rPr>
        <w:t xml:space="preserve">delegation of authority rather than per-action approval; compared on whether its verifier semantics share action/audience binding, replay handling, and residual-risk boundaries.</w:t>
      </w:r>
    </w:p>
    <w:p>
      <w:pPr>
        <w:pStyle w:val="ListParagraph"/>
        <w:numPr>
          <w:ilvl w:val="0"/>
          <w:numId w:val="2"/>
        </w:numPr>
        <w:spacing w:after="80"/>
      </w:pPr>
      <w:r>
        <w:rPr>
          <w:rFonts w:ascii="Arial" w:cs="Arial" w:eastAsia="Arial" w:hAnsi="Arial"/>
          <w:b/>
          <w:bCs/>
          <w:sz w:val="22"/>
          <w:szCs w:val="22"/>
        </w:rPr>
        <w:t xml:space="preserve">Specification status: </w:t>
      </w:r>
      <w:r>
        <w:rPr>
          <w:rFonts w:ascii="Arial" w:cs="Arial" w:eastAsia="Arial" w:hAnsi="Arial"/>
          <w:sz w:val="22"/>
          <w:szCs w:val="22"/>
        </w:rPr>
        <w:t xml:space="preserve">draft-nelson-agent-delegation-receipts-09, individual submission.</w:t>
      </w:r>
    </w:p>
    <w:p>
      <w:pPr>
        <w:pStyle w:val="ListParagraph"/>
        <w:numPr>
          <w:ilvl w:val="0"/>
          <w:numId w:val="2"/>
        </w:numPr>
        <w:spacing w:after="80"/>
      </w:pPr>
      <w:r>
        <w:rPr>
          <w:rFonts w:ascii="Arial" w:cs="Arial" w:eastAsia="Arial" w:hAnsi="Arial"/>
          <w:b/>
          <w:bCs/>
          <w:sz w:val="22"/>
          <w:szCs w:val="22"/>
        </w:rPr>
        <w:t xml:space="preserve">Implementation, conformance, deployment: </w:t>
      </w:r>
      <w:r>
        <w:rPr>
          <w:rFonts w:ascii="Arial" w:cs="Arial" w:eastAsia="Arial" w:hAnsi="Arial"/>
          <w:sz w:val="22"/>
          <w:szCs w:val="22"/>
        </w:rPr>
        <w:t xml:space="preserve">[to be confirmed with the author before the chair note]</w:t>
      </w:r>
    </w:p>
    <w:p>
      <w:pPr>
        <w:pStyle w:val="Heading2"/>
      </w:pPr>
      <w:r>
        <w:t xml:space="preserve">6.4 ScopeBlind</w:t>
      </w:r>
    </w:p>
    <w:p>
      <w:pPr>
        <w:pStyle w:val="ListParagraph"/>
        <w:numPr>
          <w:ilvl w:val="0"/>
          <w:numId w:val="2"/>
        </w:numPr>
        <w:spacing w:after="80"/>
      </w:pPr>
      <w:r>
        <w:rPr>
          <w:rFonts w:ascii="Arial" w:cs="Arial" w:eastAsia="Arial" w:hAnsi="Arial"/>
          <w:b/>
          <w:bCs/>
          <w:sz w:val="22"/>
          <w:szCs w:val="22"/>
        </w:rPr>
        <w:t xml:space="preserve">Scope: </w:t>
      </w:r>
      <w:r>
        <w:rPr>
          <w:rFonts w:ascii="Arial" w:cs="Arial" w:eastAsia="Arial" w:hAnsi="Arial"/>
          <w:sz w:val="22"/>
          <w:szCs w:val="22"/>
        </w:rPr>
        <w:t xml:space="preserve">agent-action receipt format plus policy layer, including Cedar-based policy and public conformance vectors.</w:t>
      </w:r>
    </w:p>
    <w:p>
      <w:pPr>
        <w:pStyle w:val="ListParagraph"/>
        <w:numPr>
          <w:ilvl w:val="0"/>
          <w:numId w:val="2"/>
        </w:numPr>
        <w:spacing w:after="80"/>
      </w:pPr>
      <w:r>
        <w:rPr>
          <w:rFonts w:ascii="Arial" w:cs="Arial" w:eastAsia="Arial" w:hAnsi="Arial"/>
          <w:b/>
          <w:bCs/>
          <w:sz w:val="22"/>
          <w:szCs w:val="22"/>
        </w:rPr>
        <w:t xml:space="preserve">Relationship to core: </w:t>
      </w:r>
      <w:r>
        <w:rPr>
          <w:rFonts w:ascii="Arial" w:cs="Arial" w:eastAsia="Arial" w:hAnsi="Arial"/>
          <w:sz w:val="22"/>
          <w:szCs w:val="22"/>
        </w:rPr>
        <w:t xml:space="preserve">pragmatic receipt / policy tooling adjacent to the authorization-evidence core. The receipt format also appears as a community-contributed lesson in Microsoft's ai-agents-for-beginners curriculum; this is noted only as a clause here and not as an independent effort or endorsement.</w:t>
      </w:r>
    </w:p>
    <w:p>
      <w:pPr>
        <w:pStyle w:val="ListParagraph"/>
        <w:numPr>
          <w:ilvl w:val="0"/>
          <w:numId w:val="2"/>
        </w:numPr>
        <w:spacing w:after="80"/>
      </w:pPr>
      <w:r>
        <w:rPr>
          <w:rFonts w:ascii="Arial" w:cs="Arial" w:eastAsia="Arial" w:hAnsi="Arial"/>
          <w:b/>
          <w:bCs/>
          <w:sz w:val="22"/>
          <w:szCs w:val="22"/>
        </w:rPr>
        <w:t xml:space="preserve">Implementation, conformance, deployment: </w:t>
      </w:r>
      <w:r>
        <w:rPr>
          <w:rFonts w:ascii="Arial" w:cs="Arial" w:eastAsia="Arial" w:hAnsi="Arial"/>
          <w:sz w:val="22"/>
          <w:szCs w:val="22"/>
        </w:rPr>
        <w:t xml:space="preserve">[to be confirmed with the author before the chair note]</w:t>
      </w:r>
    </w:p>
    <w:p>
      <w:pPr>
        <w:pStyle w:val="Heading1"/>
      </w:pPr>
      <w:r>
        <w:t xml:space="preserve">7. What Differs, and Why It Is Complementary</w:t>
      </w:r>
    </w:p>
    <w:p>
      <w:pPr>
        <w:spacing w:after="120"/>
      </w:pPr>
      <w:r>
        <w:rPr>
          <w:rFonts w:ascii="Arial" w:cs="Arial" w:eastAsia="Arial" w:hAnsi="Arial"/>
          <w:sz w:val="22"/>
          <w:szCs w:val="22"/>
        </w:rPr>
        <w:t xml:space="preserve">The efforts differ along predictable axes:</w:t>
      </w:r>
    </w:p>
    <w:p>
      <w:pPr>
        <w:pStyle w:val="ListParagraph"/>
        <w:numPr>
          <w:ilvl w:val="0"/>
          <w:numId w:val="2"/>
        </w:numPr>
        <w:spacing w:after="80"/>
      </w:pPr>
      <w:r>
        <w:rPr>
          <w:rFonts w:ascii="Arial" w:cs="Arial" w:eastAsia="Arial" w:hAnsi="Arial"/>
          <w:sz w:val="22"/>
          <w:szCs w:val="22"/>
        </w:rPr>
        <w:t xml:space="preserve">assurance tier: dedicated hardware attestation, commodity authenticator, delegation receipt, or policy tooling;</w:t>
      </w:r>
    </w:p>
    <w:p>
      <w:pPr>
        <w:pStyle w:val="ListParagraph"/>
        <w:numPr>
          <w:ilvl w:val="0"/>
          <w:numId w:val="2"/>
        </w:numPr>
        <w:spacing w:after="80"/>
      </w:pPr>
      <w:r>
        <w:rPr>
          <w:rFonts w:ascii="Arial" w:cs="Arial" w:eastAsia="Arial" w:hAnsi="Arial"/>
          <w:sz w:val="22"/>
          <w:szCs w:val="22"/>
        </w:rPr>
        <w:t xml:space="preserve">enforcement point: offline receipt verification, online consume/ledger, server ACK, execution-side gate, or delegated authority;</w:t>
      </w:r>
    </w:p>
    <w:p>
      <w:pPr>
        <w:pStyle w:val="ListParagraph"/>
        <w:numPr>
          <w:ilvl w:val="0"/>
          <w:numId w:val="2"/>
        </w:numPr>
        <w:spacing w:after="80"/>
      </w:pPr>
      <w:r>
        <w:rPr>
          <w:rFonts w:ascii="Arial" w:cs="Arial" w:eastAsia="Arial" w:hAnsi="Arial"/>
          <w:sz w:val="22"/>
          <w:szCs w:val="22"/>
        </w:rPr>
        <w:t xml:space="preserve">lifecycle model: enrollment, approver directory, attestation chain, revocation, and separation of duties;</w:t>
      </w:r>
    </w:p>
    <w:p>
      <w:pPr>
        <w:pStyle w:val="ListParagraph"/>
        <w:numPr>
          <w:ilvl w:val="0"/>
          <w:numId w:val="2"/>
        </w:numPr>
        <w:spacing w:after="80"/>
      </w:pPr>
      <w:r>
        <w:rPr>
          <w:rFonts w:ascii="Arial" w:cs="Arial" w:eastAsia="Arial" w:hAnsi="Arial"/>
          <w:sz w:val="22"/>
          <w:szCs w:val="22"/>
        </w:rPr>
        <w:t xml:space="preserve">profile envelope: EAT, WebAuthn/passkey assertion, receipt, or delegation artifact.</w:t>
      </w:r>
    </w:p>
    <w:p>
      <w:pPr>
        <w:spacing w:after="120"/>
      </w:pPr>
      <w:r>
        <w:rPr>
          <w:rFonts w:ascii="Arial" w:cs="Arial" w:eastAsia="Arial" w:hAnsi="Arial"/>
          <w:sz w:val="22"/>
          <w:szCs w:val="22"/>
        </w:rPr>
        <w:t xml:space="preserve">These differences support coordinated work rather than precluding it. A shared authorization-evidence / fail-closed-verifier core can define the verifier invariants and comparison taxonomy while individual profiles define envelope and assurance-tier details.</w:t>
      </w:r>
    </w:p>
    <w:p>
      <w:pPr>
        <w:pStyle w:val="Heading1"/>
      </w:pPr>
      <w:r>
        <w:t xml:space="preserve">8. What Is Out of Scope for the Shared Core</w:t>
      </w:r>
    </w:p>
    <w:p>
      <w:pPr>
        <w:pStyle w:val="ListParagraph"/>
        <w:numPr>
          <w:ilvl w:val="0"/>
          <w:numId w:val="2"/>
        </w:numPr>
        <w:spacing w:after="80"/>
      </w:pPr>
      <w:r>
        <w:rPr>
          <w:rFonts w:ascii="Arial" w:cs="Arial" w:eastAsia="Arial" w:hAnsi="Arial"/>
          <w:sz w:val="22"/>
          <w:szCs w:val="22"/>
        </w:rPr>
        <w:t xml:space="preserve">display integrity or WYSIWYS;</w:t>
      </w:r>
    </w:p>
    <w:p>
      <w:pPr>
        <w:pStyle w:val="ListParagraph"/>
        <w:numPr>
          <w:ilvl w:val="0"/>
          <w:numId w:val="2"/>
        </w:numPr>
        <w:spacing w:after="80"/>
      </w:pPr>
      <w:r>
        <w:rPr>
          <w:rFonts w:ascii="Arial" w:cs="Arial" w:eastAsia="Arial" w:hAnsi="Arial"/>
          <w:sz w:val="22"/>
          <w:szCs w:val="22"/>
        </w:rPr>
        <w:t xml:space="preserve">proof of a specific natural-person identity;</w:t>
      </w:r>
    </w:p>
    <w:p>
      <w:pPr>
        <w:pStyle w:val="ListParagraph"/>
        <w:numPr>
          <w:ilvl w:val="0"/>
          <w:numId w:val="2"/>
        </w:numPr>
        <w:spacing w:after="80"/>
      </w:pPr>
      <w:r>
        <w:rPr>
          <w:rFonts w:ascii="Arial" w:cs="Arial" w:eastAsia="Arial" w:hAnsi="Arial"/>
          <w:sz w:val="22"/>
          <w:szCs w:val="22"/>
        </w:rPr>
        <w:t xml:space="preserve">the OAuth step-up policy decision;</w:t>
      </w:r>
    </w:p>
    <w:p>
      <w:pPr>
        <w:pStyle w:val="ListParagraph"/>
        <w:numPr>
          <w:ilvl w:val="0"/>
          <w:numId w:val="2"/>
        </w:numPr>
        <w:spacing w:after="80"/>
      </w:pPr>
      <w:r>
        <w:rPr>
          <w:rFonts w:ascii="Arial" w:cs="Arial" w:eastAsia="Arial" w:hAnsi="Arial"/>
          <w:sz w:val="22"/>
          <w:szCs w:val="22"/>
        </w:rPr>
        <w:t xml:space="preserve">general authorization-policy semantics;</w:t>
      </w:r>
    </w:p>
    <w:p>
      <w:pPr>
        <w:pStyle w:val="ListParagraph"/>
        <w:numPr>
          <w:ilvl w:val="0"/>
          <w:numId w:val="2"/>
        </w:numPr>
        <w:spacing w:after="80"/>
      </w:pPr>
      <w:r>
        <w:rPr>
          <w:rFonts w:ascii="Arial" w:cs="Arial" w:eastAsia="Arial" w:hAnsi="Arial"/>
          <w:sz w:val="22"/>
          <w:szCs w:val="22"/>
        </w:rPr>
        <w:t xml:space="preserve">all revocation-timing consequences of offline verification.</w:t>
      </w:r>
    </w:p>
    <w:p>
      <w:pPr>
        <w:spacing w:after="120"/>
      </w:pPr>
      <w:r>
        <w:rPr>
          <w:rFonts w:ascii="Arial" w:cs="Arial" w:eastAsia="Arial" w:hAnsi="Arial"/>
          <w:sz w:val="22"/>
          <w:szCs w:val="22"/>
        </w:rPr>
        <w:t xml:space="preserve">Profiles may layer mitigations or policy hooks for these, but the survey keeps the common claim narrower.</w:t>
      </w:r>
    </w:p>
    <w:p>
      <w:pPr>
        <w:pStyle w:val="Heading1"/>
      </w:pPr>
      <w:r>
        <w:t xml:space="preserve">9. Dispatch Question</w:t>
      </w:r>
    </w:p>
    <w:p>
      <w:pPr>
        <w:spacing w:after="120"/>
      </w:pPr>
      <w:r>
        <w:rPr>
          <w:rFonts w:ascii="Arial" w:cs="Arial" w:eastAsia="Arial" w:hAnsi="Arial"/>
          <w:sz w:val="22"/>
          <w:szCs w:val="22"/>
        </w:rPr>
        <w:t xml:space="preserve">Narrowly: is there a stable, verifier-oriented problem statement worth dispatching — a shared authorization-evidence / fail-closed-verifier core (the processing model, the reject-before-mutation invariant, the offline/server-state boundary, and the failure taxonomy above) on which PSEA, EP, DRP, and ScopeBlind sit as profiles or adjacent instantiations? The question is deliberately not whether the community should normalize every profile into a single representation.</w:t>
      </w:r>
    </w:p>
    <w:p>
      <w:pPr>
        <w:spacing w:after="120"/>
      </w:pPr>
      <w:r>
        <w:rPr>
          <w:rFonts w:ascii="Arial" w:cs="Arial" w:eastAsia="Arial" w:hAnsi="Arial"/>
          <w:sz w:val="22"/>
          <w:szCs w:val="22"/>
        </w:rPr>
        <w:t xml:space="preserve">Candidate outcomes for discussion:</w:t>
      </w:r>
    </w:p>
    <w:p>
      <w:pPr>
        <w:pStyle w:val="ListParagraph"/>
        <w:numPr>
          <w:ilvl w:val="0"/>
          <w:numId w:val="2"/>
        </w:numPr>
        <w:spacing w:after="80"/>
      </w:pPr>
      <w:r>
        <w:rPr>
          <w:rFonts w:ascii="Arial" w:cs="Arial" w:eastAsia="Arial" w:hAnsi="Arial"/>
          <w:sz w:val="22"/>
          <w:szCs w:val="22"/>
        </w:rPr>
        <w:t xml:space="preserve">a focused side-meeting or BoF;</w:t>
      </w:r>
    </w:p>
    <w:p>
      <w:pPr>
        <w:pStyle w:val="ListParagraph"/>
        <w:numPr>
          <w:ilvl w:val="0"/>
          <w:numId w:val="2"/>
        </w:numPr>
        <w:spacing w:after="80"/>
      </w:pPr>
      <w:r>
        <w:rPr>
          <w:rFonts w:ascii="Arial" w:cs="Arial" w:eastAsia="Arial" w:hAnsi="Arial"/>
          <w:sz w:val="22"/>
          <w:szCs w:val="22"/>
        </w:rPr>
        <w:t xml:space="preserve">existing-WG adoption or coordination, for example OAuth for step-up adjacency and RATS for EAT/evidence adjacency;</w:t>
      </w:r>
    </w:p>
    <w:p>
      <w:pPr>
        <w:pStyle w:val="ListParagraph"/>
        <w:numPr>
          <w:ilvl w:val="0"/>
          <w:numId w:val="2"/>
        </w:numPr>
        <w:spacing w:after="80"/>
      </w:pPr>
      <w:r>
        <w:rPr>
          <w:rFonts w:ascii="Arial" w:cs="Arial" w:eastAsia="Arial" w:hAnsi="Arial"/>
          <w:sz w:val="22"/>
          <w:szCs w:val="22"/>
        </w:rPr>
        <w:t xml:space="preserve">continued individual submissions with a shared conformance basis and common verifier taxonomy.</w:t>
      </w:r>
    </w:p>
    <w:p>
      <w:pPr>
        <w:spacing w:after="120"/>
      </w:pPr>
      <w:r>
        <w:rPr>
          <w:rFonts w:ascii="Arial" w:cs="Arial" w:eastAsia="Arial" w:hAnsi="Arial"/>
          <w:sz w:val="22"/>
          <w:szCs w:val="22"/>
        </w:rPr>
        <w:t xml:space="preserve">The authors are not asking for a specific outcome. The narrower claim is that independent convergence on the verifier-side problem suggests the need is real and coordinatable, and that a shared verifier core could reduce gratuitous divergence for implementers.</w:t>
      </w:r>
    </w:p>
    <w:p>
      <w:pPr>
        <w:pStyle w:val="Heading1"/>
      </w:pPr>
      <w:r>
        <w:t xml:space="preserve">Appendix: Pointers</w:t>
      </w:r>
    </w:p>
    <w:p>
      <w:pPr>
        <w:pStyle w:val="ListParagraph"/>
        <w:numPr>
          <w:ilvl w:val="0"/>
          <w:numId w:val="2"/>
        </w:numPr>
        <w:spacing w:after="80"/>
      </w:pPr>
      <w:r>
        <w:rPr>
          <w:rFonts w:ascii="Arial" w:cs="Arial" w:eastAsia="Arial" w:hAnsi="Arial"/>
          <w:sz w:val="22"/>
          <w:szCs w:val="22"/>
        </w:rPr>
        <w:t xml:space="preserve">draft-yossif-psea: https://datatracker.ietf.org/doc/draft-yossif-psea/</w:t>
      </w:r>
    </w:p>
    <w:p>
      <w:pPr>
        <w:pStyle w:val="ListParagraph"/>
        <w:numPr>
          <w:ilvl w:val="0"/>
          <w:numId w:val="2"/>
        </w:numPr>
        <w:spacing w:after="80"/>
      </w:pPr>
      <w:r>
        <w:rPr>
          <w:rFonts w:ascii="Arial" w:cs="Arial" w:eastAsia="Arial" w:hAnsi="Arial"/>
          <w:sz w:val="22"/>
          <w:szCs w:val="22"/>
        </w:rPr>
        <w:t xml:space="preserve">PSEA specification and conformance vectors: https://github.com/yuthent/psea-spec</w:t>
      </w:r>
    </w:p>
    <w:p>
      <w:pPr>
        <w:pStyle w:val="ListParagraph"/>
        <w:numPr>
          <w:ilvl w:val="0"/>
          <w:numId w:val="2"/>
        </w:numPr>
        <w:spacing w:after="80"/>
      </w:pPr>
      <w:r>
        <w:rPr>
          <w:rFonts w:ascii="Arial" w:cs="Arial" w:eastAsia="Arial" w:hAnsi="Arial"/>
          <w:sz w:val="22"/>
          <w:szCs w:val="22"/>
        </w:rPr>
        <w:t xml:space="preserve">draft-schrock-ep-authorization-receipts: https://datatracker.ietf.org/doc/draft-schrock-ep-authorization-receipts/</w:t>
      </w:r>
    </w:p>
    <w:p>
      <w:pPr>
        <w:pStyle w:val="ListParagraph"/>
        <w:numPr>
          <w:ilvl w:val="0"/>
          <w:numId w:val="2"/>
        </w:numPr>
        <w:spacing w:after="80"/>
      </w:pPr>
      <w:r>
        <w:rPr>
          <w:rFonts w:ascii="Arial" w:cs="Arial" w:eastAsia="Arial" w:hAnsi="Arial"/>
          <w:sz w:val="22"/>
          <w:szCs w:val="22"/>
        </w:rPr>
        <w:t xml:space="preserve">EMILIA conformance vectors and offline verifiers: https://github.com/emiliaprotocol/emilia-protocol</w:t>
      </w:r>
    </w:p>
    <w:p>
      <w:pPr>
        <w:pStyle w:val="ListParagraph"/>
        <w:numPr>
          <w:ilvl w:val="0"/>
          <w:numId w:val="2"/>
        </w:numPr>
        <w:spacing w:after="80"/>
      </w:pPr>
      <w:r>
        <w:rPr>
          <w:rFonts w:ascii="Arial" w:cs="Arial" w:eastAsia="Arial" w:hAnsi="Arial"/>
          <w:sz w:val="22"/>
          <w:szCs w:val="22"/>
        </w:rPr>
        <w:t xml:space="preserve">draft-nelson-agent-delegation-receipts: https://datatracker.ietf.org/doc/draft-nelson-agent-delegation-receipts/</w:t>
      </w:r>
    </w:p>
    <w:p>
      <w:pPr>
        <w:pStyle w:val="ListParagraph"/>
        <w:numPr>
          <w:ilvl w:val="0"/>
          <w:numId w:val="2"/>
        </w:numPr>
        <w:spacing w:after="80"/>
      </w:pPr>
      <w:r>
        <w:rPr>
          <w:rFonts w:ascii="Arial" w:cs="Arial" w:eastAsia="Arial" w:hAnsi="Arial"/>
          <w:sz w:val="22"/>
          <w:szCs w:val="22"/>
        </w:rPr>
        <w:t xml:space="preserve">ScopeBlind conformance test vectors: repository pointer to be confirmed with the author.</w:t>
      </w:r>
    </w:p>
    <w:p>
      <w:pPr>
        <w:pStyle w:val="Heading1"/>
      </w:pPr>
      <w:r>
        <w:t xml:space="preserve">Changes from v1.3 to v1.4</w:t>
      </w:r>
    </w:p>
    <w:p>
      <w:pPr>
        <w:pStyle w:val="ListParagraph"/>
        <w:numPr>
          <w:ilvl w:val="0"/>
          <w:numId w:val="2"/>
        </w:numPr>
        <w:spacing w:after="80"/>
      </w:pPr>
      <w:r>
        <w:rPr>
          <w:rFonts w:ascii="Arial" w:cs="Arial" w:eastAsia="Arial" w:hAnsi="Arial"/>
          <w:sz w:val="22"/>
          <w:szCs w:val="22"/>
        </w:rPr>
        <w:t xml:space="preserve">Folded I. Schrock's parallel v1.2 merge into the v1.3 base (versions crossed in transit): the normative-layer reading convention (per S. Bu) now precedes the decision matrix; EP is held to the same normative-vs-deployment line as PSEA (execution-side enforcement marked [deployment]; only key-custody Class A/C stated as normative); the dispatch question is narrowed per the list discussion (explicitly not a normalization proposal).</w:t>
      </w:r>
    </w:p>
    <w:p>
      <w:pPr>
        <w:pStyle w:val="ListParagraph"/>
        <w:numPr>
          <w:ilvl w:val="0"/>
          <w:numId w:val="2"/>
        </w:numPr>
        <w:spacing w:after="80"/>
      </w:pPr>
      <w:r>
        <w:rPr>
          <w:rFonts w:ascii="Arial" w:cs="Arial" w:eastAsia="Arial" w:hAnsi="Arial"/>
          <w:sz w:val="22"/>
          <w:szCs w:val="22"/>
        </w:rPr>
        <w:t xml:space="preserve">Authors block updated to three identified authors: S. Bu accepted co-authorship and provided full name and affiliation (Shanghai Guan An Information Technology Co., Ltd.); the acknowledgment is reworded accordingly.</w:t>
      </w:r>
    </w:p>
    <w:p>
      <w:pPr>
        <w:pStyle w:val="ListParagraph"/>
        <w:numPr>
          <w:ilvl w:val="0"/>
          <w:numId w:val="2"/>
        </w:numPr>
        <w:spacing w:after="80"/>
      </w:pPr>
      <w:r>
        <w:rPr>
          <w:rFonts w:ascii="Arial" w:cs="Arial" w:eastAsia="Arial" w:hAnsi="Arial"/>
          <w:sz w:val="22"/>
          <w:szCs w:val="22"/>
        </w:rPr>
        <w:t xml:space="preserve">This document is the single base for the final consistency-only redline before freeze.</w:t>
      </w:r>
    </w:p>
    <w:p>
      <w:pPr>
        <w:pStyle w:val="Heading1"/>
      </w:pPr>
      <w:r>
        <w:t xml:space="preserve">Changes from v1.2 to v1.3</w:t>
      </w:r>
    </w:p>
    <w:p>
      <w:pPr>
        <w:pStyle w:val="ListParagraph"/>
        <w:numPr>
          <w:ilvl w:val="0"/>
          <w:numId w:val="2"/>
        </w:numPr>
        <w:spacing w:after="80"/>
      </w:pPr>
      <w:r>
        <w:rPr>
          <w:rFonts w:ascii="Arial" w:cs="Arial" w:eastAsia="Arial" w:hAnsi="Arial"/>
          <w:sz w:val="22"/>
          <w:szCs w:val="22"/>
        </w:rPr>
        <w:t xml:space="preserve">Title widened from “High-Risk Agent Actions” to “High-Risk Actions”: the evidence primitive applies to human-initiated high-risk actions (payment release, record changes, dispensing) as well as agent-initiated ones; agent-initiated actions remain the sharpest current driver in the body text. The title no longer scopes the primitive to one initiator class.</w:t>
      </w:r>
    </w:p>
    <w:p>
      <w:pPr>
        <w:pStyle w:val="ListParagraph"/>
        <w:numPr>
          <w:ilvl w:val="0"/>
          <w:numId w:val="2"/>
        </w:numPr>
        <w:spacing w:after="80"/>
      </w:pPr>
      <w:r>
        <w:rPr>
          <w:rFonts w:ascii="Arial" w:cs="Arial" w:eastAsia="Arial" w:hAnsi="Arial"/>
          <w:sz w:val="22"/>
          <w:szCs w:val="22"/>
        </w:rPr>
        <w:t xml:space="preserve">Corrected the PSEA “Enforcement / deployment class” row: draft-yossif-psea-02 does not define a fixed set of tiers; it carries psea_tier as a signed, opaque claim bound into the cross-replay check, with tier semantics deliberately left to deployment policy.</w:t>
      </w:r>
    </w:p>
    <w:p>
      <w:pPr>
        <w:pStyle w:val="ListParagraph"/>
        <w:numPr>
          <w:ilvl w:val="0"/>
          <w:numId w:val="2"/>
        </w:numPr>
        <w:spacing w:after="80"/>
      </w:pPr>
      <w:r>
        <w:rPr>
          <w:rFonts w:ascii="Arial" w:cs="Arial" w:eastAsia="Arial" w:hAnsi="Arial"/>
          <w:sz w:val="22"/>
          <w:szCs w:val="22"/>
        </w:rPr>
        <w:t xml:space="preserve">Corrected the PSEA “Relying-party result” row: the normative requirement is an integrity-protected Attestation Result gating the action; enforcement topology (synchronous ACK versus offline-produced proofs with deferred submission) is per-deployment by design.</w:t>
      </w:r>
    </w:p>
    <w:p>
      <w:pPr>
        <w:pStyle w:val="ListParagraph"/>
        <w:numPr>
          <w:ilvl w:val="0"/>
          <w:numId w:val="2"/>
        </w:numPr>
        <w:spacing w:after="80"/>
      </w:pPr>
      <w:r>
        <w:rPr>
          <w:rFonts w:ascii="Arial" w:cs="Arial" w:eastAsia="Arial" w:hAnsi="Arial"/>
          <w:sz w:val="22"/>
          <w:szCs w:val="22"/>
        </w:rPr>
        <w:t xml:space="preserve">Resolved all PSEA verification items in Section 6.1 with author-confirmed wording; remaining verification markers belong to the respective authors of the other efforts.</w:t>
      </w:r>
    </w:p>
    <w:p>
      <w:pPr>
        <w:pStyle w:val="ListParagraph"/>
        <w:numPr>
          <w:ilvl w:val="0"/>
          <w:numId w:val="2"/>
        </w:numPr>
        <w:spacing w:after="80"/>
      </w:pPr>
      <w:r>
        <w:rPr>
          <w:rFonts w:ascii="Arial" w:cs="Arial" w:eastAsia="Arial" w:hAnsi="Arial"/>
          <w:sz w:val="22"/>
          <w:szCs w:val="22"/>
        </w:rPr>
        <w:t xml:space="preserve">Added an explicit Authors block with the review contribution credited in the acknowledgment.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sz w:val="36"/>
      <w:szCs w:val="36"/>
    </w:rPr>
  </w:style>
  <w:style w:type="paragraph" w:styleId="Heading1">
    <w:name w:val="Heading 1"/>
    <w:basedOn w:val="Normal"/>
    <w:next w:val="Normal"/>
    <w:qFormat/>
    <w:pPr>
      <w:spacing w:after="16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2026-06-11T14:30:40.655Z</dcterms:created>
  <dcterms:modified xsi:type="dcterms:W3CDTF">2026-06-11T14:30:40.655Z</dcterms:modified>
</cp:coreProperties>
</file>

<file path=docProps/custom.xml><?xml version="1.0" encoding="utf-8"?>
<Properties xmlns="http://schemas.openxmlformats.org/officeDocument/2006/custom-properties" xmlns:vt="http://schemas.openxmlformats.org/officeDocument/2006/docPropsVTypes"/>
</file>