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Authorization Evidence for High-Risk Agent Actions</w:t>
      </w:r>
    </w:p>
    <w:p>
      <w:pPr>
        <w:pStyle w:val="Subtle"/>
        <w:spacing w:after="120"/>
      </w:pPr>
      <w:r>
        <w:t xml:space="preserve">A survey of independent efforts — strawman for a joint note to the SECDISPATCH chairs</w:t>
      </w:r>
    </w:p>
    <w:p>
      <w:pPr>
        <w:spacing w:after="120"/>
        <w:rPr>
          <w:color w:val="444444"/>
          <w:sz w:val="20"/>
          <w:szCs w:val="20"/>
        </w:rPr>
      </w:pPr>
      <w:r>
        <w:rPr>
          <w:color w:val="444444"/>
          <w:sz w:val="20"/>
          <w:szCs w:val="20"/>
        </w:rPr>
        <w:t xml:space="preserve">Status: strawman v1.2 (supersedes v1.1) — I. Schrock, for joint authorship with M. Khalil-Yossif. Neutral by design. v1.2 folds in the PSEA column as the author specified it normatively in -02 (and his two deployment-vs-normative corrections), the shared verifier invariant and conformance boundary, parallel implementation-status entries, and S. Bu reading convention.</w:t>
      </w:r>
    </w:p>
    <w:p>
      <w:pPr>
        <w:pStyle w:val="Heading1"/>
      </w:pPr>
      <w:r>
        <w:t xml:space="preserve">1. Problem</w:t>
      </w:r>
    </w:p>
    <w:p>
      <w:pPr>
        <w:spacing w:after="120"/>
      </w:pPr>
      <w:r>
        <w:t xml:space="preserve">AI agents increasingly initiate high-risk, irreversible actions — moving money, changing records, acting externally. Session authentication answers "who logged in," not "did an accountable human approve this action, now." Multiple groups independently built cryptographic evidence that binds a human user-verification-gated approval to a specific action payload, verifiable after the fact without trusting the operator. The convergence is on the verifier-side problem, not on identical wire formats.</w:t>
      </w:r>
    </w:p>
    <w:p>
      <w:pPr>
        <w:pStyle w:val="Heading1"/>
      </w:pPr>
      <w:r>
        <w:t xml:space="preserve">2. The shared construction</w:t>
      </w:r>
    </w:p>
    <w:p>
      <w:pPr>
        <w:pStyle w:val="ListParagraph"/>
        <w:numPr>
          <w:ilvl w:val="0"/>
          <w:numId w:val="2"/>
        </w:numPr>
      </w:pPr>
      <w:r>
        <w:t xml:space="preserve">Canonical serialization of an explicit action / authorization context.</w:t>
      </w:r>
    </w:p>
    <w:p>
      <w:pPr>
        <w:pStyle w:val="ListParagraph"/>
        <w:numPr>
          <w:ilvl w:val="0"/>
          <w:numId w:val="2"/>
        </w:numPr>
      </w:pPr>
      <w:r>
        <w:t xml:space="preserve">A signature or assertion gated on user verification (presence + biometric/PIN).</w:t>
      </w:r>
    </w:p>
    <w:p>
      <w:pPr>
        <w:pStyle w:val="ListParagraph"/>
        <w:numPr>
          <w:ilvl w:val="0"/>
          <w:numId w:val="2"/>
        </w:numPr>
      </w:pPr>
      <w:r>
        <w:t xml:space="preserve">The signed challenge binds the hash of the exact action.</w:t>
      </w:r>
    </w:p>
    <w:p>
      <w:pPr>
        <w:pStyle w:val="ListParagraph"/>
        <w:numPr>
          <w:ilvl w:val="0"/>
          <w:numId w:val="2"/>
        </w:numPr>
      </w:pPr>
      <w:r>
        <w:t xml:space="preserve">Verifier rules are fail-closed: reject on replay, action mismatch, cross-context reuse, missing user verification.</w:t>
      </w:r>
    </w:p>
    <w:p>
      <w:pPr>
        <w:pStyle w:val="ListParagraph"/>
        <w:numPr>
          <w:ilvl w:val="0"/>
          <w:numId w:val="2"/>
        </w:numPr>
      </w:pPr>
      <w:r>
        <w:t xml:space="preserve">The evidence is independently verifiable; the operator is removed from the trust path.</w:t>
      </w:r>
    </w:p>
    <w:p>
      <w:pPr>
        <w:pStyle w:val="Heading1"/>
      </w:pPr>
      <w:r>
        <w:t xml:space="preserve">3. The shared verifier model</w:t>
      </w:r>
    </w:p>
    <w:p>
      <w:pPr>
        <w:spacing w:after="120"/>
      </w:pPr>
      <w:r>
        <w:t xml:space="preserve">The efforts converge on a verifier processing model: the verifier treats the signed proof, the submitted action payload, enrollment state, and replay state as one atomic authorization decision; it validates the signed token first, then uses only verified claims plus server-side state. The common invariant, normative on every side: REJECT BEFORE ANY APPROVAL-BEARING STATE MUTATION — a rejected proof leaves the replay high-water mark / consumption record, any chain entry, the approval ledger, and any approval-bearing result unchanged or absent.</w:t>
      </w:r>
    </w:p>
    <w:p>
      <w:pPr>
        <w:spacing w:after="120"/>
      </w:pPr>
      <w:r>
        <w:t xml:space="preserve">That invariant defines a conformance boundary that holds identically across the profiles: signature, action-binding, audience, and user-verification evidence are OFFLINE-checkable by any relying party; replay / one-time consumption, enrollment-active, and revocation are necessarily VERIFIER-STATE decisions. The boundary is a conformance fact, not an implementation detail.</w:t>
      </w:r>
    </w:p>
    <w:p>
      <w:pPr>
        <w:spacing w:after="120"/>
      </w:pPr>
      <w:r>
        <w:t xml:space="preserve">Failure classes (each pins one verifier obligation; the profiles share the taxonomy even where the bytes differ): structural / cryptographic; action-binding; operation / audience (cross-replay); freshness / replay; lifecycle / trust gate. Every entry is a non-approval outcome.</w:t>
      </w:r>
    </w:p>
    <w:p>
      <w:pPr>
        <w:pStyle w:val="Heading1"/>
      </w:pPr>
      <w:r>
        <w:t xml:space="preserve">4. Comparison on the verifier decision matrix</w:t>
      </w:r>
    </w:p>
    <w:p>
      <w:pPr>
        <w:spacing w:after="120"/>
      </w:pPr>
      <w:r>
        <w:t xml:space="preserve">Reading the matrix (convention, per S. Bu): each profile is described at the layer its draft normatively specifies. Server-state, acknowledgement, and enforcement-topology behavior is marked [deployment] and is NOT normalized across profiles — PSEA-02 is a pure token profile (wire format, claim set, verifier obligations) with enforcement left to deployment profiles; EP is described in terms of its authorization-receipt construction. The PSEA column below is as its author specified it in -02.</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10"/>
          <w:bottom w:type="dxa" w:w="70"/>
          <w:right w:type="dxa" w:w="110"/>
        </w:tblCellMar>
      </w:tblPr>
      <w:tblGrid>
        <w:gridCol w:w="2040"/>
        <w:gridCol w:w="3660"/>
        <w:gridCol w:w="3660"/>
      </w:tblGrid>
      <w:tr>
        <w:trPr>
          <w:tblHeader/>
        </w:trPr>
        <w:tc>
          <w:tcPr>
            <w:tcW w:type="dxa" w:w="2040"/>
            <w:tcBorders>
              <w:top w:val="single" w:color="CCCCCC" w:sz="1"/>
              <w:left w:val="single" w:color="CCCCCC" w:sz="1"/>
              <w:bottom w:val="single" w:color="CCCCCC" w:sz="1"/>
              <w:right w:val="single" w:color="CCCCCC" w:sz="1"/>
            </w:tcBorders>
            <w:shd w:fill="EFEFEF" w:val="clear"/>
            <w:vAlign w:val="center"/>
          </w:tcPr>
          <w:p>
            <w:r>
              <w:rPr>
                <w:b/>
                <w:bCs/>
                <w:sz w:val="18"/>
                <w:szCs w:val="18"/>
              </w:rPr>
              <w:t xml:space="preserve">Verifier axis</w:t>
            </w:r>
          </w:p>
        </w:tc>
        <w:tc>
          <w:tcPr>
            <w:tcW w:type="dxa" w:w="3660"/>
            <w:tcBorders>
              <w:top w:val="single" w:color="CCCCCC" w:sz="1"/>
              <w:left w:val="single" w:color="CCCCCC" w:sz="1"/>
              <w:bottom w:val="single" w:color="CCCCCC" w:sz="1"/>
              <w:right w:val="single" w:color="CCCCCC" w:sz="1"/>
            </w:tcBorders>
            <w:shd w:fill="EFEFEF" w:val="clear"/>
            <w:vAlign w:val="center"/>
          </w:tcPr>
          <w:p>
            <w:r>
              <w:rPr>
                <w:b/>
                <w:bCs/>
                <w:sz w:val="18"/>
                <w:szCs w:val="18"/>
              </w:rPr>
              <w:t xml:space="preserve">PSEA (-02) — normative in the draft</w:t>
            </w:r>
          </w:p>
        </w:tc>
        <w:tc>
          <w:tcPr>
            <w:tcW w:type="dxa" w:w="3660"/>
            <w:tcBorders>
              <w:top w:val="single" w:color="CCCCCC" w:sz="1"/>
              <w:left w:val="single" w:color="CCCCCC" w:sz="1"/>
              <w:bottom w:val="single" w:color="CCCCCC" w:sz="1"/>
              <w:right w:val="single" w:color="CCCCCC" w:sz="1"/>
            </w:tcBorders>
            <w:shd w:fill="EFEFEF" w:val="clear"/>
            <w:vAlign w:val="center"/>
          </w:tcPr>
          <w:p>
            <w:r>
              <w:rPr>
                <w:b/>
                <w:bCs/>
                <w:sz w:val="18"/>
                <w:szCs w:val="18"/>
              </w:rPr>
              <w:t xml:space="preserve">EP authorization receipts (-00)</w:t>
            </w:r>
          </w:p>
        </w:tc>
      </w:tr>
      <w:tr>
        <w:tc>
          <w:tcPr>
            <w:tcW w:type="dxa" w:w="2040"/>
            <w:tcBorders>
              <w:top w:val="single" w:color="CCCCCC" w:sz="1"/>
              <w:left w:val="single" w:color="CCCCCC" w:sz="1"/>
              <w:bottom w:val="single" w:color="CCCCCC" w:sz="1"/>
              <w:right w:val="single" w:color="CCCCCC" w:sz="1"/>
            </w:tcBorders>
            <w:vAlign w:val="center"/>
          </w:tcPr>
          <w:p>
            <w:r>
              <w:rPr>
                <w:b/>
                <w:bCs/>
                <w:sz w:val="18"/>
                <w:szCs w:val="18"/>
              </w:rPr>
              <w:t xml:space="preserve">Action canonicalization / hash</w:t>
            </w:r>
          </w:p>
        </w:tc>
        <w:tc>
          <w:tcPr>
            <w:tcW w:type="dxa" w:w="3660"/>
            <w:tcBorders>
              <w:top w:val="single" w:color="CCCCCC" w:sz="1"/>
              <w:left w:val="single" w:color="CCCCCC" w:sz="1"/>
              <w:bottom w:val="single" w:color="CCCCCC" w:sz="1"/>
              <w:right w:val="single" w:color="CCCCCC" w:sz="1"/>
            </w:tcBorders>
            <w:vAlign w:val="center"/>
          </w:tcPr>
          <w:p>
            <w:r>
              <w:rPr>
                <w:b w:val="false"/>
                <w:bCs w:val="false"/>
                <w:sz w:val="18"/>
                <w:szCs w:val="18"/>
              </w:rPr>
              <w:t xml:space="preserve">JCS (RFC 8785) -&gt; SHA-256; non-canonical input rejected</w:t>
            </w:r>
          </w:p>
        </w:tc>
        <w:tc>
          <w:tcPr>
            <w:tcW w:type="dxa" w:w="3660"/>
            <w:tcBorders>
              <w:top w:val="single" w:color="CCCCCC" w:sz="1"/>
              <w:left w:val="single" w:color="CCCCCC" w:sz="1"/>
              <w:bottom w:val="single" w:color="CCCCCC" w:sz="1"/>
              <w:right w:val="single" w:color="CCCCCC" w:sz="1"/>
            </w:tcBorders>
            <w:vAlign w:val="center"/>
          </w:tcPr>
          <w:p>
            <w:r>
              <w:rPr>
                <w:b w:val="false"/>
                <w:bCs w:val="false"/>
                <w:sz w:val="18"/>
                <w:szCs w:val="18"/>
              </w:rPr>
              <w:t xml:space="preserve">JCS (RFC 8785) -&gt; SHA-256 context hash; non-canonical input rejected</w:t>
            </w:r>
          </w:p>
        </w:tc>
      </w:tr>
      <w:tr>
        <w:tc>
          <w:tcPr>
            <w:tcW w:type="dxa" w:w="2040"/>
            <w:tcBorders>
              <w:top w:val="single" w:color="CCCCCC" w:sz="1"/>
              <w:left w:val="single" w:color="CCCCCC" w:sz="1"/>
              <w:bottom w:val="single" w:color="CCCCCC" w:sz="1"/>
              <w:right w:val="single" w:color="CCCCCC" w:sz="1"/>
            </w:tcBorders>
            <w:vAlign w:val="center"/>
          </w:tcPr>
          <w:p>
            <w:r>
              <w:rPr>
                <w:b/>
                <w:bCs/>
                <w:sz w:val="18"/>
                <w:szCs w:val="18"/>
              </w:rPr>
              <w:t xml:space="preserve">Approver / subject binding</w:t>
            </w:r>
          </w:p>
        </w:tc>
        <w:tc>
          <w:tcPr>
            <w:tcW w:type="dxa" w:w="3660"/>
            <w:tcBorders>
              <w:top w:val="single" w:color="CCCCCC" w:sz="1"/>
              <w:left w:val="single" w:color="CCCCCC" w:sz="1"/>
              <w:bottom w:val="single" w:color="CCCCCC" w:sz="1"/>
              <w:right w:val="single" w:color="CCCCCC" w:sz="1"/>
            </w:tcBorders>
            <w:vAlign w:val="center"/>
          </w:tcPr>
          <w:p>
            <w:r>
              <w:rPr>
                <w:b w:val="false"/>
                <w:bCs w:val="false"/>
                <w:sz w:val="18"/>
                <w:szCs w:val="18"/>
              </w:rPr>
              <w:t xml:space="preserve">Dedicated hardware-resident key with enforced user verification, evidenced by a platform attestation chain; device- and vendor-agnostic (any platform producing that evidence can conform)</w:t>
            </w:r>
          </w:p>
        </w:tc>
        <w:tc>
          <w:tcPr>
            <w:tcW w:type="dxa" w:w="3660"/>
            <w:tcBorders>
              <w:top w:val="single" w:color="CCCCCC" w:sz="1"/>
              <w:left w:val="single" w:color="CCCCCC" w:sz="1"/>
              <w:bottom w:val="single" w:color="CCCCCC" w:sz="1"/>
              <w:right w:val="single" w:color="CCCCCC" w:sz="1"/>
            </w:tcBorders>
            <w:vAlign w:val="center"/>
          </w:tcPr>
          <w:p>
            <w:r>
              <w:rPr>
                <w:b w:val="false"/>
                <w:bCs w:val="false"/>
                <w:sz w:val="18"/>
                <w:szCs w:val="18"/>
              </w:rPr>
              <w:t xml:space="preserve">Device-bound approver key (Class A, WebAuthn ECDSA P-256) on a commodity platform authenticator; approver_id resolved via a signed Approver Directory</w:t>
            </w:r>
          </w:p>
        </w:tc>
      </w:tr>
      <w:tr>
        <w:tc>
          <w:tcPr>
            <w:tcW w:type="dxa" w:w="2040"/>
            <w:tcBorders>
              <w:top w:val="single" w:color="CCCCCC" w:sz="1"/>
              <w:left w:val="single" w:color="CCCCCC" w:sz="1"/>
              <w:bottom w:val="single" w:color="CCCCCC" w:sz="1"/>
              <w:right w:val="single" w:color="CCCCCC" w:sz="1"/>
            </w:tcBorders>
            <w:vAlign w:val="center"/>
          </w:tcPr>
          <w:p>
            <w:r>
              <w:rPr>
                <w:b/>
                <w:bCs/>
                <w:sz w:val="18"/>
                <w:szCs w:val="18"/>
              </w:rPr>
              <w:t xml:space="preserve">Operation / audience binding</w:t>
            </w:r>
          </w:p>
        </w:tc>
        <w:tc>
          <w:tcPr>
            <w:tcW w:type="dxa" w:w="3660"/>
            <w:tcBorders>
              <w:top w:val="single" w:color="CCCCCC" w:sz="1"/>
              <w:left w:val="single" w:color="CCCCCC" w:sz="1"/>
              <w:bottom w:val="single" w:color="CCCCCC" w:sz="1"/>
              <w:right w:val="single" w:color="CCCCCC" w:sz="1"/>
            </w:tcBorders>
            <w:vAlign w:val="center"/>
          </w:tcPr>
          <w:p>
            <w:r>
              <w:rPr>
                <w:b w:val="false"/>
                <w:bCs w:val="false"/>
                <w:sz w:val="18"/>
                <w:szCs w:val="18"/>
              </w:rPr>
              <w:t xml:space="preserve">psea_tier, psea_op, aud, iss byte-exact in the signed claim set; optional signed caller-identity binding</w:t>
            </w:r>
          </w:p>
        </w:tc>
        <w:tc>
          <w:tcPr>
            <w:tcW w:type="dxa" w:w="3660"/>
            <w:tcBorders>
              <w:top w:val="single" w:color="CCCCCC" w:sz="1"/>
              <w:left w:val="single" w:color="CCCCCC" w:sz="1"/>
              <w:bottom w:val="single" w:color="CCCCCC" w:sz="1"/>
              <w:right w:val="single" w:color="CCCCCC" w:sz="1"/>
            </w:tcBorders>
            <w:vAlign w:val="center"/>
          </w:tcPr>
          <w:p>
            <w:r>
              <w:rPr>
                <w:b w:val="false"/>
                <w:bCs w:val="false"/>
                <w:sz w:val="18"/>
                <w:szCs w:val="18"/>
              </w:rPr>
              <w:t xml:space="preserve">action_hash + policy reference + initiator in the signed context; WebAuthn rp_id for the relying party</w:t>
            </w:r>
          </w:p>
        </w:tc>
      </w:tr>
      <w:tr>
        <w:tc>
          <w:tcPr>
            <w:tcW w:type="dxa" w:w="2040"/>
            <w:tcBorders>
              <w:top w:val="single" w:color="CCCCCC" w:sz="1"/>
              <w:left w:val="single" w:color="CCCCCC" w:sz="1"/>
              <w:bottom w:val="single" w:color="CCCCCC" w:sz="1"/>
              <w:right w:val="single" w:color="CCCCCC" w:sz="1"/>
            </w:tcBorders>
            <w:vAlign w:val="center"/>
          </w:tcPr>
          <w:p>
            <w:r>
              <w:rPr>
                <w:b/>
                <w:bCs/>
                <w:sz w:val="18"/>
                <w:szCs w:val="18"/>
              </w:rPr>
              <w:t xml:space="preserve">Replay key</w:t>
            </w:r>
          </w:p>
        </w:tc>
        <w:tc>
          <w:tcPr>
            <w:tcW w:type="dxa" w:w="3660"/>
            <w:tcBorders>
              <w:top w:val="single" w:color="CCCCCC" w:sz="1"/>
              <w:left w:val="single" w:color="CCCCCC" w:sz="1"/>
              <w:bottom w:val="single" w:color="CCCCCC" w:sz="1"/>
              <w:right w:val="single" w:color="CCCCCC" w:sz="1"/>
            </w:tcBorders>
            <w:vAlign w:val="center"/>
          </w:tcPr>
          <w:p>
            <w:r>
              <w:rPr>
                <w:b w:val="false"/>
                <w:bCs w:val="false"/>
                <w:sz w:val="18"/>
                <w:szCs w:val="18"/>
              </w:rPr>
              <w:t xml:space="preserve">jti + per-scope strictly-increasing counter</w:t>
            </w:r>
          </w:p>
        </w:tc>
        <w:tc>
          <w:tcPr>
            <w:tcW w:type="dxa" w:w="3660"/>
            <w:tcBorders>
              <w:top w:val="single" w:color="CCCCCC" w:sz="1"/>
              <w:left w:val="single" w:color="CCCCCC" w:sz="1"/>
              <w:bottom w:val="single" w:color="CCCCCC" w:sz="1"/>
              <w:right w:val="single" w:color="CCCCCC" w:sz="1"/>
            </w:tcBorders>
            <w:vAlign w:val="center"/>
          </w:tcPr>
          <w:p>
            <w:r>
              <w:rPr>
                <w:b w:val="false"/>
                <w:bCs w:val="false"/>
                <w:sz w:val="18"/>
                <w:szCs w:val="18"/>
              </w:rPr>
              <w:t xml:space="preserve">128-bit CSPRNG nonce — the consumption key</w:t>
            </w:r>
          </w:p>
        </w:tc>
      </w:tr>
      <w:tr>
        <w:tc>
          <w:tcPr>
            <w:tcW w:type="dxa" w:w="2040"/>
            <w:tcBorders>
              <w:top w:val="single" w:color="CCCCCC" w:sz="1"/>
              <w:left w:val="single" w:color="CCCCCC" w:sz="1"/>
              <w:bottom w:val="single" w:color="CCCCCC" w:sz="1"/>
              <w:right w:val="single" w:color="CCCCCC" w:sz="1"/>
            </w:tcBorders>
            <w:vAlign w:val="center"/>
          </w:tcPr>
          <w:p>
            <w:r>
              <w:rPr>
                <w:b/>
                <w:bCs/>
                <w:sz w:val="18"/>
                <w:szCs w:val="18"/>
              </w:rPr>
              <w:t xml:space="preserve">One-time state</w:t>
            </w:r>
          </w:p>
        </w:tc>
        <w:tc>
          <w:tcPr>
            <w:tcW w:type="dxa" w:w="3660"/>
            <w:tcBorders>
              <w:top w:val="single" w:color="CCCCCC" w:sz="1"/>
              <w:left w:val="single" w:color="CCCCCC" w:sz="1"/>
              <w:bottom w:val="single" w:color="CCCCCC" w:sz="1"/>
              <w:right w:val="single" w:color="CCCCCC" w:sz="1"/>
            </w:tcBorders>
            <w:vAlign w:val="center"/>
          </w:tcPr>
          <w:p>
            <w:r>
              <w:rPr>
                <w:b w:val="false"/>
                <w:bCs w:val="false"/>
                <w:sz w:val="18"/>
                <w:szCs w:val="18"/>
              </w:rPr>
              <w:t xml:space="preserve">Counter compare-advance + jti finalization in one atomic transaction; replay terminally refused</w:t>
            </w:r>
          </w:p>
        </w:tc>
        <w:tc>
          <w:tcPr>
            <w:tcW w:type="dxa" w:w="3660"/>
            <w:tcBorders>
              <w:top w:val="single" w:color="CCCCCC" w:sz="1"/>
              <w:left w:val="single" w:color="CCCCCC" w:sz="1"/>
              <w:bottom w:val="single" w:color="CCCCCC" w:sz="1"/>
              <w:right w:val="single" w:color="CCCCCC" w:sz="1"/>
            </w:tcBorders>
            <w:vAlign w:val="center"/>
          </w:tcPr>
          <w:p>
            <w:r>
              <w:rPr>
                <w:b w:val="false"/>
                <w:bCs w:val="false"/>
                <w:sz w:val="18"/>
                <w:szCs w:val="18"/>
              </w:rPr>
              <w:t xml:space="preserve">Consumed at most once, globally; consumed/refused is terminal — same property, enforced differently</w:t>
            </w:r>
          </w:p>
        </w:tc>
      </w:tr>
      <w:tr>
        <w:tc>
          <w:tcPr>
            <w:tcW w:type="dxa" w:w="2040"/>
            <w:tcBorders>
              <w:top w:val="single" w:color="CCCCCC" w:sz="1"/>
              <w:left w:val="single" w:color="CCCCCC" w:sz="1"/>
              <w:bottom w:val="single" w:color="CCCCCC" w:sz="1"/>
              <w:right w:val="single" w:color="CCCCCC" w:sz="1"/>
            </w:tcBorders>
            <w:vAlign w:val="center"/>
          </w:tcPr>
          <w:p>
            <w:r>
              <w:rPr>
                <w:b/>
                <w:bCs/>
                <w:sz w:val="18"/>
                <w:szCs w:val="18"/>
              </w:rPr>
              <w:t xml:space="preserve">Trust root</w:t>
            </w:r>
          </w:p>
        </w:tc>
        <w:tc>
          <w:tcPr>
            <w:tcW w:type="dxa" w:w="3660"/>
            <w:tcBorders>
              <w:top w:val="single" w:color="CCCCCC" w:sz="1"/>
              <w:left w:val="single" w:color="CCCCCC" w:sz="1"/>
              <w:bottom w:val="single" w:color="CCCCCC" w:sz="1"/>
              <w:right w:val="single" w:color="CCCCCC" w:sz="1"/>
            </w:tcBorders>
            <w:vAlign w:val="center"/>
          </w:tcPr>
          <w:p>
            <w:r>
              <w:rPr>
                <w:b w:val="false"/>
                <w:bCs w:val="false"/>
                <w:sz w:val="18"/>
                <w:szCs w:val="18"/>
              </w:rPr>
              <w:t xml:space="preserve">Platform key-attestation chain — never the operator</w:t>
            </w:r>
          </w:p>
        </w:tc>
        <w:tc>
          <w:tcPr>
            <w:tcW w:type="dxa" w:w="3660"/>
            <w:tcBorders>
              <w:top w:val="single" w:color="CCCCCC" w:sz="1"/>
              <w:left w:val="single" w:color="CCCCCC" w:sz="1"/>
              <w:bottom w:val="single" w:color="CCCCCC" w:sz="1"/>
              <w:right w:val="single" w:color="CCCCCC" w:sz="1"/>
            </w:tcBorders>
            <w:vAlign w:val="center"/>
          </w:tcPr>
          <w:p>
            <w:r>
              <w:rPr>
                <w:b w:val="false"/>
                <w:bCs w:val="false"/>
                <w:sz w:val="18"/>
                <w:szCs w:val="18"/>
              </w:rPr>
              <w:t xml:space="preserve">Signed Approver Directory — never the operator</w:t>
            </w:r>
          </w:p>
        </w:tc>
      </w:tr>
      <w:tr>
        <w:tc>
          <w:tcPr>
            <w:tcW w:type="dxa" w:w="2040"/>
            <w:tcBorders>
              <w:top w:val="single" w:color="CCCCCC" w:sz="1"/>
              <w:left w:val="single" w:color="CCCCCC" w:sz="1"/>
              <w:bottom w:val="single" w:color="CCCCCC" w:sz="1"/>
              <w:right w:val="single" w:color="CCCCCC" w:sz="1"/>
            </w:tcBorders>
            <w:vAlign w:val="center"/>
          </w:tcPr>
          <w:p>
            <w:r>
              <w:rPr>
                <w:b/>
                <w:bCs/>
                <w:sz w:val="18"/>
                <w:szCs w:val="18"/>
              </w:rPr>
              <w:t xml:space="preserve">Relying-party result</w:t>
            </w:r>
          </w:p>
        </w:tc>
        <w:tc>
          <w:tcPr>
            <w:tcW w:type="dxa" w:w="3660"/>
            <w:tcBorders>
              <w:top w:val="single" w:color="CCCCCC" w:sz="1"/>
              <w:left w:val="single" w:color="CCCCCC" w:sz="1"/>
              <w:bottom w:val="single" w:color="CCCCCC" w:sz="1"/>
              <w:right w:val="single" w:color="CCCCCC" w:sz="1"/>
            </w:tcBorders>
            <w:vAlign w:val="center"/>
          </w:tcPr>
          <w:p>
            <w:r>
              <w:rPr>
                <w:b w:val="false"/>
                <w:bCs w:val="false"/>
                <w:sz w:val="18"/>
                <w:szCs w:val="18"/>
              </w:rPr>
              <w:t xml:space="preserve">Integrity-protected Attestation Result gating the action (normative). [deployment] synchronous-vs-deferred submission is per-deployment policy</w:t>
            </w:r>
          </w:p>
        </w:tc>
        <w:tc>
          <w:tcPr>
            <w:tcW w:type="dxa" w:w="3660"/>
            <w:tcBorders>
              <w:top w:val="single" w:color="CCCCCC" w:sz="1"/>
              <w:left w:val="single" w:color="CCCCCC" w:sz="1"/>
              <w:bottom w:val="single" w:color="CCCCCC" w:sz="1"/>
              <w:right w:val="single" w:color="CCCCCC" w:sz="1"/>
            </w:tcBorders>
            <w:vAlign w:val="center"/>
          </w:tcPr>
          <w:p>
            <w:r>
              <w:rPr>
                <w:b w:val="false"/>
                <w:bCs w:val="false"/>
                <w:sz w:val="18"/>
                <w:szCs w:val="18"/>
              </w:rPr>
              <w:t xml:space="preserve">Offline-verifiable Trust Receipt (signed authorization + consumption record + Merkle anchor)</w:t>
            </w:r>
          </w:p>
        </w:tc>
      </w:tr>
      <w:tr>
        <w:tc>
          <w:tcPr>
            <w:tcW w:type="dxa" w:w="2040"/>
            <w:tcBorders>
              <w:top w:val="single" w:color="CCCCCC" w:sz="1"/>
              <w:left w:val="single" w:color="CCCCCC" w:sz="1"/>
              <w:bottom w:val="single" w:color="CCCCCC" w:sz="1"/>
              <w:right w:val="single" w:color="CCCCCC" w:sz="1"/>
            </w:tcBorders>
            <w:vAlign w:val="center"/>
          </w:tcPr>
          <w:p>
            <w:r>
              <w:rPr>
                <w:b/>
                <w:bCs/>
                <w:sz w:val="18"/>
                <w:szCs w:val="18"/>
              </w:rPr>
              <w:t xml:space="preserve">Conformance boundary (offline / server-state)</w:t>
            </w:r>
          </w:p>
        </w:tc>
        <w:tc>
          <w:tcPr>
            <w:tcW w:type="dxa" w:w="3660"/>
            <w:tcBorders>
              <w:top w:val="single" w:color="CCCCCC" w:sz="1"/>
              <w:left w:val="single" w:color="CCCCCC" w:sz="1"/>
              <w:bottom w:val="single" w:color="CCCCCC" w:sz="1"/>
              <w:right w:val="single" w:color="CCCCCC" w:sz="1"/>
            </w:tcBorders>
            <w:vAlign w:val="center"/>
          </w:tcPr>
          <w:p>
            <w:r>
              <w:rPr>
                <w:b w:val="false"/>
                <w:bCs w:val="false"/>
                <w:sz w:val="18"/>
                <w:szCs w:val="18"/>
              </w:rPr>
              <w:t xml:space="preserve">Offline-checkable: signature, action-binding, audience, UV. Verifier-state: replay (jti/counter), enrollment-active, revocation</w:t>
            </w:r>
          </w:p>
        </w:tc>
        <w:tc>
          <w:tcPr>
            <w:tcW w:type="dxa" w:w="3660"/>
            <w:tcBorders>
              <w:top w:val="single" w:color="CCCCCC" w:sz="1"/>
              <w:left w:val="single" w:color="CCCCCC" w:sz="1"/>
              <w:bottom w:val="single" w:color="CCCCCC" w:sz="1"/>
              <w:right w:val="single" w:color="CCCCCC" w:sz="1"/>
            </w:tcBorders>
            <w:vAlign w:val="center"/>
          </w:tcPr>
          <w:p>
            <w:r>
              <w:rPr>
                <w:b w:val="false"/>
                <w:bCs w:val="false"/>
                <w:sz w:val="18"/>
                <w:szCs w:val="18"/>
              </w:rPr>
              <w:t xml:space="preserve">Offline-checkable: signature, action-binding, audience, UV. Verifier-state: replay (nonce consumption), enrollment-active, revocation</w:t>
            </w:r>
          </w:p>
        </w:tc>
      </w:tr>
      <w:tr>
        <w:tc>
          <w:tcPr>
            <w:tcW w:type="dxa" w:w="2040"/>
            <w:tcBorders>
              <w:top w:val="single" w:color="CCCCCC" w:sz="1"/>
              <w:left w:val="single" w:color="CCCCCC" w:sz="1"/>
              <w:bottom w:val="single" w:color="CCCCCC" w:sz="1"/>
              <w:right w:val="single" w:color="CCCCCC" w:sz="1"/>
            </w:tcBorders>
            <w:vAlign w:val="center"/>
          </w:tcPr>
          <w:p>
            <w:r>
              <w:rPr>
                <w:b/>
                <w:bCs/>
                <w:sz w:val="18"/>
                <w:szCs w:val="18"/>
              </w:rPr>
              <w:t xml:space="preserve">Enforcement / deployment</w:t>
            </w:r>
          </w:p>
        </w:tc>
        <w:tc>
          <w:tcPr>
            <w:tcW w:type="dxa" w:w="3660"/>
            <w:tcBorders>
              <w:top w:val="single" w:color="CCCCCC" w:sz="1"/>
              <w:left w:val="single" w:color="CCCCCC" w:sz="1"/>
              <w:bottom w:val="single" w:color="CCCCCC" w:sz="1"/>
              <w:right w:val="single" w:color="CCCCCC" w:sz="1"/>
            </w:tcBorders>
            <w:vAlign w:val="center"/>
          </w:tcPr>
          <w:p>
            <w:r>
              <w:rPr>
                <w:b w:val="false"/>
                <w:bCs w:val="false"/>
                <w:sz w:val="18"/>
                <w:szCs w:val="18"/>
              </w:rPr>
              <w:t xml:space="preserve">[deployment] psea_tier is a signed opaque claim bound into the cross-replay check; the tier value space and app-&gt;level mapping are deployment policy, not fixed in -02</w:t>
            </w:r>
          </w:p>
        </w:tc>
        <w:tc>
          <w:tcPr>
            <w:tcW w:type="dxa" w:w="3660"/>
            <w:tcBorders>
              <w:top w:val="single" w:color="CCCCCC" w:sz="1"/>
              <w:left w:val="single" w:color="CCCCCC" w:sz="1"/>
              <w:bottom w:val="single" w:color="CCCCCC" w:sz="1"/>
              <w:right w:val="single" w:color="CCCCCC" w:sz="1"/>
            </w:tcBorders>
            <w:vAlign w:val="center"/>
          </w:tcPr>
          <w:p>
            <w:r>
              <w:rPr>
                <w:b w:val="false"/>
                <w:bCs w:val="false"/>
                <w:sz w:val="18"/>
                <w:szCs w:val="18"/>
              </w:rPr>
              <w:t xml:space="preserve">Key custody is normative: Class A device-bound (recommended) vs Class C operator-custodied (legacy). [deployment] execution-side enforcement is the strongest deployment, not mandated</w:t>
            </w:r>
          </w:p>
        </w:tc>
      </w:tr>
      <w:tr>
        <w:tc>
          <w:tcPr>
            <w:tcW w:type="dxa" w:w="2040"/>
            <w:tcBorders>
              <w:top w:val="single" w:color="CCCCCC" w:sz="1"/>
              <w:left w:val="single" w:color="CCCCCC" w:sz="1"/>
              <w:bottom w:val="single" w:color="CCCCCC" w:sz="1"/>
              <w:right w:val="single" w:color="CCCCCC" w:sz="1"/>
            </w:tcBorders>
            <w:vAlign w:val="center"/>
          </w:tcPr>
          <w:p>
            <w:r>
              <w:rPr>
                <w:b/>
                <w:bCs/>
                <w:sz w:val="18"/>
                <w:szCs w:val="18"/>
              </w:rPr>
              <w:t xml:space="preserve">Residual risk (stated)</w:t>
            </w:r>
          </w:p>
        </w:tc>
        <w:tc>
          <w:tcPr>
            <w:tcW w:type="dxa" w:w="3660"/>
            <w:tcBorders>
              <w:top w:val="single" w:color="CCCCCC" w:sz="1"/>
              <w:left w:val="single" w:color="CCCCCC" w:sz="1"/>
              <w:bottom w:val="single" w:color="CCCCCC" w:sz="1"/>
              <w:right w:val="single" w:color="CCCCCC" w:sz="1"/>
            </w:tcBorders>
            <w:vAlign w:val="center"/>
          </w:tcPr>
          <w:p>
            <w:r>
              <w:rPr>
                <w:b w:val="false"/>
                <w:bCs w:val="false"/>
                <w:sz w:val="18"/>
                <w:szCs w:val="18"/>
              </w:rPr>
              <w:t xml:space="preserve">WYSIWYS / display integrity and natural-person identity — both explicitly out of scope</w:t>
            </w:r>
          </w:p>
        </w:tc>
        <w:tc>
          <w:tcPr>
            <w:tcW w:type="dxa" w:w="3660"/>
            <w:tcBorders>
              <w:top w:val="single" w:color="CCCCCC" w:sz="1"/>
              <w:left w:val="single" w:color="CCCCCC" w:sz="1"/>
              <w:bottom w:val="single" w:color="CCCCCC" w:sz="1"/>
              <w:right w:val="single" w:color="CCCCCC" w:sz="1"/>
            </w:tcBorders>
            <w:vAlign w:val="center"/>
          </w:tcPr>
          <w:p>
            <w:r>
              <w:rPr>
                <w:b w:val="false"/>
                <w:bCs w:val="false"/>
                <w:sz w:val="18"/>
                <w:szCs w:val="18"/>
              </w:rPr>
              <w:t xml:space="preserve">Presentation attack / WYSIWYS and key-revocation timing — stated, not claimed solved</w:t>
            </w:r>
          </w:p>
        </w:tc>
      </w:tr>
    </w:tbl>
    <w:p>
      <w:pPr>
        <w:spacing w:after="120"/>
      </w:pPr>
      <w:r>
        <w:t xml:space="preserve"/>
      </w:r>
    </w:p>
    <w:p>
      <w:pPr>
        <w:spacing w:after="120"/>
        <w:rPr>
          <w:i/>
          <w:iCs/>
        </w:rPr>
      </w:pPr>
      <w:r>
        <w:rPr>
          <w:i/>
          <w:iCs/>
        </w:rPr>
        <w:t xml:space="preserve">The two per-action profiles differ on assurance tier (dedicated hardware attestation vs commodity authenticators) and on scope (enrollment + separation of duties specified vs left to deployment). Same decision matrix, same fail-closed invariant.</w:t>
      </w:r>
    </w:p>
    <w:p>
      <w:pPr>
        <w:pStyle w:val="Heading1"/>
      </w:pPr>
      <w:r>
        <w:t xml:space="preserve">5. The independent efforts, at comparable depth</w:t>
      </w:r>
    </w:p>
    <w:p>
      <w:pPr>
        <w:spacing w:after="120"/>
      </w:pPr>
      <w:r>
        <w:t xml:space="preserve">Each entry states implementation status, conformance evidence, and deployment in the same terms, so the note reads as a survey rather than a brief for any one effort: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10"/>
          <w:bottom w:type="dxa" w:w="70"/>
          <w:right w:type="dxa" w:w="110"/>
        </w:tblCellMar>
      </w:tblPr>
      <w:tblGrid>
        <w:gridCol w:w="2040"/>
        <w:gridCol w:w="7320"/>
      </w:tblGrid>
      <w:tr>
        <w:trPr>
          <w:tblHeader/>
        </w:trPr>
        <w:tc>
          <w:tcPr>
            <w:tcW w:type="dxa" w:w="2040"/>
            <w:tcBorders>
              <w:top w:val="single" w:color="CCCCCC" w:sz="1"/>
              <w:left w:val="single" w:color="CCCCCC" w:sz="1"/>
              <w:bottom w:val="single" w:color="CCCCCC" w:sz="1"/>
              <w:right w:val="single" w:color="CCCCCC" w:sz="1"/>
            </w:tcBorders>
            <w:shd w:fill="EFEFEF" w:val="clear"/>
            <w:vAlign w:val="center"/>
          </w:tcPr>
          <w:p>
            <w:r>
              <w:rPr>
                <w:b/>
                <w:bCs/>
                <w:sz w:val="18"/>
                <w:szCs w:val="18"/>
              </w:rPr>
              <w:t xml:space="preserve">Effort</w:t>
            </w:r>
          </w:p>
        </w:tc>
        <w:tc>
          <w:tcPr>
            <w:tcW w:type="dxa" w:w="7320"/>
            <w:tcBorders>
              <w:top w:val="single" w:color="CCCCCC" w:sz="1"/>
              <w:left w:val="single" w:color="CCCCCC" w:sz="1"/>
              <w:bottom w:val="single" w:color="CCCCCC" w:sz="1"/>
              <w:right w:val="single" w:color="CCCCCC" w:sz="1"/>
            </w:tcBorders>
            <w:shd w:fill="EFEFEF" w:val="clear"/>
            <w:vAlign w:val="center"/>
          </w:tcPr>
          <w:p>
            <w:r>
              <w:rPr>
                <w:b/>
                <w:bCs/>
                <w:sz w:val="18"/>
                <w:szCs w:val="18"/>
              </w:rPr>
              <w:t xml:space="preserve">Implementation status / conformance evidence / deployment (same terms for each)</w:t>
            </w:r>
          </w:p>
        </w:tc>
      </w:tr>
      <w:tr>
        <w:tc>
          <w:tcPr>
            <w:tcW w:type="dxa" w:w="2040"/>
            <w:tcBorders>
              <w:top w:val="single" w:color="CCCCCC" w:sz="1"/>
              <w:left w:val="single" w:color="CCCCCC" w:sz="1"/>
              <w:bottom w:val="single" w:color="CCCCCC" w:sz="1"/>
              <w:right w:val="single" w:color="CCCCCC" w:sz="1"/>
            </w:tcBorders>
            <w:vAlign w:val="center"/>
          </w:tcPr>
          <w:p>
            <w:r>
              <w:rPr>
                <w:b/>
                <w:bCs/>
                <w:sz w:val="18"/>
                <w:szCs w:val="18"/>
              </w:rPr>
              <w:t xml:space="preserve">PSEA (draft-yossif-psea)</w:t>
            </w:r>
          </w:p>
        </w:tc>
        <w:tc>
          <w:tcPr>
            <w:tcW w:type="dxa" w:w="7320"/>
            <w:tcBorders>
              <w:top w:val="single" w:color="CCCCCC" w:sz="1"/>
              <w:left w:val="single" w:color="CCCCCC" w:sz="1"/>
              <w:bottom w:val="single" w:color="CCCCCC" w:sz="1"/>
              <w:right w:val="single" w:color="CCCCCC" w:sz="1"/>
            </w:tcBorders>
            <w:vAlign w:val="center"/>
          </w:tcPr>
          <w:p>
            <w:r>
              <w:rPr>
                <w:b w:val="false"/>
                <w:bCs w:val="false"/>
                <w:sz w:val="18"/>
                <w:szCs w:val="18"/>
              </w:rPr>
              <w:t xml:space="preserve">Reference implementation across two major mobile platforms plus a deployed backend verifier; cross-platform golden vectors lock canonicalization byte-for-byte (Appendix A of -02); a negative-case set exists.</w:t>
            </w:r>
          </w:p>
        </w:tc>
      </w:tr>
      <w:tr>
        <w:tc>
          <w:tcPr>
            <w:tcW w:type="dxa" w:w="2040"/>
            <w:tcBorders>
              <w:top w:val="single" w:color="CCCCCC" w:sz="1"/>
              <w:left w:val="single" w:color="CCCCCC" w:sz="1"/>
              <w:bottom w:val="single" w:color="CCCCCC" w:sz="1"/>
              <w:right w:val="single" w:color="CCCCCC" w:sz="1"/>
            </w:tcBorders>
            <w:vAlign w:val="center"/>
          </w:tcPr>
          <w:p>
            <w:r>
              <w:rPr>
                <w:b/>
                <w:bCs/>
                <w:sz w:val="18"/>
                <w:szCs w:val="18"/>
              </w:rPr>
              <w:t xml:space="preserve">EP (draft-schrock-ep-...)</w:t>
            </w:r>
          </w:p>
        </w:tc>
        <w:tc>
          <w:tcPr>
            <w:tcW w:type="dxa" w:w="7320"/>
            <w:tcBorders>
              <w:top w:val="single" w:color="CCCCCC" w:sz="1"/>
              <w:left w:val="single" w:color="CCCCCC" w:sz="1"/>
              <w:bottom w:val="single" w:color="CCCCCC" w:sz="1"/>
              <w:right w:val="single" w:color="CCCCCC" w:sz="1"/>
            </w:tcBorders>
            <w:vAlign w:val="center"/>
          </w:tcPr>
          <w:p>
            <w:r>
              <w:rPr>
                <w:b w:val="false"/>
                <w:bCs w:val="false"/>
                <w:sz w:val="18"/>
                <w:szCs w:val="18"/>
              </w:rPr>
              <w:t xml:space="preserve">Reference verifiers in JavaScript, Python, and Go, proven interoperable on shared vectors and independently reproduced by a list participant; a Class-A signoff negative-vector battery tagged by failure class; offline + browser verifiers; suite public.</w:t>
            </w:r>
          </w:p>
        </w:tc>
      </w:tr>
      <w:tr>
        <w:tc>
          <w:tcPr>
            <w:tcW w:type="dxa" w:w="2040"/>
            <w:tcBorders>
              <w:top w:val="single" w:color="CCCCCC" w:sz="1"/>
              <w:left w:val="single" w:color="CCCCCC" w:sz="1"/>
              <w:bottom w:val="single" w:color="CCCCCC" w:sz="1"/>
              <w:right w:val="single" w:color="CCCCCC" w:sz="1"/>
            </w:tcBorders>
            <w:vAlign w:val="center"/>
          </w:tcPr>
          <w:p>
            <w:r>
              <w:rPr>
                <w:b/>
                <w:bCs/>
                <w:sz w:val="18"/>
                <w:szCs w:val="18"/>
              </w:rPr>
              <w:t xml:space="preserve">DRP (draft-nelson-...)</w:t>
            </w:r>
          </w:p>
        </w:tc>
        <w:tc>
          <w:tcPr>
            <w:tcW w:type="dxa" w:w="7320"/>
            <w:tcBorders>
              <w:top w:val="single" w:color="CCCCCC" w:sz="1"/>
              <w:left w:val="single" w:color="CCCCCC" w:sz="1"/>
              <w:bottom w:val="single" w:color="CCCCCC" w:sz="1"/>
              <w:right w:val="single" w:color="CCCCCC" w:sz="1"/>
            </w:tcBorders>
            <w:vAlign w:val="center"/>
          </w:tcPr>
          <w:p>
            <w:r>
              <w:rPr>
                <w:b w:val="false"/>
                <w:bCs w:val="false"/>
                <w:sz w:val="18"/>
                <w:szCs w:val="18"/>
              </w:rPr>
              <w:t xml:space="preserve">Individual draft (-05); user-signed delegation-receipt construction. Public conformance evidence: to be confirmed with the authors.</w:t>
            </w:r>
          </w:p>
        </w:tc>
      </w:tr>
      <w:tr>
        <w:tc>
          <w:tcPr>
            <w:tcW w:type="dxa" w:w="2040"/>
            <w:tcBorders>
              <w:top w:val="single" w:color="CCCCCC" w:sz="1"/>
              <w:left w:val="single" w:color="CCCCCC" w:sz="1"/>
              <w:bottom w:val="single" w:color="CCCCCC" w:sz="1"/>
              <w:right w:val="single" w:color="CCCCCC" w:sz="1"/>
            </w:tcBorders>
            <w:vAlign w:val="center"/>
          </w:tcPr>
          <w:p>
            <w:r>
              <w:rPr>
                <w:b/>
                <w:bCs/>
                <w:sz w:val="18"/>
                <w:szCs w:val="18"/>
              </w:rPr>
              <w:t xml:space="preserve">ScopeBlind</w:t>
            </w:r>
          </w:p>
        </w:tc>
        <w:tc>
          <w:tcPr>
            <w:tcW w:type="dxa" w:w="7320"/>
            <w:tcBorders>
              <w:top w:val="single" w:color="CCCCCC" w:sz="1"/>
              <w:left w:val="single" w:color="CCCCCC" w:sz="1"/>
              <w:bottom w:val="single" w:color="CCCCCC" w:sz="1"/>
              <w:right w:val="single" w:color="CCCCCC" w:sz="1"/>
            </w:tcBorders>
            <w:vAlign w:val="center"/>
          </w:tcPr>
          <w:p>
            <w:r>
              <w:rPr>
                <w:b w:val="false"/>
                <w:bCs w:val="false"/>
                <w:sz w:val="18"/>
                <w:szCs w:val="18"/>
              </w:rPr>
              <w:t xml:space="preserve">Agent-action receipt format + Cedar policy + public conformance test vectors and tooling; the receipt format also appears as a contributed lesson in Microsoft ai-agents-for-beginners curriculum.</w:t>
            </w:r>
          </w:p>
        </w:tc>
      </w:tr>
    </w:tbl>
    <w:p>
      <w:pPr>
        <w:spacing w:after="120"/>
      </w:pPr>
      <w:r>
        <w:t xml:space="preserve"/>
      </w:r>
    </w:p>
    <w:p>
      <w:pPr>
        <w:spacing w:after="120"/>
        <w:rPr>
          <w:color w:val="444444"/>
          <w:sz w:val="20"/>
          <w:szCs w:val="20"/>
        </w:rPr>
      </w:pPr>
      <w:r>
        <w:rPr>
          <w:color w:val="444444"/>
          <w:sz w:val="20"/>
          <w:szCs w:val="20"/>
        </w:rPr>
        <w:t xml:space="preserve">Adjacent, non-IETF: academic receiver-attested-receipt work; broader agent-security curricula now teaching cryptographic receipts — evidence of wider pull.</w:t>
      </w:r>
    </w:p>
    <w:p>
      <w:pPr>
        <w:pStyle w:val="Heading1"/>
      </w:pPr>
      <w:r>
        <w:t xml:space="preserve">6. Out of scope for all of them (honest boundary)</w:t>
      </w:r>
    </w:p>
    <w:p>
      <w:pPr>
        <w:spacing w:after="120"/>
      </w:pPr>
      <w:r>
        <w:t xml:space="preserve">What-you-see-is-what-you-sign / display integrity; proof of a natural-person identity; the surrounding OAuth step-up / authorization policy — unless a profile explicitly layers it in. These boundaries keep the work complementary to OAuth and RATS/EAT rather than competing with them.</w:t>
      </w:r>
    </w:p>
    <w:p>
      <w:pPr>
        <w:pStyle w:val="Heading1"/>
      </w:pPr>
      <w:r>
        <w:t xml:space="preserve">7. The dispatch question</w:t>
      </w:r>
    </w:p>
    <w:p>
      <w:pPr>
        <w:spacing w:after="120"/>
      </w:pPr>
      <w:r>
        <w:t xml:space="preserve">Narrowly: is there a stable, verifier-oriented problem statement worth dispatching — a shared authorization-evidence / fail-closed-verifier core (the processing model, the reject-before-mutation invariant, the offline/server-state boundary, and the failure taxonomy above) on which PSEA, EP, DRP, and ScopeBlind sit as profiles or adjacent instantiations? The question is deliberately NOT whether the community should normalize every profile into a single representation. Candidate venues for discussion: a focused side-meeting or BoF; existing-WG adoption (OAuth for the step-up adjacency, RATS for the EAT-profile adjacency); or continued individual submissions on a shared conformance basis. The authors are not asking for a specific outcome — only that independent convergence on the verifier-side problem suggests it is real and coordinatable.</w:t>
      </w:r>
    </w:p>
    <w:p>
      <w:pPr>
        <w:pStyle w:val="Heading1"/>
      </w:pPr>
      <w:r>
        <w:t xml:space="preserve">Acknowledgment</w:t>
      </w:r>
    </w:p>
    <w:p>
      <w:pPr>
        <w:spacing w:after="120"/>
      </w:pPr>
      <w:r>
        <w:t xml:space="preserve">The verifier processing model, failure-class grouping, decision-matrix axes, and the normative-layer reading convention were developed with Songbo Bu on the SECDISPATCH list (June 2026), and the PSEA column and corrections were supplied by Mohamad Khalil-Yossif. Gratefully acknowledged.</w:t>
      </w:r>
    </w:p>
    <w:p>
      <w:pPr>
        <w:pStyle w:val="Heading1"/>
      </w:pPr>
      <w:r>
        <w:t xml:space="preserve">Appendix: pointers</w:t>
      </w:r>
    </w:p>
    <w:p>
      <w:pPr>
        <w:pStyle w:val="ListParagraph"/>
        <w:numPr>
          <w:ilvl w:val="0"/>
          <w:numId w:val="2"/>
        </w:numPr>
      </w:pPr>
      <w:r>
        <w:t xml:space="preserve">draft-yossif-psea — datatracker.ietf.org/doc/draft-yossif-psea/ (canonical + negative vectors: Appendix A)</w:t>
      </w:r>
    </w:p>
    <w:p>
      <w:pPr>
        <w:pStyle w:val="ListParagraph"/>
        <w:numPr>
          <w:ilvl w:val="0"/>
          <w:numId w:val="2"/>
        </w:numPr>
      </w:pPr>
      <w:r>
        <w:t xml:space="preserve">draft-schrock-ep-authorization-receipts — datatracker.ietf.org/doc/draft-schrock-ep-authorization-receipts/ · conformance vectors + offline/browser verifiers: github.com/emiliaprotocol/emilia-protocol (CONFORMANCE.md)</w:t>
      </w:r>
    </w:p>
    <w:p>
      <w:pPr>
        <w:pStyle w:val="ListParagraph"/>
        <w:numPr>
          <w:ilvl w:val="0"/>
          <w:numId w:val="2"/>
        </w:numPr>
      </w:pPr>
      <w:r>
        <w:t xml:space="preserve">draft-nelson-agent-delegation-receipts — datatracker</w:t>
      </w:r>
    </w:p>
    <w:p>
      <w:pPr>
        <w:pStyle w:val="ListParagraph"/>
        <w:numPr>
          <w:ilvl w:val="0"/>
          <w:numId w:val="2"/>
        </w:numPr>
      </w:pPr>
      <w:r>
        <w:t xml:space="preserve">ScopeBlind conformance test vectors — github.com/ScopeBlind/agent-governance-testvectors</w:t>
      </w:r>
    </w:p>
    <w:p>
      <w:pPr>
        <w:spacing w:after="120"/>
      </w:pPr>
      <w:r>
        <w:t xml:space="preserve"/>
      </w:r>
    </w:p>
    <w:p>
      <w:pPr>
        <w:spacing w:after="120"/>
        <w:rPr>
          <w:color w:val="888888"/>
          <w:sz w:val="18"/>
          <w:szCs w:val="18"/>
        </w:rPr>
      </w:pPr>
      <w:r>
        <w:rPr>
          <w:color w:val="888888"/>
          <w:sz w:val="18"/>
          <w:szCs w:val="18"/>
        </w:rPr>
        <w:t xml:space="preserve">Changes v1.1 -&gt; v1.2: PSEA column replaced with the author normative -02 content + his deployment-vs-normative corrections; added the offline/server-state conformance-boundary row and the reject-before-mutation invariant in section 3; added the parallel implementation-status table (section 5) and trimmed EP toward parity; added the normative-layer reading convention; narrowed the dispatch question; folded the Microsoft reference into the ScopeBlind entry.</w:t>
      </w:r>
    </w:p>
    <w:sectPr>
      <w:pgSz w:w="11906" w:h="16838"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before="120"/>
    </w:pPr>
    <w:rPr>
      <w:rFonts w:ascii="Arial" w:cs="Arial" w:eastAsia="Arial" w:hAnsi="Arial"/>
      <w:b/>
      <w:bCs/>
      <w:sz w:val="40"/>
      <w:szCs w:val="4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Subtle">
    <w:name w:val="Subtle"/>
    <w:basedOn w:val="Normal"/>
    <w:pPr>
      <w:spacing w:after="240"/>
    </w:pPr>
    <w:rPr>
      <w:i/>
      <w:iCs/>
      <w:color w:val="66666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2026-06-11T14:12:13.703Z</dcterms:created>
  <dcterms:modified xsi:type="dcterms:W3CDTF">2026-06-11T14:12:13.704Z</dcterms:modified>
</cp:coreProperties>
</file>

<file path=docProps/custom.xml><?xml version="1.0" encoding="utf-8"?>
<Properties xmlns="http://schemas.openxmlformats.org/officeDocument/2006/custom-properties" xmlns:vt="http://schemas.openxmlformats.org/officeDocument/2006/docPropsVTypes"/>
</file>