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00"/>
        <w:ind w:right="0" w:left="0" w:firstLine="0"/>
        <w:jc w:val="center"/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48"/>
          <w:shd w:fill="auto" w:val="clear"/>
        </w:rPr>
        <w:t xml:space="preserve">  臺灣證券交易所網路資訊商店</w:t>
      </w:r>
    </w:p>
    <w:p>
      <w:pPr>
        <w:spacing w:before="0" w:after="0" w:line="600"/>
        <w:ind w:right="0" w:left="0" w:firstLine="0"/>
        <w:jc w:val="center"/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48"/>
          <w:shd w:fill="auto" w:val="clear"/>
        </w:rPr>
        <w:t xml:space="preserve">資訊檔案格式</w:t>
      </w:r>
    </w:p>
    <w:p>
      <w:pPr>
        <w:spacing w:before="0" w:after="0" w:line="600"/>
        <w:ind w:right="0" w:left="0" w:firstLine="0"/>
        <w:jc w:val="center"/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44"/>
          <w:shd w:fill="auto" w:val="clear"/>
        </w:rPr>
        <w:t xml:space="preserve">TWSE Data E-Shop File Formats</w:t>
      </w:r>
    </w:p>
    <w:p>
      <w:pPr>
        <w:spacing w:before="0" w:after="0" w:line="240"/>
        <w:ind w:right="0" w:left="0" w:firstLine="0"/>
        <w:jc w:val="left"/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28"/>
          <w:shd w:fill="auto" w:val="clear"/>
        </w:rPr>
        <w:t xml:space="preserve">檔案名稱：</w:t>
      </w:r>
      <w:r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  <w:t xml:space="preserve"> 成交檔  </w:t>
      </w:r>
    </w:p>
    <w:p>
      <w:pPr>
        <w:spacing w:before="0" w:after="0" w:line="240"/>
        <w:ind w:right="0" w:left="0" w:firstLine="0"/>
        <w:jc w:val="left"/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28"/>
          <w:shd w:fill="auto" w:val="clear"/>
        </w:rPr>
        <w:t xml:space="preserve">Name：</w:t>
      </w:r>
      <w:r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  <w:t xml:space="preserve">  Securities intra-day data with order type</w:t>
      </w:r>
    </w:p>
    <w:p>
      <w:pPr>
        <w:spacing w:before="0" w:after="0" w:line="240"/>
        <w:ind w:right="0" w:left="0" w:firstLine="0"/>
        <w:jc w:val="left"/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28"/>
          <w:shd w:fill="auto" w:val="clear"/>
        </w:rPr>
        <w:t xml:space="preserve">傳輸檔案名稱：</w:t>
      </w:r>
      <w:r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  <w:t xml:space="preserve">mthyyyymmdd</w:t>
      </w:r>
    </w:p>
    <w:p>
      <w:pPr>
        <w:spacing w:before="0" w:after="0" w:line="240"/>
        <w:ind w:right="0" w:left="0" w:firstLine="0"/>
        <w:jc w:val="left"/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28"/>
          <w:shd w:fill="auto" w:val="clear"/>
        </w:rPr>
        <w:t xml:space="preserve">Download file：</w:t>
      </w:r>
      <w:r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  <w:t xml:space="preserve">mthyyyymmdd</w:t>
      </w:r>
    </w:p>
    <w:p>
      <w:pPr>
        <w:spacing w:before="0" w:after="0" w:line="240"/>
        <w:ind w:right="0" w:left="0" w:firstLine="0"/>
        <w:jc w:val="left"/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000000"/>
          <w:spacing w:val="0"/>
          <w:position w:val="0"/>
          <w:sz w:val="28"/>
          <w:shd w:fill="auto" w:val="clear"/>
        </w:rPr>
        <w:t xml:space="preserve">檔案長度/Record length：</w:t>
      </w:r>
      <w:r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  <w:t xml:space="preserve">63 BYTES</w:t>
      </w:r>
    </w:p>
    <w:p>
      <w:pPr>
        <w:spacing w:before="0" w:after="0" w:line="240"/>
        <w:ind w:right="0" w:left="0" w:firstLine="0"/>
        <w:jc w:val="both"/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3370"/>
        <w:gridCol w:w="1483"/>
        <w:gridCol w:w="3334"/>
        <w:gridCol w:w="2189"/>
      </w:tblGrid>
      <w:tr>
        <w:trPr>
          <w:trHeight w:val="840" w:hRule="auto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380"/>
              <w:ind w:right="0" w:left="0" w:firstLine="0"/>
              <w:jc w:val="center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項目名稱</w:t>
            </w:r>
          </w:p>
          <w:p>
            <w:pPr>
              <w:spacing w:before="0" w:after="0" w:line="3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Fields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380"/>
              <w:ind w:right="0" w:left="0" w:firstLine="0"/>
              <w:jc w:val="center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屬性</w:t>
            </w:r>
          </w:p>
          <w:p>
            <w:pPr>
              <w:spacing w:before="0" w:after="0" w:line="3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Type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380"/>
              <w:ind w:right="0" w:left="0" w:firstLine="0"/>
              <w:jc w:val="center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位置-長度</w:t>
            </w:r>
          </w:p>
          <w:p>
            <w:pPr>
              <w:spacing w:before="0" w:after="0" w:line="3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Position-Length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380"/>
              <w:ind w:right="0" w:left="0" w:firstLine="0"/>
              <w:jc w:val="center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說明</w:t>
            </w:r>
          </w:p>
          <w:p>
            <w:pPr>
              <w:spacing w:before="0" w:after="0" w:line="3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780" w:hRule="auto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成交日期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9(08)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 1-   8  == 0-7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證券代號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Securities Code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X(06)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 9-   6 == 8-13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買賣別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BUY-SELL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X(01)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15-  1 == 14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B：買/BUY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S：賣/SELL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交易種類代號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Trade Type Code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X(01)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16-  1 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0：普通  /Regular Trading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1：鉅額/Block Trading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2：零股/Odd-lot Trading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成交時間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Trade Time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X(08)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17-  8 == 16-23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成交序號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Trade Number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9(08)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25-  8 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成交及委託檔連結代碼二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Order Number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8"/>
                <w:shd w:fill="auto" w:val="clear"/>
              </w:rPr>
              <w:t xml:space="preserve">Ⅱ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X(05)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33-  5 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該證券商委託書編號。因委託與成交為一對多關係，如有需要知道該筆委託的相對應成交紀錄，可用此欄位連接。(但因提供的成交資料已經過錯帳調整與綜合帳戶重分配作業，並非每一筆成交資料都有相對應的委託)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The serial number of the brokerage order ticket. Since the commission and the transaction are one-to-many, if you need to know the corresponding transaction record of the commission, you can use this field to connect. However, out-trade had carried out and the omnibus accounts was re-allocated, so not every transaction has a corresponding entrustment.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成交價格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Trade Price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X(07)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38-  7 == 37-43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成交股數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Trade Volume(share)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9(09)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45-  9 == 44-52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成交回報印表機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Trading Report Print 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9(04)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54-  4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委託種類代號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Order Type Code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9(01)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58-  1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0：現券/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1：證金公司辦理融資/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Purchase on Margin Via Securities Finance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2：證金公司辦理融券/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Short Sell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Via Securities Finance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3：證券公司辦理融資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Purchase on Margin Via Securities Firms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4：證券公司辦理融券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Short Sell Via Securities Firms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5：借券賣出（一般）/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Security Lending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(No Hedge)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6：借券賣出（避險）/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Security Lending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(Hedge)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投資人屬性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Type of Investor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X(01)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59-  1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M：投信基金/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Securities Investment Trust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F：外資/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Foreign Investors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 I：自然人 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Natural-person Investors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J：其他一般法人/Others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成交及委託檔連結代碼一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Order Number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8"/>
                <w:shd w:fill="auto" w:val="clear"/>
              </w:rPr>
              <w:t xml:space="preserve">Ⅰ</w:t>
            </w:r>
          </w:p>
        </w:tc>
        <w:tc>
          <w:tcPr>
            <w:tcW w:w="148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X(04)</w:t>
            </w:r>
          </w:p>
        </w:tc>
        <w:tc>
          <w:tcPr>
            <w:tcW w:w="3334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60-  4</w:t>
            </w:r>
          </w:p>
        </w:tc>
        <w:tc>
          <w:tcPr>
            <w:tcW w:w="21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證券商代號(重新編碼後之證券商代號)。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Securities Code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(Recoded)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</w:pPr>
      <w:r>
        <w:rPr>
          <w:rFonts w:ascii="微軟正黑體" w:hAnsi="微軟正黑體" w:cs="微軟正黑體" w:eastAsia="微軟正黑體"/>
          <w:color w:val="000000"/>
          <w:spacing w:val="0"/>
          <w:position w:val="0"/>
          <w:sz w:val="28"/>
          <w:shd w:fill="auto" w:val="clear"/>
        </w:rPr>
        <w:t xml:space="preserve">檔案格式制修一覽表</w:t>
      </w:r>
    </w:p>
    <w:tbl>
      <w:tblPr/>
      <w:tblGrid>
        <w:gridCol w:w="1384"/>
        <w:gridCol w:w="2410"/>
        <w:gridCol w:w="6662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中文名稱</w:t>
            </w:r>
          </w:p>
        </w:tc>
        <w:tc>
          <w:tcPr>
            <w:tcW w:w="9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成交檔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編號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修正日期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制修內容摘要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2018/11/27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8"/>
                <w:shd w:fill="auto" w:val="clear"/>
              </w:rPr>
              <w:t xml:space="preserve">重新檢視格式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微軟正黑體" w:hAnsi="微軟正黑體" w:cs="微軟正黑體" w:eastAsia="微軟正黑體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微軟正黑體" w:hAnsi="微軟正黑體" w:cs="微軟正黑體" w:eastAsia="微軟正黑體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軟正黑體" w:hAnsi="微軟正黑體" w:cs="微軟正黑體" w:eastAsia="微軟正黑體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