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布林通道</w:t>
      </w: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RSI</w:t>
      </w: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MACD線</w:t>
      </w: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KD指標</w:t>
      </w: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MFI</w:t>
        <w:br/>
      </w: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[ RSI ]</w: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object w:dxaOrig="8524" w:dyaOrig="2307">
          <v:rect xmlns:o="urn:schemas-microsoft-com:office:office" xmlns:v="urn:schemas-microsoft-com:vml" id="rectole0000000000" style="width:426.200000pt;height:11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object w:dxaOrig="8524" w:dyaOrig="2307">
          <v:rect xmlns:o="urn:schemas-microsoft-com:office:office" xmlns:v="urn:schemas-microsoft-com:vml" id="rectole0000000001" style="width:426.200000pt;height:11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[ MFI ]</w: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若股價在創新高時，MFI沒有跟著創新高，則為轉弱訊號，下跌即將開始(即多方力道無法跟著創新高)。</w: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若股價在創新低時，MFI沒有跟著創新低，則為轉強訊號，上漲即將開始(即空方力道無法跟著創新高)。</w: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將MFI曲線低點連線，若是呈上升趨勢，表示目前為多頭市場；將高點相連，若呈下降趨勢，則為空頭。後面三點，僅作為參考即可，實際狀況常有出入。</w: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  <w:t xml:space="preserve">MFI指標的“背離”訊號，比RSI指標的“背離”訊號,更能忠實的反應股價的反轉現象。</w: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object w:dxaOrig="8310" w:dyaOrig="2729">
          <v:rect xmlns:o="urn:schemas-microsoft-com:office:office" xmlns:v="urn:schemas-microsoft-com:vml" id="rectole0000000002" style="width:415.500000pt;height:136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  <w:r>
        <w:object w:dxaOrig="8310" w:dyaOrig="2729">
          <v:rect xmlns:o="urn:schemas-microsoft-com:office:office" xmlns:v="urn:schemas-microsoft-com:vml" id="rectole0000000003" style="width:415.500000pt;height:136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新細明體" w:hAnsi="新細明體" w:cs="新細明體" w:eastAsia="新細明體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