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HOOD – ROBINHOOD MARKETS INC - A</w:t>
      </w:r>
    </w:p>
    <w:p>
      <w:r>
        <w:t>Bucket: .CRYPTO</w:t>
      </w:r>
    </w:p>
    <w:p>
      <w:r>
        <w:t>Bucket Symbol: .CRYPTO</w:t>
      </w:r>
    </w:p>
    <w:p>
      <w:r>
        <w:t>Side: Long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.CRYPTO_Bucket_Thesis.docx (see Mosaic/02_Buckets/.CRYPTO/)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Transaction_revenue</w:t>
            </w:r>
          </w:p>
        </w:tc>
        <w:tc>
          <w:tcPr>
            <w:tcW w:type="dxa" w:w="1728"/>
          </w:tcPr>
          <w:p>
            <w:r>
              <w:t>Transaction Revenue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Trading_volume</w:t>
            </w:r>
          </w:p>
        </w:tc>
        <w:tc>
          <w:tcPr>
            <w:tcW w:type="dxa" w:w="1728"/>
          </w:tcPr>
          <w:p>
            <w:r>
              <w:t>Trading 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Assets_held</w:t>
            </w:r>
          </w:p>
        </w:tc>
        <w:tc>
          <w:tcPr>
            <w:tcW w:type="dxa" w:w="1728"/>
          </w:tcPr>
          <w:p>
            <w:r>
              <w:t>Assets Held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