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SJM – JM SMUCKER CO/THE</w:t>
      </w:r>
    </w:p>
    <w:p>
      <w:r>
        <w:t>Bucket: .MAHA</w:t>
      </w:r>
    </w:p>
    <w:p>
      <w:r>
        <w:t>Bucket Symbol: .MAHA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.MAHA_Bucket_Thesis.docx (see Mosaic/02_Buckets/.MAHA/)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>
              <w:t>Gross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884"/>
          </w:tcPr>
          <w:p>
            <w:r>
              <w:t>ebitda_margins</w:t>
            </w:r>
          </w:p>
        </w:tc>
        <w:tc>
          <w:tcPr>
            <w:tcW w:type="dxa" w:w="1728"/>
          </w:tcPr>
          <w:p>
            <w:r>
              <w:t>EBITDA Margins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>
        <w:tc>
          <w:tcPr>
            <w:tcW w:type="dxa" w:w="1884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>
              <w:t>EBIT/DA margins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