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50D31CC1" ns2:textId="77777777" w:rsidR="00FA3775" w:rsidRDefault="00000000">
      <w:pPr>
        <w:pStyle w:val="Heading1"/>
      </w:pPr>
      <w:r>
        <w:t>STZ – CONSTELLATION BRANDS INC-A</w:t>
      </w:r>
    </w:p>
    <w:p ns2:paraId="4E030163" ns2:textId="77777777" w:rsidR="00FA3775" w:rsidRDefault="00000000">
      <w:r>
        <w:t>Bucket: .MAHA</w:t>
      </w:r>
    </w:p>
    <w:p ns2:paraId="645914AB" ns2:textId="77777777" w:rsidR="00FA3775" w:rsidRDefault="00000000">
      <w:r>
        <w:t>Bucket Symbol: .MAHA</w:t>
      </w:r>
    </w:p>
    <w:p ns2:paraId="487ADEEE" ns2:textId="77777777" w:rsidR="00FA3775" w:rsidRDefault="00000000">
      <w:r>
        <w:t>Side: Short</w:t>
      </w:r>
    </w:p>
    <w:p ns2:paraId="2CC71F23" ns2:textId="321D6A27" w:rsidR="00FA3775" w:rsidRDefault="00000000">
      <w:r>
        <w:rPr>
          <w:b/>
        </w:rPr>
        <w:t xml:space="preserve">Last Updated: </w:t>
      </w:r>
      <w:r w:rsidR="00D6731B">
        <w:t>2/17/2026</w:t>
      </w:r>
    </w:p>
    <w:p ns2:paraId="6E0250E9" ns2:textId="77777777" w:rsidR="00FA3775" w:rsidRDefault="00FA3775"/>
    <w:p ns2:paraId="69E6FA9F" ns2:textId="77777777" w:rsidR="00FA3775" w:rsidRDefault="00000000">
      <w:r>
        <w:t>Bucket thesis file: .MAHA_Bucket_Thesis.docx (see Mosaic/02_Buckets/.MAHA/)</w:t>
      </w:r>
    </w:p>
    <w:p ns2:paraId="5D2988E4" ns2:textId="7EAB5378" w:rsidR="00FA3775" w:rsidRDefault="00D6731B">
      <w:pPr>
        <w:pStyle w:val="Heading1"/>
      </w:pPr>
      <w:r>
        <w:t>202</w:t>
      </w:r>
      <w:r w:rsidR="00ED4BA4">
        <w:t>5</w:t>
      </w:r>
      <w:r>
        <w:t xml:space="preserve"> Q3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3775" ns2:paraId="47B4C32E" ns2:textId="77777777">
        <w:tc>
          <w:tcPr>
            <w:tcW w:w="2880" w:type="dxa"/>
          </w:tcPr>
          <w:p ns2:paraId="1D757895" ns2:textId="6D470C08" w:rsidR="00FA3775" w:rsidRDefault="00000000">
            <w:r>
              <w:t xml:space="preserve">Date: </w:t>
            </w:r>
            <w:r w:rsidR="00D6731B">
              <w:t>10/7/2025</w:t>
            </w:r>
          </w:p>
        </w:tc>
        <w:tc>
          <w:tcPr>
            <w:tcW w:w="2880" w:type="dxa"/>
          </w:tcPr>
          <w:p ns2:paraId="3E9FB93B" ns2:textId="17CCBD46" w:rsidR="00FA3775" w:rsidRDefault="00000000">
            <w:r>
              <w:t xml:space="preserve">Source: </w:t>
            </w:r>
            <w:r w:rsidR="00D6731B">
              <w:t>Company</w:t>
            </w:r>
          </w:p>
        </w:tc>
        <w:tc>
          <w:tcPr>
            <w:tcW w:w="2880" w:type="dxa"/>
          </w:tcPr>
          <w:p ns2:paraId="1091E2C1" ns2:textId="0D64687A" w:rsidR="00FA3775" w:rsidRDefault="00000000">
            <w:r>
              <w:t xml:space="preserve">Fiscal Period: </w:t>
            </w:r>
            <w:r w:rsidR="00ED4BA4">
              <w:t xml:space="preserve">2026 </w:t>
            </w:r>
            <w:r w:rsidR="00D6731B">
              <w:t>Q2</w:t>
            </w:r>
          </w:p>
        </w:tc>
      </w:tr>
    </w:tbl>
    <w:p ns2:paraId="7CB096F8" ns2:textId="77777777" w:rsidR="00FA3775" w:rsidRDefault="00FA3775"/>
    <w:p ns2:paraId="1D9CB171" ns2:textId="77777777" w:rsidR="00FA3775" w:rsidRDefault="00000000">
      <w:pPr>
        <w:pStyle w:val="Heading2"/>
      </w:pPr>
      <w:r>
        <w:t>Market Reaction [AUTOFILL]</w:t>
      </w:r>
    </w:p>
    <w:p ns2:paraId="1F4FED95" ns2:textId="77777777" w:rsidR="00FA3775" w:rsidRDefault="00000000">
      <w:r>
        <w:t>Window: [-2D to +2D]</w:t>
      </w:r>
    </w:p>
    <w:p ns2:paraId="585A2313" ns2:textId="77777777" w:rsidR="00FA3775" w:rsidRDefault="00000000">
      <w:r>
        <w:t>Absolute Return: [AUTOFILL]</w:t>
      </w:r>
    </w:p>
    <w:p ns2:paraId="150087B7" ns2:textId="77777777" w:rsidR="00FA3775" w:rsidRDefault="00000000">
      <w:r>
        <w:t>Relative to Benchmark: [AUTOFILL] (Benchmark: [SPY/IYT/XLI/etc])</w:t>
      </w:r>
    </w:p>
    <w:p ns2:paraId="50633BF7" ns2:textId="77777777" w:rsidR="00FA3775" w:rsidRDefault="00FA3775"/>
    <w:p ns2:paraId="0A004D53" ns2:textId="77777777" w:rsidR="00FA3775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FA3775" ns2:paraId="52BAA40C" ns2:textId="77777777">
        <w:tc>
          <w:tcPr>
            <w:tcW w:w="1728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FA3775" ns2:paraId="52A39E37" ns2:textId="77777777"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-7%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-500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FA3775" ns2:paraId="12DFFFBB" ns2:textId="77777777"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-8.7%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-540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FA3775" ns2:paraId="3F32D006" ns2:textId="77777777"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FA3775" ns2:paraId="5AC74D78" ns2:textId="77777777"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52.8%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+100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FA3775" ns2:paraId="698FA1A0" ns2:textId="77777777"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35.7%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-160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4638541C" ns2:textId="77777777" w:rsidR="00FA3775" w:rsidRDefault="00FA3775"/>
    <w:p ns2:paraId="05434C91" ns2:textId="77777777" w:rsidR="00420E20" w:rsidRDefault="00420E20" w:rsidP="00420E20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420E20" ns2:paraId="5B33FE4A" ns2:textId="77777777" w:rsidTr="0048319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420E20" ns2:paraId="5183D0A6" ns2:textId="77777777" w:rsidTr="0048319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>
              <w:t>-2.7%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-10 bps Q/Q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420E20" ns2:paraId="499DC453" ns2:textId="77777777" w:rsidTr="0048319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420E20" ns2:paraId="3E4DC961" ns2:textId="77777777" w:rsidTr="0048319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420E20" ns2:paraId="25B9DD58" ns2:textId="77777777" w:rsidTr="0048319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420E20" ns2:paraId="65286EAC" ns2:textId="77777777" w:rsidTr="0048319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5B2AB74B" ns2:textId="77777777" w:rsidR="00420E20" w:rsidRDefault="00420E20" w:rsidP="00420E20"/>
    <w:p ns2:paraId="25D6C07B" ns2:textId="77777777" w:rsidR="00420E20" w:rsidRDefault="00420E20" w:rsidP="00420E20"/>
    <w:p ns2:paraId="10C69DED" ns2:textId="77777777" w:rsidR="00420E20" w:rsidRDefault="00420E20" w:rsidP="00420E20"/>
    <w:p ns2:paraId="6FA2A3D7" ns2:textId="77777777" w:rsidR="00420E20" w:rsidRDefault="00420E20"/>
    <w:p ns2:paraId="79FF9FF8" ns2:textId="4E6694DB" w:rsidR="00FA3775" w:rsidRDefault="00000000">
      <w:pPr>
        <w:pStyle w:val="Heading2"/>
      </w:pPr>
      <w:r>
        <w:t>Changes to Outlook / Guidance</w:t>
      </w:r>
    </w:p>
    <w:p ns2:paraId="0EA1F105" ns2:textId="70934F46" w:rsidR="00FA3775" w:rsidRDefault="00FA3775" w:rsidP="00C77D1A">
      <w:pPr>
        <w:pStyle w:val="ListBullet"/>
      </w:pPr>
    </w:p>
    <w:p ns2:paraId="75A7FEB7" ns2:textId="77777777" w:rsidR="00FA3775" w:rsidRDefault="00000000">
      <w:pPr>
        <w:pStyle w:val="Heading2"/>
      </w:pPr>
      <w:r>
        <w:t>What Changed vs Prior Quarter (Max 3)</w:t>
      </w:r>
    </w:p>
    <w:p ns2:paraId="48E3B1A2" ns2:textId="627ECD74" w:rsidR="00FA3775" w:rsidRDefault="00C77D1A">
      <w:pPr>
        <w:pStyle w:val="ListBullet"/>
      </w:pPr>
      <w:r>
        <w:t>Gross margin improvement</w:t>
      </w:r>
    </w:p>
    <w:p ns2:paraId="62227721" ns2:textId="62E2EBB3" w:rsidR="00FA3775" w:rsidRDefault="0015192E">
      <w:pPr>
        <w:pStyle w:val="ListBullet"/>
      </w:pPr>
      <w:r>
        <w:t>Inventory de-load in Q2</w:t>
      </w:r>
    </w:p>
    <w:p ns2:paraId="5F4120AD" ns2:textId="2749CAE8" w:rsidR="00FA3775" w:rsidRDefault="00000000">
      <w:pPr>
        <w:pStyle w:val="ListBullet"/>
      </w:pPr>
      <w:r>
        <w:t xml:space="preserve"> </w:t>
      </w:r>
    </w:p>
    <w:p ns2:paraId="608F7812" ns2:textId="77777777" w:rsidR="00FA3775" w:rsidRDefault="00000000">
      <w:pPr>
        <w:pStyle w:val="Heading2"/>
      </w:pPr>
      <w:r>
        <w:t>Thesis Confirmation</w:t>
      </w:r>
    </w:p>
    <w:p ns2:paraId="7AFE219A" ns2:textId="008A388F" w:rsidR="00FA3775" w:rsidRDefault="0015192E">
      <w:pPr>
        <w:pStyle w:val="ListBullet"/>
      </w:pPr>
      <w:r>
        <w:t>Depletions still worsening</w:t>
      </w:r>
      <w:r w:rsidR="00000000">
        <w:t xml:space="preserve"> </w:t>
      </w:r>
    </w:p>
    <w:p ns2:paraId="025C13B3" ns2:textId="77777777" w:rsidR="00FA3775" w:rsidRDefault="00000000">
      <w:pPr>
        <w:pStyle w:val="ListBullet"/>
      </w:pPr>
      <w:r>
        <w:t xml:space="preserve">• </w:t>
      </w:r>
    </w:p>
    <w:p ns2:paraId="216C6C28" ns2:textId="77777777" w:rsidR="00FA3775" w:rsidRDefault="00000000">
      <w:pPr>
        <w:pStyle w:val="ListBullet"/>
      </w:pPr>
      <w:r>
        <w:t xml:space="preserve">• </w:t>
      </w:r>
    </w:p>
    <w:p ns2:paraId="577E01DD" ns2:textId="77777777" w:rsidR="00FA3775" w:rsidRDefault="00000000">
      <w:pPr>
        <w:pStyle w:val="Heading2"/>
      </w:pPr>
      <w:r>
        <w:t>Thesis Risks</w:t>
      </w:r>
    </w:p>
    <w:p ns2:paraId="181A6922" ns2:textId="655AB7AD" w:rsidR="00FA3775" w:rsidRDefault="00B47B7C">
      <w:pPr>
        <w:pStyle w:val="ListBullet"/>
      </w:pPr>
      <w:r>
        <w:t>Management does not see evidence of GLP-1s headwind</w:t>
      </w:r>
      <w:r w:rsidR="00000000">
        <w:t xml:space="preserve"> </w:t>
      </w:r>
    </w:p>
    <w:p ns2:paraId="483FFBC4" ns2:textId="77777777" w:rsidR="00FA3775" w:rsidRDefault="00000000">
      <w:pPr>
        <w:pStyle w:val="ListBullet"/>
      </w:pPr>
      <w:r>
        <w:t xml:space="preserve">• </w:t>
      </w:r>
    </w:p>
    <w:p ns2:paraId="59AA73CE" ns2:textId="77777777" w:rsidR="00FA3775" w:rsidRDefault="00000000">
      <w:pPr>
        <w:pStyle w:val="ListBullet"/>
      </w:pPr>
      <w:r>
        <w:t xml:space="preserve">• </w:t>
      </w:r>
    </w:p>
    <w:p ns2:paraId="7B298B5C" ns2:textId="77777777" w:rsidR="00FA3775" w:rsidRDefault="00000000">
      <w:pPr>
        <w:pStyle w:val="Heading2"/>
      </w:pPr>
      <w:r>
        <w:t>Other Idiosyncratic / Temporary Factors</w:t>
      </w:r>
    </w:p>
    <w:p ns2:paraId="03D44D59" ns2:textId="4A9B59FB" w:rsidR="00FA3775" w:rsidRDefault="00ED4BA4">
      <w:pPr>
        <w:pStyle w:val="ListBullet"/>
      </w:pPr>
      <w:r>
        <w:t>Facing demand headwinds amongst Hispanic consumers, unclear what percentage of depletion declines related to overall category weakness vs Hispanic demand.</w:t>
      </w:r>
    </w:p>
    <w:p ns2:paraId="02A80BCE" ns2:textId="77777777" w:rsidR="00FA3775" w:rsidRDefault="00000000">
      <w:pPr>
        <w:pStyle w:val="ListBullet"/>
      </w:pPr>
      <w:r>
        <w:t xml:space="preserve">• </w:t>
      </w:r>
    </w:p>
    <w:p ns2:paraId="03D9815B" ns2:textId="77777777" w:rsidR="00FA3775" w:rsidRDefault="00000000">
      <w:pPr>
        <w:pStyle w:val="Heading2"/>
      </w:pPr>
      <w:r>
        <w:t>Diligence Questions</w:t>
      </w:r>
    </w:p>
    <w:p ns2:paraId="4A443748" ns2:textId="77777777" w:rsidR="00FA3775" w:rsidRDefault="00000000">
      <w:pPr>
        <w:pStyle w:val="ListBullet"/>
      </w:pPr>
      <w:r>
        <w:t xml:space="preserve">• </w:t>
      </w:r>
    </w:p>
    <w:p ns2:paraId="3609B0F8" ns2:textId="77777777" w:rsidR="00FA3775" w:rsidRDefault="00000000">
      <w:pPr>
        <w:pStyle w:val="ListBullet"/>
      </w:pPr>
      <w:r>
        <w:t xml:space="preserve">• </w:t>
      </w:r>
    </w:p>
    <w:p ns2:paraId="2CD6F343" ns2:textId="77777777" w:rsidR="00FA3775" w:rsidRDefault="00000000">
      <w:pPr>
        <w:pStyle w:val="Heading2"/>
      </w:pPr>
      <w:r>
        <w:t>New Ideas / Adjacent Themes</w:t>
      </w:r>
    </w:p>
    <w:p ns2:paraId="4D3F0AA9" ns2:textId="77777777" w:rsidR="00FA3775" w:rsidRDefault="00000000">
      <w:pPr>
        <w:pStyle w:val="ListBullet"/>
      </w:pPr>
      <w:r>
        <w:t xml:space="preserve">• </w:t>
      </w:r>
    </w:p>
    <w:p ns2:paraId="0688CD84" ns2:textId="77777777" w:rsidR="00FA3775" w:rsidRDefault="00000000">
      <w:pPr>
        <w:pStyle w:val="ListBullet"/>
      </w:pPr>
      <w:r>
        <w:t xml:space="preserve">• </w:t>
      </w:r>
    </w:p>
    <w:p ns2:paraId="4940E571" ns2:textId="77777777" w:rsidR="00FA3775" w:rsidRDefault="00FA3775"/>
    <w:p ns2:paraId="59AF0B7F" ns2:textId="77777777" w:rsidR="00FA3775" w:rsidRDefault="00000000">
      <w:pPr>
        <w:pStyle w:val="Heading2"/>
      </w:pPr>
      <w:r>
        <w:t>Thesis Progress</w:t>
      </w:r>
    </w:p>
    <w:p ns2:paraId="2B58F31C" ns2:textId="0F05C261" w:rsidR="00FA3775" w:rsidRDefault="00000000">
      <w:r>
        <w:t xml:space="preserve">Signal (select one):  </w:t>
      </w:r>
      <w:r w:rsidR="00303C16">
        <w:t>●</w:t>
      </w:r>
      <w:r>
        <w:t xml:space="preserve"> Green    </w:t>
      </w:r>
      <w:r w:rsidR="00303C16">
        <w:t>○</w:t>
      </w:r>
      <w:r>
        <w:t xml:space="preserve"> Yellow    ○ Red    ○ Unknown</w:t>
      </w:r>
    </w:p>
    <w:p ns2:paraId="0E734933" ns2:textId="77777777" w:rsidR="00FA3775" w:rsidRDefault="00000000">
      <w:r>
        <w:lastRenderedPageBreak/>
        <w:t>Tip: replace the chosen circle with "●" (filled circle).</w:t>
      </w:r>
    </w:p>
    <w:p ns2:paraId="77CBDCB3" ns2:textId="77777777" w:rsidR="00FA3775" w:rsidRDefault="00000000">
      <w:r>
        <w:rPr>
          <w:b/>
        </w:rPr>
        <w:t xml:space="preserve">One-Line Rationale (Required): </w:t>
      </w:r>
    </w:p>
    <w:p ns2:paraId="62DEC18D" ns2:textId="1B2CB61D" w:rsidR="00FA3775" w:rsidRDefault="00ED4BA4">
      <w:r>
        <w:t>Depletions down confirm continued category pressure</w:t>
      </w:r>
      <w:r w:rsidR="00303C16">
        <w:t>, and despite gross margin improvements, operating margins still compressing.</w:t>
      </w:r>
    </w:p>
    <w:p ns2:paraId="16B42840" ns2:textId="77777777" w:rsidR="00FA3775" w:rsidRDefault="00000000">
      <w:pPr>
        <w:pStyle w:val="Heading2"/>
      </w:pPr>
      <w:r>
        <w:t>Fail Point Check</w:t>
      </w:r>
    </w:p>
    <w:p ns2:paraId="1878D38D" ns2:textId="77777777" w:rsidR="00FA3775" w:rsidRDefault="00000000">
      <w:r>
        <w:t>For SHORT theses: list POSITIVE developments that threaten the short. For LONG theses: list NEGATIVE developments that threaten the long.</w:t>
      </w:r>
    </w:p>
    <w:p ns2:paraId="6E5899D1" ns2:textId="77777777" w:rsidR="00FA3775" w:rsidRDefault="00000000">
      <w:r>
        <w:t>Macro / Thesis Drivers:</w:t>
      </w:r>
    </w:p>
    <w:p ns2:paraId="5811DFB6" ns2:textId="77777777" w:rsidR="00FA3775" w:rsidRDefault="00000000">
      <w:pPr>
        <w:pStyle w:val="ListBullet"/>
      </w:pPr>
      <w:r>
        <w:t xml:space="preserve">• </w:t>
      </w:r>
    </w:p>
    <w:p ns2:paraId="40C01B77" ns2:textId="77777777" w:rsidR="00FA3775" w:rsidRDefault="00000000">
      <w:r>
        <w:t>Execution / Company Drivers:</w:t>
      </w:r>
    </w:p>
    <w:p ns2:paraId="24EA6F9C" ns2:textId="77777777" w:rsidR="00FA3775" w:rsidRDefault="00000000">
      <w:pPr>
        <w:pStyle w:val="ListBullet"/>
      </w:pPr>
      <w:r>
        <w:t xml:space="preserve">• </w:t>
      </w:r>
    </w:p>
    <w:p ns2:paraId="50C8832C" ns2:textId="77777777" w:rsidR="00FA3775" w:rsidRDefault="00000000">
      <w:r>
        <w:t>Structural Break Emerging:</w:t>
      </w:r>
    </w:p>
    <w:p ns2:paraId="375CFE1C" ns2:textId="77777777" w:rsidR="00FA3775" w:rsidRDefault="00000000">
      <w:pPr>
        <w:pStyle w:val="ListBullet"/>
      </w:pPr>
      <w:r>
        <w:t xml:space="preserve">• </w:t>
      </w:r>
    </w:p>
    <w:p ns2:paraId="3D055F27" ns2:textId="59D902B3" w:rsidR="00000000" w:rsidRDefault="00ED4BA4">
      <w:pPr>
        <w:pStyle w:val="Heading1"/>
      </w:pPr>
      <w:r>
        <w:t>2025</w:t>
      </w:r>
      <w:r w:rsidR="00000000">
        <w:t xml:space="preserve"> Q</w:t>
      </w:r>
      <w:r>
        <w:t>4</w:t>
      </w:r>
      <w:r w:rsidR="00000000">
        <w:t xml:space="preserve">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024F14A2" w:rsidR="00000000" w:rsidRDefault="00000000">
            <w:r>
              <w:t xml:space="preserve">Date: </w:t>
            </w:r>
            <w:r w:rsidR="00ED4BA4">
              <w:t>1/8/2026</w:t>
            </w:r>
          </w:p>
        </w:tc>
        <w:tc>
          <w:tcPr>
            <w:tcW w:w="2880" w:type="dxa"/>
          </w:tcPr>
          <w:p ns2:paraId="7834042E" ns2:textId="6E286083" w:rsidR="00000000" w:rsidRDefault="00000000">
            <w:r>
              <w:t xml:space="preserve">Source: </w:t>
            </w:r>
            <w:r w:rsidR="00ED4BA4">
              <w:t>Company</w:t>
            </w:r>
          </w:p>
        </w:tc>
        <w:tc>
          <w:tcPr>
            <w:tcW w:w="2880" w:type="dxa"/>
          </w:tcPr>
          <w:p ns2:paraId="7E91577C" ns2:textId="22384969" w:rsidR="00000000" w:rsidRDefault="00000000">
            <w:r>
              <w:t xml:space="preserve">Fiscal Period: </w:t>
            </w:r>
            <w:r w:rsidR="00ED4BA4">
              <w:t>2026 Q3</w:t>
            </w:r>
          </w:p>
        </w:tc>
      </w:tr>
    </w:tbl>
    <w:p ns2:paraId="3DF442C1" ns2:textId="77777777" w:rsidR="00000000" w:rsidRDefault="00000000"/>
    <w:p ns2:paraId="5EB1B430" ns2:textId="77777777" w:rsidR="00000000" w:rsidRDefault="00000000">
      <w:pPr>
        <w:pStyle w:val="Heading2"/>
      </w:pPr>
      <w:r>
        <w:t>Market Reaction [AUTOFILL]</w:t>
      </w:r>
    </w:p>
    <w:p ns2:paraId="625A799D" ns2:textId="77777777" w:rsidR="00000000" w:rsidRDefault="00000000">
      <w:r>
        <w:t>Window: [-2D to +2D]</w:t>
      </w:r>
    </w:p>
    <w:p ns2:paraId="43F8769E" ns2:textId="77777777" w:rsidR="00000000" w:rsidRDefault="00000000">
      <w:r>
        <w:t>Absolute Return: [AUTOFILL]</w:t>
      </w:r>
    </w:p>
    <w:p ns2:paraId="2DEB6B88" ns2:textId="77777777" w:rsidR="00000000" w:rsidRDefault="00000000">
      <w:r>
        <w:t>Relative to Benchmark: [AUTOFILL] (Benchmark: [SPY/IYT/XLI/etc])</w:t>
      </w:r>
    </w:p>
    <w:p ns2:paraId="3B891BF8" ns2:textId="77777777" w:rsidR="00000000" w:rsidRDefault="00000000"/>
    <w:p ns2:paraId="1602D196" ns2:textId="77777777" w:rsidR="00000000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-2%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+600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-2.2%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+650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53.2%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+467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33.2%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+60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000000" w:rsidRDefault="00000000" w:rsidP="00186C4C"/>
    <w:p ns2:paraId="1DDF3DF6" ns2:textId="77777777" w:rsidR="001858F4" w:rsidRDefault="001858F4" w:rsidP="00186C4C"/>
    <w:p ns2:paraId="48107303" ns2:textId="0BAE5CA1" w:rsidR="00000000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>
              <w:t>-3%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-30 bps Q/Q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000000" w:rsidRDefault="00000000" w:rsidP="00186C4C"/>
    <w:p ns2:paraId="3A69E87B" ns2:textId="77777777" w:rsidR="00000000" w:rsidRDefault="00000000"/>
    <w:p ns2:paraId="0C088656" ns2:textId="77777777" w:rsidR="00000000" w:rsidRDefault="00000000">
      <w:pPr>
        <w:pStyle w:val="Heading2"/>
      </w:pPr>
      <w:r>
        <w:t>Changes to Outlook / Guidance</w:t>
      </w:r>
    </w:p>
    <w:p ns2:paraId="77D2B2F4" ns2:textId="29804BED" w:rsidR="00000000" w:rsidRDefault="00000000">
      <w:pPr>
        <w:pStyle w:val="ListBullet"/>
      </w:pPr>
    </w:p>
    <w:p ns2:paraId="692822A4" ns2:textId="77777777" w:rsidR="00000000" w:rsidRDefault="00000000">
      <w:pPr>
        <w:pStyle w:val="Heading2"/>
      </w:pPr>
      <w:r>
        <w:t>What Changed vs Prior Quarter (Max 3)</w:t>
      </w:r>
    </w:p>
    <w:p ns2:paraId="43C5CBEA" ns2:textId="363E78D0" w:rsidR="00000000" w:rsidRDefault="00C12EF9">
      <w:pPr>
        <w:pStyle w:val="ListBullet"/>
      </w:pPr>
      <w:r>
        <w:t>Y/Y gross margin improvement accelerate</w:t>
      </w:r>
      <w:r w:rsidR="00947658">
        <w:t xml:space="preserve">s, and </w:t>
      </w:r>
      <w:r w:rsidR="00733F86">
        <w:t xml:space="preserve">are now flowing to </w:t>
      </w:r>
      <w:r w:rsidR="00947658">
        <w:t xml:space="preserve">operating margins </w:t>
      </w:r>
      <w:r w:rsidR="00733F86">
        <w:t>expansion Y/Y</w:t>
      </w:r>
    </w:p>
    <w:p ns2:paraId="162C9DC9" ns2:textId="77777777" w:rsidR="00000000" w:rsidRDefault="00000000">
      <w:pPr>
        <w:pStyle w:val="ListBullet"/>
      </w:pPr>
      <w:r>
        <w:t xml:space="preserve">• </w:t>
      </w:r>
    </w:p>
    <w:p ns2:paraId="48ADF053" ns2:textId="77777777" w:rsidR="00000000" w:rsidRDefault="00000000">
      <w:pPr>
        <w:pStyle w:val="ListBullet"/>
      </w:pPr>
      <w:r>
        <w:t xml:space="preserve">• </w:t>
      </w:r>
    </w:p>
    <w:p ns2:paraId="53E984DB" ns2:textId="77777777" w:rsidR="00000000" w:rsidRDefault="00000000">
      <w:pPr>
        <w:pStyle w:val="Heading2"/>
      </w:pPr>
      <w:r>
        <w:t>Thesis Confirmation</w:t>
      </w:r>
    </w:p>
    <w:p ns2:paraId="409AA431" ns2:textId="3EF39E2F" w:rsidR="00000000" w:rsidRDefault="00733F86">
      <w:pPr>
        <w:pStyle w:val="ListBullet"/>
      </w:pPr>
      <w:r>
        <w:t>Depletion continues to worsen sequentially</w:t>
      </w:r>
    </w:p>
    <w:p ns2:paraId="0799D574" ns2:textId="1BBB6B06" w:rsidR="00000000" w:rsidRDefault="00733F86">
      <w:pPr>
        <w:pStyle w:val="ListBullet"/>
      </w:pPr>
      <w:r>
        <w:t>Reiterated guide despite margin beat; bracing for more macro headwinds in Q4</w:t>
      </w:r>
    </w:p>
    <w:p ns2:paraId="339E7AF7" ns2:textId="77777777" w:rsidR="00000000" w:rsidRDefault="00000000">
      <w:pPr>
        <w:pStyle w:val="ListBullet"/>
      </w:pPr>
      <w:r>
        <w:t xml:space="preserve">• </w:t>
      </w:r>
    </w:p>
    <w:p ns2:paraId="61E01591" ns2:textId="77777777" w:rsidR="00000000" w:rsidRDefault="00000000">
      <w:pPr>
        <w:pStyle w:val="Heading2"/>
      </w:pPr>
      <w:r>
        <w:t>Thesis Risks</w:t>
      </w:r>
    </w:p>
    <w:p ns2:paraId="6CA85296" ns2:textId="63ECF7DA" w:rsidR="00000000" w:rsidRDefault="00C12EF9">
      <w:pPr>
        <w:pStyle w:val="ListBullet"/>
      </w:pPr>
      <w:r>
        <w:t xml:space="preserve">Depletion </w:t>
      </w:r>
      <w:proofErr w:type="gramStart"/>
      <w:r>
        <w:t>better</w:t>
      </w:r>
      <w:proofErr w:type="gramEnd"/>
      <w:r>
        <w:t xml:space="preserve"> than expected but </w:t>
      </w:r>
      <w:proofErr w:type="gramStart"/>
      <w:r>
        <w:t>still</w:t>
      </w:r>
      <w:proofErr w:type="gramEnd"/>
      <w:r>
        <w:t xml:space="preserve"> down 3% Y/Y</w:t>
      </w:r>
    </w:p>
    <w:p ns2:paraId="10752873" ns2:textId="0298ABEA" w:rsidR="00000000" w:rsidRDefault="00C12EF9">
      <w:pPr>
        <w:pStyle w:val="ListBullet"/>
      </w:pPr>
      <w:r>
        <w:t>Margin upside implies resilient pricing power</w:t>
      </w:r>
    </w:p>
    <w:p ns2:paraId="799D833D" ns2:textId="6835F7A4" w:rsidR="00000000" w:rsidRDefault="00000000">
      <w:pPr>
        <w:pStyle w:val="ListBullet"/>
      </w:pPr>
    </w:p>
    <w:p ns2:paraId="2AC0B598" ns2:textId="77777777" w:rsidR="00000000" w:rsidRDefault="00000000">
      <w:pPr>
        <w:pStyle w:val="Heading2"/>
      </w:pPr>
      <w:r>
        <w:t>Other Idiosyncratic / Temporary Factors</w:t>
      </w:r>
    </w:p>
    <w:p ns2:paraId="3E035A91" ns2:textId="77777777" w:rsidR="00000000" w:rsidRDefault="00000000">
      <w:pPr>
        <w:pStyle w:val="ListBullet"/>
      </w:pPr>
      <w:r>
        <w:t xml:space="preserve">• </w:t>
      </w:r>
    </w:p>
    <w:p ns2:paraId="21B6380E" ns2:textId="77777777" w:rsidR="00000000" w:rsidRDefault="00000000">
      <w:pPr>
        <w:pStyle w:val="ListBullet"/>
      </w:pPr>
      <w:r>
        <w:t xml:space="preserve">• </w:t>
      </w:r>
    </w:p>
    <w:p ns2:paraId="66914095" ns2:textId="77777777" w:rsidR="00000000" w:rsidRDefault="00000000">
      <w:pPr>
        <w:pStyle w:val="Heading2"/>
      </w:pPr>
      <w:r>
        <w:t>Diligence Questions</w:t>
      </w:r>
    </w:p>
    <w:p ns2:paraId="6D67899D" ns2:textId="77777777" w:rsidR="00000000" w:rsidRDefault="00000000">
      <w:pPr>
        <w:pStyle w:val="ListBullet"/>
      </w:pPr>
      <w:r>
        <w:t xml:space="preserve">• </w:t>
      </w:r>
    </w:p>
    <w:p ns2:paraId="3817450C" ns2:textId="77777777" w:rsidR="00000000" w:rsidRDefault="00000000">
      <w:pPr>
        <w:pStyle w:val="ListBullet"/>
      </w:pPr>
      <w:r>
        <w:t xml:space="preserve">• </w:t>
      </w:r>
    </w:p>
    <w:p ns2:paraId="6FC09E52" ns2:textId="77777777" w:rsidR="00000000" w:rsidRDefault="00000000">
      <w:pPr>
        <w:pStyle w:val="Heading2"/>
      </w:pPr>
      <w:r>
        <w:t>New Ideas / Adjacent Themes</w:t>
      </w:r>
    </w:p>
    <w:p ns2:paraId="4B869C23" ns2:textId="77777777" w:rsidR="00000000" w:rsidRDefault="00000000">
      <w:pPr>
        <w:pStyle w:val="ListBullet"/>
      </w:pPr>
      <w:r>
        <w:t xml:space="preserve">• </w:t>
      </w:r>
    </w:p>
    <w:p ns2:paraId="0620B75F" ns2:textId="77777777" w:rsidR="00000000" w:rsidRDefault="00000000">
      <w:pPr>
        <w:pStyle w:val="ListBullet"/>
      </w:pPr>
      <w:r>
        <w:lastRenderedPageBreak/>
        <w:t xml:space="preserve">• </w:t>
      </w:r>
    </w:p>
    <w:p ns2:paraId="30276405" ns2:textId="77777777" w:rsidR="00000000" w:rsidRDefault="00000000"/>
    <w:p ns2:paraId="7234E99B" ns2:textId="77777777" w:rsidR="00000000" w:rsidRDefault="00000000">
      <w:pPr>
        <w:pStyle w:val="Heading2"/>
      </w:pPr>
      <w:r>
        <w:t>Thesis Progress</w:t>
      </w:r>
    </w:p>
    <w:p ns2:paraId="72F2DEAF" ns2:textId="25CE7A61" w:rsidR="00000000" w:rsidRDefault="00000000">
      <w:r>
        <w:t xml:space="preserve">Signal (select one):  ○ Green    </w:t>
      </w:r>
      <w:r w:rsidR="00303C16">
        <w:t>●</w:t>
      </w:r>
      <w:r>
        <w:t xml:space="preserve"> Yellow    ○ Red    ○ Unknown</w:t>
      </w:r>
    </w:p>
    <w:p ns2:paraId="6A55D7AF" ns2:textId="77777777" w:rsidR="00000000" w:rsidRDefault="00000000">
      <w:r>
        <w:t>Tip: replace the chosen circle with "●" (filled circle).</w:t>
      </w:r>
    </w:p>
    <w:p ns2:paraId="7A403501" ns2:textId="77777777" w:rsidR="00000000" w:rsidRDefault="00000000">
      <w:r>
        <w:rPr>
          <w:b/>
        </w:rPr>
        <w:t xml:space="preserve">One-Line Rationale (Required): </w:t>
      </w:r>
    </w:p>
    <w:p ns2:paraId="0C3E5ECD" ns2:textId="14121E53" w:rsidR="00000000" w:rsidRDefault="00303C16">
      <w:r>
        <w:t xml:space="preserve">Depletions down confirm continued category pressure, </w:t>
      </w:r>
      <w:r>
        <w:t xml:space="preserve">but </w:t>
      </w:r>
      <w:r>
        <w:t>operating margin</w:t>
      </w:r>
      <w:r>
        <w:t xml:space="preserve"> improvement suggest pricing power holding up</w:t>
      </w:r>
      <w:r w:rsidR="00F22BEC">
        <w:t xml:space="preserve"> net of operating expenses</w:t>
      </w:r>
      <w:r>
        <w:t>.</w:t>
      </w:r>
    </w:p>
    <w:p ns2:paraId="4FC7A6A1" ns2:textId="77777777" w:rsidR="00000000" w:rsidRDefault="00000000">
      <w:pPr>
        <w:pStyle w:val="Heading2"/>
      </w:pPr>
      <w:r>
        <w:t>Fail Point Check</w:t>
      </w:r>
    </w:p>
    <w:p ns2:paraId="39504542" ns2:textId="77777777" w:rsidR="00000000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000000" w:rsidRDefault="00000000">
      <w:r>
        <w:t>Macro / Thesis Drivers:</w:t>
      </w:r>
    </w:p>
    <w:p ns2:paraId="0CA86550" ns2:textId="77777777" w:rsidR="00000000" w:rsidRDefault="00000000">
      <w:pPr>
        <w:pStyle w:val="ListBullet"/>
      </w:pPr>
      <w:r>
        <w:t xml:space="preserve">• </w:t>
      </w:r>
    </w:p>
    <w:p ns2:paraId="33436CEE" ns2:textId="77777777" w:rsidR="00000000" w:rsidRDefault="00000000">
      <w:r>
        <w:t>Execution / Company Drivers:</w:t>
      </w:r>
    </w:p>
    <w:p ns2:paraId="3CB6A926" ns2:textId="10EE0D76" w:rsidR="00000000" w:rsidRDefault="00947658">
      <w:pPr>
        <w:pStyle w:val="ListBullet"/>
      </w:pPr>
      <w:r>
        <w:t>Operating margin</w:t>
      </w:r>
      <w:r w:rsidR="00733F86">
        <w:t>s expanding Y/Y; pricing power holding up net of marketing spend.</w:t>
      </w:r>
      <w:r w:rsidR="00000000">
        <w:t xml:space="preserve"> </w:t>
      </w:r>
    </w:p>
    <w:p ns2:paraId="4683E39B" ns2:textId="77777777" w:rsidR="00000000" w:rsidRDefault="00000000">
      <w:r>
        <w:t>Structural Break Emerging:</w:t>
      </w:r>
    </w:p>
    <w:p ns2:paraId="4CBF921E" ns2:textId="77777777" w:rsidR="00000000" w:rsidRDefault="00000000">
      <w:pPr>
        <w:pStyle w:val="ListBullet"/>
      </w:pPr>
      <w:r>
        <w:t xml:space="preserve">• </w:t>
      </w:r>
    </w:p>
    <w:sectPr w:rsidR="00BB1C8E" w:rsidSect="00034616">
      <w:pgSz w:w="12240" w:h="15840"/>
      <w:pgMar w:top="1440" w:right="1800" w:bottom="1440" w:left="1800" w:header="720" w:footer="720" w:gutter="0"/>
      <w:cols w:space="720"/>
      <w:docGrid w:linePitch="360"/>
    </w:sectPr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17319">
    <w:abstractNumId w:val="8"/>
  </w:num>
  <w:num w:numId="2" w16cid:durableId="2095934422">
    <w:abstractNumId w:val="6"/>
  </w:num>
  <w:num w:numId="3" w16cid:durableId="175466644">
    <w:abstractNumId w:val="5"/>
  </w:num>
  <w:num w:numId="4" w16cid:durableId="2048140969">
    <w:abstractNumId w:val="4"/>
  </w:num>
  <w:num w:numId="5" w16cid:durableId="1821650395">
    <w:abstractNumId w:val="7"/>
  </w:num>
  <w:num w:numId="6" w16cid:durableId="66610824">
    <w:abstractNumId w:val="3"/>
  </w:num>
  <w:num w:numId="7" w16cid:durableId="2016414675">
    <w:abstractNumId w:val="2"/>
  </w:num>
  <w:num w:numId="8" w16cid:durableId="1589118880">
    <w:abstractNumId w:val="1"/>
  </w:num>
  <w:num w:numId="9" w16cid:durableId="162542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710"/>
    <w:rsid w:val="0006063C"/>
    <w:rsid w:val="00097CA6"/>
    <w:rsid w:val="0015074B"/>
    <w:rsid w:val="0015192E"/>
    <w:rsid w:val="00180867"/>
    <w:rsid w:val="001858F4"/>
    <w:rsid w:val="0029639D"/>
    <w:rsid w:val="00303C16"/>
    <w:rsid w:val="00326F90"/>
    <w:rsid w:val="003971B3"/>
    <w:rsid w:val="00420E20"/>
    <w:rsid w:val="00695B7B"/>
    <w:rsid w:val="00733F86"/>
    <w:rsid w:val="00947658"/>
    <w:rsid w:val="00AA1D8D"/>
    <w:rsid w:val="00B47730"/>
    <w:rsid w:val="00B47B7C"/>
    <w:rsid w:val="00C12EF9"/>
    <w:rsid w:val="00C77D1A"/>
    <w:rsid w:val="00CB0664"/>
    <w:rsid w:val="00D6731B"/>
    <w:rsid w:val="00ED4BA4"/>
    <w:rsid w:val="00F22BEC"/>
    <w:rsid w:val="00FA37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D1A31"/>
  <w14:defaultImageDpi w14:val="300"/>
  <w15:docId w15:val="{6FDC2BCC-F918-477C-93F7-E8B33C92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485</Words>
  <Characters>3294</Characters>
  <Application>Microsoft Office Word</Application>
  <DocSecurity>0</DocSecurity>
  <Lines>122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9</cp:revision>
  <dcterms:created xsi:type="dcterms:W3CDTF">2013-12-23T23:15:00Z</dcterms:created>
  <dcterms:modified xsi:type="dcterms:W3CDTF">2026-02-17T18:45:00Z</dcterms:modified>
  <cp:category/>
</cp:coreProperties>
</file>