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TAP – MOLSON COORS BEVERAGE CO - B</w:t>
      </w:r>
    </w:p>
    <w:p>
      <w:r>
        <w:t>Bucket: .MAHA</w:t>
      </w:r>
    </w:p>
    <w:p>
      <w:r>
        <w:t>Bucket Symbol: .MAHA</w:t>
      </w:r>
    </w:p>
    <w:p>
      <w:r>
        <w:t>Side: Short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.MAHA_Bucket_Thesis.docx (see Mosaic/02_Buckets/.MAHA/)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884"/>
          </w:tcPr>
          <w:p>
            <w:r>
              <w:t>gross margins</w:t>
            </w:r>
          </w:p>
        </w:tc>
        <w:tc>
          <w:tcPr>
            <w:tcW w:type="dxa" w:w="1728"/>
          </w:tcPr>
          <w:p>
            <w:r>
              <w:t>Gross Margins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884"/>
          </w:tcPr>
          <w:p>
            <w:r>
              <w:t>ebitda_margins</w:t>
            </w:r>
          </w:p>
        </w:tc>
        <w:tc>
          <w:tcPr>
            <w:tcW w:type="dxa" w:w="1728"/>
          </w:tcPr>
          <w:p>
            <w:r>
              <w:t>EBITDA Margins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DEPRECATED (removed from bucket thesis KPI list)</w:t>
            </w:r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DEPRECATED (removed from bucket thesis KPI list)</w:t>
            </w:r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DEPRECATED (removed from bucket thesis KPI list)</w:t>
            </w:r>
          </w:p>
        </w:tc>
      </w:tr>
      <w:tr>
        <w:tc>
          <w:tcPr>
            <w:tcW w:type="dxa" w:w="1884"/>
          </w:tcPr>
          <w:p>
            <w:r>
              <w:t>EBIT/DA margins</w:t>
            </w:r>
          </w:p>
        </w:tc>
        <w:tc>
          <w:tcPr>
            <w:tcW w:type="dxa" w:w="1728"/>
          </w:tcPr>
          <w:p>
            <w:r>
              <w:t>EBIT/DA margins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DEPRECATED (removed from bucket thesis KPI list)</w:t>
            </w:r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