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>
      <w:pPr>
        <w:pStyle w:val="Heading1"/>
      </w:pPr>
      <w:r>
        <w:t>ADYEY – ADYEN NV-UNSPON ADR</w:t>
      </w:r>
    </w:p>
    <w:p>
      <w:r>
        <w:t>Bucket: .STABLECO</w:t>
      </w:r>
    </w:p>
    <w:p>
      <w:r>
        <w:t>Bucket Symbol: .STABLECO</w:t>
      </w:r>
    </w:p>
    <w:p>
      <w:r>
        <w:t>Side: [Long / Short]</w:t>
      </w:r>
    </w:p>
    <w:p>
      <w:r>
        <w:rPr>
          <w:b/>
        </w:rPr>
        <w:t xml:space="preserve">Last Updated: </w:t>
      </w:r>
      <w:r>
        <w:t>[Manual]</w:t>
      </w:r>
    </w:p>
    <w:p/>
    <w:p>
      <w:r>
        <w:t>Bucket thesis file: .STABLECO_Bucket_Thesis.docx (see Mosaic/02_Buckets/.STABLECO/)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[YYYY Q#] – Earnings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Date: [Manual]</w:t>
            </w:r>
          </w:p>
        </w:tc>
        <w:tc>
          <w:tcPr>
            <w:tcW w:type="dxa" w:w="2880"/>
          </w:tcPr>
          <w:p>
            <w:r>
              <w:t>Source: [Manual]</w:t>
            </w:r>
          </w:p>
        </w:tc>
        <w:tc>
          <w:tcPr>
            <w:tcW w:type="dxa" w:w="2880"/>
          </w:tcPr>
          <w:p>
            <w:r>
              <w:t>Fiscal Period: [Manual]</w:t>
            </w:r>
          </w:p>
        </w:tc>
      </w:tr>
    </w:tbl>
    <w:p/>
    <w:p>
      <w:pPr>
        <w:pStyle w:val="Heading2"/>
      </w:pPr>
      <w:r>
        <w:t>Market Reaction [AUTOFILL]</w:t>
      </w:r>
    </w:p>
    <w:p>
      <w:r>
        <w:t>Window: [-2D to +2D]</w:t>
      </w:r>
    </w:p>
    <w:p>
      <w:r>
        <w:t>Absolute Return: [AUTOFILL]</w:t>
      </w:r>
    </w:p>
    <w:p>
      <w:r>
        <w:t>Relative to Benchmark: [AUTOFILL] (Benchmark: [SPY/IYT/XLI/etc])</w:t>
      </w:r>
    </w:p>
    <w:p/>
    <w:p>
      <w:pPr>
        <w:pStyle w:val="Heading2"/>
      </w:pPr>
      <w:r>
        <w:t>KPI Summary – Core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440"/>
        <w:gridCol w:w="1440"/>
        <w:gridCol w:w="1440"/>
        <w:gridCol w:w="1440"/>
      </w:tblGrid>
      <w:tr>
        <w:tc>
          <w:tcPr>
            <w:tcW w:type="dxa" w:w="1728"/>
            <w:shd w:val="clear" w:color="auto" w:fill="F2F2F2"/>
          </w:tcPr>
          <w:p>
            <w:r>
              <w:t>Canonical 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Value</w:t>
            </w:r>
          </w:p>
        </w:tc>
        <w:tc>
          <w:tcPr>
            <w:tcW w:type="dxa" w:w="1728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Changes to Outlook / Guidance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What Changed vs Prior Quarter (Max 3)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Confirmation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Risks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Other Idiosyncratic / Temporary Factors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Diligence Questions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New Ideas / Adjacent Themes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/>
    <w:p>
      <w:pPr>
        <w:pStyle w:val="Heading2"/>
      </w:pPr>
      <w:r>
        <w:t>Thesis Progress</w:t>
      </w:r>
    </w:p>
    <w:p>
      <w:r>
        <w:t>Signal (select one):  ○ Green    ○ Yellow    ○ Red    ○ Unknown</w:t>
      </w:r>
    </w:p>
    <w:p>
      <w:r>
        <w:t>Tip: replace the chosen circle with "●" (filled circle).</w:t>
      </w:r>
    </w:p>
    <w:p>
      <w:r>
        <w:rPr>
          <w:b/>
        </w:rPr>
        <w:t xml:space="preserve">One-Line Rationale (Required): </w:t>
      </w:r>
    </w:p>
    <w:p>
      <w:r>
        <w:t>[Write 1 sentence]</w:t>
      </w:r>
    </w:p>
    <w:p>
      <w:pPr>
        <w:pStyle w:val="Heading2"/>
      </w:pPr>
      <w:r>
        <w:t>Fail Point Check</w:t>
      </w:r>
    </w:p>
    <w:p>
      <w:r>
        <w:t>For SHORT theses: list POSITIVE developments that threaten the short. For LONG theses: list NEGATIVE developments that threaten the long.</w:t>
      </w:r>
    </w:p>
    <w:p>
      <w:r>
        <w:t>Macro / Thesis Drivers:</w:t>
      </w:r>
    </w:p>
    <w:p>
      <w:pPr>
        <w:pStyle w:val="ListBullet"/>
      </w:pPr>
      <w:r>
        <w:t xml:space="preserve">• </w:t>
      </w:r>
    </w:p>
    <w:p>
      <w:r>
        <w:t>Execution / Company Drivers:</w:t>
      </w:r>
    </w:p>
    <w:p>
      <w:pPr>
        <w:pStyle w:val="ListBullet"/>
      </w:pPr>
      <w:r>
        <w:t xml:space="preserve">• </w:t>
      </w:r>
    </w:p>
    <w:p>
      <w:r>
        <w:t>Structural Break Emerging:</w:t>
      </w:r>
    </w:p>
    <w:p>
      <w:pPr>
        <w:pStyle w:val="ListBullet"/>
      </w:pPr>
      <w:r>
        <w:t xml:space="preserve">• </w:t>
      </w:r>
    </w:p>
    <w:p ns2:paraId="3D055F27" ns2:textId="77777777" w:rsidR="00BB1C8E" w:rsidRDefault="00000000">
      <w:pPr>
        <w:pStyle w:val="Heading1"/>
      </w:pPr>
      <w:r>
        <w:t>[YYYY Q#]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28D63D23" ns2:textId="77777777">
        <w:tc>
          <w:tcPr>
            <w:tcW w:w="2880" w:type="dxa"/>
          </w:tcPr>
          <w:p ns2:paraId="1220323D" ns2:textId="77777777" w:rsidR="00BB1C8E" w:rsidRDefault="00000000">
            <w:r>
              <w:t>Date: [Manual]</w:t>
            </w:r>
          </w:p>
        </w:tc>
        <w:tc>
          <w:tcPr>
            <w:tcW w:w="2880" w:type="dxa"/>
          </w:tcPr>
          <w:p ns2:paraId="7834042E" ns2:textId="77777777" w:rsidR="00BB1C8E" w:rsidRDefault="00000000">
            <w:r>
              <w:t>Source: [Manual]</w:t>
            </w:r>
          </w:p>
        </w:tc>
        <w:tc>
          <w:tcPr>
            <w:tcW w:w="2880" w:type="dxa"/>
          </w:tcPr>
          <w:p ns2:paraId="7E91577C" ns2:textId="77777777" w:rsidR="00BB1C8E" w:rsidRDefault="00000000">
            <w:r>
              <w:t>Fiscal Period: [Manual]</w:t>
            </w:r>
          </w:p>
        </w:tc>
      </w:tr>
    </w:tbl>
    <w:p ns2:paraId="3DF442C1" ns2:textId="77777777" w:rsidR="00BB1C8E" w:rsidRDefault="00BB1C8E"/>
    <w:p ns2:paraId="5EB1B430" ns2:textId="77777777" w:rsidR="00BB1C8E" w:rsidRDefault="00000000">
      <w:pPr>
        <w:pStyle w:val="Heading2"/>
      </w:pPr>
      <w:r>
        <w:t>Market Reaction [AUTOFILL]</w:t>
      </w:r>
    </w:p>
    <w:p ns2:paraId="625A799D" ns2:textId="77777777" w:rsidR="00BB1C8E" w:rsidRDefault="00000000">
      <w:r>
        <w:t>Window: [-2D to +2D]</w:t>
      </w:r>
    </w:p>
    <w:p ns2:paraId="43F8769E" ns2:textId="77777777" w:rsidR="00BB1C8E" w:rsidRDefault="00000000">
      <w:r>
        <w:t>Absolute Return: [AUTOFILL]</w:t>
      </w:r>
    </w:p>
    <w:p ns2:paraId="2DEB6B88" ns2:textId="77777777" w:rsidR="00BB1C8E" w:rsidRDefault="00000000">
      <w:r>
        <w:t>Relative to Benchmark: [AUTOFILL] (Benchmark: [SPY/IYT/XLI/etc])</w:t>
      </w:r>
    </w:p>
    <w:p ns2:paraId="3B891BF8" ns2:textId="77777777" w:rsidR="00BB1C8E" w:rsidRDefault="00BB1C8E"/>
    <w:p ns2:paraId="1602D196" ns2:textId="77777777" w:rsidR="00BB1C8E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728"/>
        <w:gridCol w:w="1728"/>
        <w:gridCol w:w="1728"/>
        <w:gridCol w:w="1440"/>
        <w:gridCol w:w="1440"/>
        <w:gridCol w:w="1440"/>
        <w:gridCol w:w="1440"/>
      </w:tblGrid>
      <w:tr w:rsidR="00BB1C8E" ns2:paraId="5CBE2296" ns2:textId="77777777" w:rsidTr="00186C4C">
        <w:tc>
          <w:tcPr>
            <w:tcW w:w="1884" w:type="dxa"/>
            <w:shd w:val="clear" w:color="auto" w:fill="F2F2F2"/>
          </w:tcPr>
          <w:p>
            <w:r>
              <w:t>Canonical 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BB1C8E" ns2:paraId="743DD68C" ns2:textId="77777777" w:rsidTr="00186C4C">
        <w:tc>
          <w:tcPr>
            <w:tcW w:w="1884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>
              <w:t>Revenue Growth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1E5925B6" ns2:textId="77777777" w:rsidTr="00186C4C">
        <w:tc>
          <w:tcPr>
            <w:tcW w:w="1884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674FC647" ns2:textId="77777777" w:rsidTr="00186C4C">
        <w:tc>
          <w:tcPr>
            <w:tcW w:w="1884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>
              <w:t>Price / Yield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37F600D1" ns2:textId="77777777" w:rsidTr="00186C4C">
        <w:tc>
          <w:tcPr>
            <w:tcW w:w="1884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>
              <w:t>Gross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2E6A2DC0" ns2:textId="77777777" w:rsidTr="00186C4C">
        <w:tc>
          <w:tcPr>
            <w:tcW w:w="1884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>
              <w:t>Operating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6E8D916A" ns2:textId="77777777" w:rsidR="00186C4C" w:rsidRDefault="00186C4C" w:rsidP="00186C4C"/>
    <w:p ns2:paraId="48107303" ns2:textId="0BAE5CA1" w:rsidR="00186C4C" w:rsidRDefault="00186C4C" w:rsidP="00186C4C">
      <w:pPr>
        <w:pStyle w:val="Heading2"/>
      </w:pPr>
      <w:r>
        <w:t xml:space="preserve">KPI Summary – </w:t>
      </w:r>
      <w:r>
        <w:t xml:space="preserve">Additional </w:t>
      </w:r>
      <w:r>
        <w:t>KPIs</w:t>
      </w:r>
      <w:r>
        <w:t xml:space="preserve">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440"/>
        <w:gridCol w:w="1440"/>
        <w:gridCol w:w="1440"/>
        <w:gridCol w:w="1440"/>
      </w:tblGrid>
      <w:tr w:rsidR="00186C4C" ns2:paraId="25FDDFC1" ns2:textId="77777777" w:rsidTr="0014158C"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tcPr>
            <w:tcW w:type="dxa" w:w="1440"/>
          </w:tcPr>
          <w:p>
            <w:r>
              <w:t>Δ YoY</w:t>
            </w:r>
          </w:p>
        </w:tc>
        <w:tc>
          <w:tcPr>
            <w:tcW w:type="dxa" w:w="1440"/>
          </w:tcPr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186C4C" ns2:paraId="191EF81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A7D5A82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1B6C97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538DFB0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45D4C6F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0EE16CB7" ns2:textId="77777777" w:rsidR="00186C4C" w:rsidRDefault="00186C4C" w:rsidP="00186C4C"/>
    <w:p ns2:paraId="3A69E87B" ns2:textId="77777777" w:rsidR="00BB1C8E" w:rsidRDefault="00BB1C8E"/>
    <w:p ns2:paraId="0C088656" ns2:textId="77777777" w:rsidR="00BB1C8E" w:rsidRDefault="00000000">
      <w:pPr>
        <w:pStyle w:val="Heading2"/>
      </w:pPr>
      <w:r>
        <w:t>Changes to Outlook / Guidance</w:t>
      </w:r>
    </w:p>
    <w:p ns2:paraId="3E1647F1" ns2:textId="77777777" w:rsidR="00BB1C8E" w:rsidRDefault="00000000">
      <w:pPr>
        <w:pStyle w:val="ListBullet"/>
      </w:pPr>
      <w:r>
        <w:t xml:space="preserve">• </w:t>
      </w:r>
    </w:p>
    <w:p ns2:paraId="77D2B2F4" ns2:textId="77777777" w:rsidR="00BB1C8E" w:rsidRDefault="00000000">
      <w:pPr>
        <w:pStyle w:val="ListBullet"/>
      </w:pPr>
      <w:r>
        <w:t xml:space="preserve">• </w:t>
      </w:r>
    </w:p>
    <w:p ns2:paraId="692822A4" ns2:textId="77777777" w:rsidR="00BB1C8E" w:rsidRDefault="00000000">
      <w:pPr>
        <w:pStyle w:val="Heading2"/>
      </w:pPr>
      <w:r>
        <w:t>What Changed vs Prior Quarter (Max 3)</w:t>
      </w:r>
    </w:p>
    <w:p ns2:paraId="43C5CBEA" ns2:textId="77777777" w:rsidR="00BB1C8E" w:rsidRDefault="00000000">
      <w:pPr>
        <w:pStyle w:val="ListBullet"/>
      </w:pPr>
      <w:r>
        <w:t xml:space="preserve">• </w:t>
      </w:r>
    </w:p>
    <w:p ns2:paraId="162C9DC9" ns2:textId="77777777" w:rsidR="00BB1C8E" w:rsidRDefault="00000000">
      <w:pPr>
        <w:pStyle w:val="ListBullet"/>
      </w:pPr>
      <w:r>
        <w:t xml:space="preserve">• </w:t>
      </w:r>
    </w:p>
    <w:p ns2:paraId="48ADF053" ns2:textId="77777777" w:rsidR="00BB1C8E" w:rsidRDefault="00000000">
      <w:pPr>
        <w:pStyle w:val="ListBullet"/>
      </w:pPr>
      <w:r>
        <w:t xml:space="preserve">• </w:t>
      </w:r>
    </w:p>
    <w:p ns2:paraId="53E984DB" ns2:textId="77777777" w:rsidR="00BB1C8E" w:rsidRDefault="00000000">
      <w:pPr>
        <w:pStyle w:val="Heading2"/>
      </w:pPr>
      <w:r>
        <w:lastRenderedPageBreak/>
        <w:t>Thesis Confirmation</w:t>
      </w:r>
    </w:p>
    <w:p ns2:paraId="409AA431" ns2:textId="77777777" w:rsidR="00BB1C8E" w:rsidRDefault="00000000">
      <w:pPr>
        <w:pStyle w:val="ListBullet"/>
      </w:pPr>
      <w:r>
        <w:t xml:space="preserve">• </w:t>
      </w:r>
    </w:p>
    <w:p ns2:paraId="0799D574" ns2:textId="77777777" w:rsidR="00BB1C8E" w:rsidRDefault="00000000">
      <w:pPr>
        <w:pStyle w:val="ListBullet"/>
      </w:pPr>
      <w:r>
        <w:t xml:space="preserve">• </w:t>
      </w:r>
    </w:p>
    <w:p ns2:paraId="339E7AF7" ns2:textId="77777777" w:rsidR="00BB1C8E" w:rsidRDefault="00000000">
      <w:pPr>
        <w:pStyle w:val="ListBullet"/>
      </w:pPr>
      <w:r>
        <w:t xml:space="preserve">• </w:t>
      </w:r>
    </w:p>
    <w:p ns2:paraId="61E01591" ns2:textId="77777777" w:rsidR="00BB1C8E" w:rsidRDefault="00000000">
      <w:pPr>
        <w:pStyle w:val="Heading2"/>
      </w:pPr>
      <w:r>
        <w:t>Thesis Risks</w:t>
      </w:r>
    </w:p>
    <w:p ns2:paraId="6CA85296" ns2:textId="77777777" w:rsidR="00BB1C8E" w:rsidRDefault="00000000">
      <w:pPr>
        <w:pStyle w:val="ListBullet"/>
      </w:pPr>
      <w:r>
        <w:t xml:space="preserve">• </w:t>
      </w:r>
    </w:p>
    <w:p ns2:paraId="10752873" ns2:textId="77777777" w:rsidR="00BB1C8E" w:rsidRDefault="00000000">
      <w:pPr>
        <w:pStyle w:val="ListBullet"/>
      </w:pPr>
      <w:r>
        <w:t xml:space="preserve">• </w:t>
      </w:r>
    </w:p>
    <w:p ns2:paraId="799D833D" ns2:textId="77777777" w:rsidR="00BB1C8E" w:rsidRDefault="00000000">
      <w:pPr>
        <w:pStyle w:val="ListBullet"/>
      </w:pPr>
      <w:r>
        <w:t xml:space="preserve">• </w:t>
      </w:r>
    </w:p>
    <w:p ns2:paraId="2AC0B598" ns2:textId="77777777" w:rsidR="00BB1C8E" w:rsidRDefault="00000000">
      <w:pPr>
        <w:pStyle w:val="Heading2"/>
      </w:pPr>
      <w:r>
        <w:t>Other Idiosyncratic / Temporary Factors</w:t>
      </w:r>
    </w:p>
    <w:p ns2:paraId="3E035A91" ns2:textId="77777777" w:rsidR="00BB1C8E" w:rsidRDefault="00000000">
      <w:pPr>
        <w:pStyle w:val="ListBullet"/>
      </w:pPr>
      <w:r>
        <w:t xml:space="preserve">• </w:t>
      </w:r>
    </w:p>
    <w:p ns2:paraId="21B6380E" ns2:textId="77777777" w:rsidR="00BB1C8E" w:rsidRDefault="00000000">
      <w:pPr>
        <w:pStyle w:val="ListBullet"/>
      </w:pPr>
      <w:r>
        <w:t xml:space="preserve">• </w:t>
      </w:r>
    </w:p>
    <w:p ns2:paraId="66914095" ns2:textId="77777777" w:rsidR="00BB1C8E" w:rsidRDefault="00000000">
      <w:pPr>
        <w:pStyle w:val="Heading2"/>
      </w:pPr>
      <w:r>
        <w:t>Diligence Questions</w:t>
      </w:r>
    </w:p>
    <w:p ns2:paraId="6D67899D" ns2:textId="77777777" w:rsidR="00BB1C8E" w:rsidRDefault="00000000">
      <w:pPr>
        <w:pStyle w:val="ListBullet"/>
      </w:pPr>
      <w:r>
        <w:t xml:space="preserve">• </w:t>
      </w:r>
    </w:p>
    <w:p ns2:paraId="3817450C" ns2:textId="77777777" w:rsidR="00BB1C8E" w:rsidRDefault="00000000">
      <w:pPr>
        <w:pStyle w:val="ListBullet"/>
      </w:pPr>
      <w:r>
        <w:t xml:space="preserve">• </w:t>
      </w:r>
    </w:p>
    <w:p ns2:paraId="6FC09E52" ns2:textId="77777777" w:rsidR="00BB1C8E" w:rsidRDefault="00000000">
      <w:pPr>
        <w:pStyle w:val="Heading2"/>
      </w:pPr>
      <w:r>
        <w:t>New Ideas / Adjacent Themes</w:t>
      </w:r>
    </w:p>
    <w:p ns2:paraId="4B869C23" ns2:textId="77777777" w:rsidR="00BB1C8E" w:rsidRDefault="00000000">
      <w:pPr>
        <w:pStyle w:val="ListBullet"/>
      </w:pPr>
      <w:r>
        <w:t xml:space="preserve">• </w:t>
      </w:r>
    </w:p>
    <w:p ns2:paraId="0620B75F" ns2:textId="77777777" w:rsidR="00BB1C8E" w:rsidRDefault="00000000">
      <w:pPr>
        <w:pStyle w:val="ListBullet"/>
      </w:pPr>
      <w:r>
        <w:t xml:space="preserve">• </w:t>
      </w:r>
    </w:p>
    <w:p ns2:paraId="30276405" ns2:textId="77777777" w:rsidR="00BB1C8E" w:rsidRDefault="00BB1C8E"/>
    <w:p ns2:paraId="7234E99B" ns2:textId="77777777" w:rsidR="00BB1C8E" w:rsidRDefault="00000000">
      <w:pPr>
        <w:pStyle w:val="Heading2"/>
      </w:pPr>
      <w:r>
        <w:t>Thesis Progress</w:t>
      </w:r>
    </w:p>
    <w:p ns2:paraId="72F2DEAF" ns2:textId="77777777" w:rsidR="00BB1C8E" w:rsidRDefault="00000000">
      <w:r>
        <w:t>Signal (select one):  ○ Green    ○ Yellow    ○ Red    ○ Unknown</w:t>
      </w:r>
    </w:p>
    <w:p ns2:paraId="6A55D7AF" ns2:textId="77777777" w:rsidR="00BB1C8E" w:rsidRDefault="00000000">
      <w:r>
        <w:t>Tip: replace the chosen circle with "●" (filled circle).</w:t>
      </w:r>
    </w:p>
    <w:p ns2:paraId="7A403501" ns2:textId="77777777" w:rsidR="00BB1C8E" w:rsidRDefault="00000000">
      <w:r>
        <w:rPr>
          <w:b/>
        </w:rPr>
        <w:t xml:space="preserve">One-Line Rationale (Required): </w:t>
      </w:r>
    </w:p>
    <w:p ns2:paraId="0C3E5ECD" ns2:textId="77777777" w:rsidR="00BB1C8E" w:rsidRDefault="00000000">
      <w:r>
        <w:t>[Write 1 sentence]</w:t>
      </w:r>
    </w:p>
    <w:p ns2:paraId="4FC7A6A1" ns2:textId="77777777" w:rsidR="00BB1C8E" w:rsidRDefault="00000000">
      <w:pPr>
        <w:pStyle w:val="Heading2"/>
      </w:pPr>
      <w:r>
        <w:t>Fail Point Check</w:t>
      </w:r>
    </w:p>
    <w:p ns2:paraId="39504542" ns2:textId="77777777" w:rsidR="00BB1C8E" w:rsidRDefault="00000000">
      <w:r>
        <w:t>For SHORT theses: list POSITIVE developments that threaten the short. For LONG theses: list NEGATIVE developments that threaten the long.</w:t>
      </w:r>
    </w:p>
    <w:p ns2:paraId="577DB57D" ns2:textId="77777777" w:rsidR="00BB1C8E" w:rsidRDefault="00000000">
      <w:r>
        <w:t>Macro / Thesis Drivers:</w:t>
      </w:r>
    </w:p>
    <w:p ns2:paraId="0CA86550" ns2:textId="77777777" w:rsidR="00BB1C8E" w:rsidRDefault="00000000">
      <w:pPr>
        <w:pStyle w:val="ListBullet"/>
      </w:pPr>
      <w:r>
        <w:t xml:space="preserve">• </w:t>
      </w:r>
    </w:p>
    <w:p ns2:paraId="33436CEE" ns2:textId="77777777" w:rsidR="00BB1C8E" w:rsidRDefault="00000000">
      <w:r>
        <w:t>Execution / Company Drivers:</w:t>
      </w:r>
    </w:p>
    <w:p ns2:paraId="3CB6A926" ns2:textId="77777777" w:rsidR="00BB1C8E" w:rsidRDefault="00000000">
      <w:pPr>
        <w:pStyle w:val="ListBullet"/>
      </w:pPr>
      <w:r>
        <w:t xml:space="preserve">• </w:t>
      </w:r>
    </w:p>
    <w:p ns2:paraId="4683E39B" ns2:textId="77777777" w:rsidR="00BB1C8E" w:rsidRDefault="00000000">
      <w:r>
        <w:t>Structural Break Emerging:</w:t>
      </w:r>
    </w:p>
    <w:p ns2:paraId="4CBF921E" ns2:textId="77777777" w:rsidR="00BB1C8E" w:rsidRDefault="00000000">
      <w:pPr>
        <w:pStyle w:val="ListBullet"/>
      </w:pPr>
      <w:r>
        <w:lastRenderedPageBreak/>
        <w:t xml:space="preserve">• 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