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考核题：CDN 热点文件动态预测与压缩降本系统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日程清单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3540"/>
        <w:gridCol w:w="354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上午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下午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环境准备、需求梳理与解答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技术选型与解答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项目开发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项目开发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项目开发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项目开发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基本完成项目与验收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编写答辩 PPT 以及项目细节问题处理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项目概述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考核背景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集团内文件存储业务产生了较高的 CDN 下行流量费用。一个直接的降本思路是：识别未来仍会被高频访问的热点文件，提前对其进行压缩，在保证文件质量和播放兼容性的前提下减少传输字节数。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但只压缩“历史 Top 文件”并不一定有效，实际业务存在以下问题：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文件热度随时间变化，历史热点可能快速衰退，也可能出现周期性、突发性或持续性热点。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压缩本身会产生转码和新增存储成本；如果压缩了未来不再访问的文件，可能得不偿失。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只看压缩率不够，还必须关注画质、音质、播放兼容性以及压缩后是否仍持续产生流量。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 Top100 数据是截断观测：文件未进入 Top100 只代表低于当天观测阈值，不能直接当作流量为 0。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降本需要形成运营闭环：推荐、处理、跟踪、提醒、复盘，而不是只产出一次性模型报告。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项目目标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请设计并实现一套“CDN 热点文件动态预测与压缩降本系统”，完成以下目标：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基于近半年的每日 Top100 热点文件数据，研究并比较动态预测方案，预测未来日、周维度的待压缩文件 Top50</w:t>
      </w:r>
      <w:r>
        <w:rPr>
          <w:rFonts w:eastAsia="等线" w:ascii="Arial" w:cs="Arial" w:hAnsi="Arial"/>
          <w:sz w:val="22"/>
          <w:shd w:fill="f2f3f5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用严格的时间滚动回测和 TopK 排序指标选择最契合的方案，给出有数据支撑的结论；不要求复杂模型必须胜出。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实现前后端分离的数据看板，支持查询、筛选、标记压缩、效果跟踪、预测准确率和降本估算。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文件支持在线访问：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接入 </w:t>
      </w:r>
      <w:hyperlink r:id="rId5">
        <w:r>
          <w:rPr>
            <w:rFonts w:eastAsia="等线" w:ascii="Arial" w:cs="Arial" w:hAnsi="Arial"/>
            <w:color w:val="3370ff"/>
            <w:sz w:val="22"/>
          </w:rPr>
          <w:t>CStore HTTP 文件访问接口</w:t>
        </w:r>
      </w:hyperlink>
      <w:r>
        <w:rPr>
          <w:rFonts w:eastAsia="等线" w:ascii="Arial" w:cs="Arial" w:hAnsi="Arial"/>
          <w:sz w:val="22"/>
        </w:rPr>
        <w:t>，根据 App ID 与 fileKey 按需查询实际访问 URL，并在看板中支持文件预览和下载；业务侧不得长期保存生成的 URL。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接入</w:t>
      </w:r>
      <w:hyperlink r:id="rId6">
        <w:r>
          <w:rPr>
            <w:rFonts w:eastAsia="等线" w:ascii="Arial" w:cs="Arial" w:hAnsi="Arial"/>
            <w:color w:val="3370ff"/>
            <w:sz w:val="22"/>
          </w:rPr>
          <w:t>CStore HTTP 文件信息接口</w:t>
        </w:r>
      </w:hyperlink>
      <w:r>
        <w:rPr>
          <w:rFonts w:eastAsia="等线" w:ascii="Arial" w:cs="Arial" w:hAnsi="Arial"/>
          <w:sz w:val="22"/>
        </w:rPr>
        <w:t>，根据 App ID 与 fileKey 按需查询实际的文件大小信息，并在看板中展示（控制好并发，不能大于100qps）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接入飞书群通知，每日推送待压缩清单，并对超过处理时限仍未处理的文件进行定时提醒。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实现一个对话 Agent，可问询每日热点、历史压缩效果、模型表现和压缩建议以及</w:t>
      </w:r>
      <w:r>
        <w:rPr>
          <w:rFonts w:eastAsia="等线" w:ascii="Arial" w:cs="Arial" w:hAnsi="Arial"/>
          <w:b w:val="true"/>
          <w:sz w:val="22"/>
        </w:rPr>
        <w:t>模型持续优化</w:t>
      </w:r>
      <w:r>
        <w:rPr>
          <w:rFonts w:eastAsia="等线" w:ascii="Arial" w:cs="Arial" w:hAnsi="Arial"/>
          <w:sz w:val="22"/>
        </w:rPr>
        <w:t>，回答必须来自系统实时数据。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建议周期与技术约束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642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建议周期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个工作日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系统形态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前后端分离；前端技术栈不限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业务后端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Java 或 Kotlin，Spring Boot 框架；数据库建议 MySQL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数据说明与业务口径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输入数据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正式考核将提供近半年的每日 Top100 热点文件数据，至少包含：日期、App ID、文件标识或路径、当日流量（B）。如正式数据字段有差异，以最终数据字典为准。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样例数据：</w:t>
      </w:r>
      <w:r>
        <w:rPr>
          <w:rFonts w:eastAsia="等线" w:ascii="Arial" w:cs="Arial" w:hAnsi="Arial"/>
          <w:sz w:val="22"/>
        </w:rPr>
        <w:t>仅用于理解字段和页面展示，不足以用于模型训练或方案论证。命题方应将该文件与正式半年数据一并放入考核数据包。 正式数据在同目录下的zip文件：</w:t>
      </w:r>
      <w:hyperlink r:id="rId7">
        <w:r>
          <w:rPr>
            <w:rFonts w:eastAsia="等线" w:ascii="Arial" w:cs="Arial" w:hAnsi="Arial"/>
            <w:color w:val="3370ff"/>
            <w:sz w:val="22"/>
          </w:rPr>
          <w:t>10066.csv.zip</w:t>
        </w:r>
      </w:hyperlink>
      <w:r>
        <w:rPr>
          <w:rFonts w:eastAsia="等线" w:ascii="Arial" w:cs="Arial" w:hAnsi="Arial"/>
          <w:sz w:val="22"/>
        </w:rPr>
        <w:t>、</w:t>
      </w:r>
      <w:hyperlink r:id="rId8">
        <w:r>
          <w:rPr>
            <w:rFonts w:eastAsia="等线" w:ascii="Arial" w:cs="Arial" w:hAnsi="Arial"/>
            <w:color w:val="3370ff"/>
            <w:sz w:val="22"/>
          </w:rPr>
          <w:t>10350.csv.zip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必须明确的定义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642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统一口径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 Top50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在预测日结束时，仅使用当时可见的数据，预测下一自然日累计流量最高的 50 个文件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 Top50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预测未来连续 7 天累计流量最高的 50 个文件，不等同于自然周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压缩率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1 − 压缩后文件大小 ÷ 原文件大小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有效压缩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文件完成压缩后，在约定的 7 天或 30 天观察窗口内仍保持有效访问；压缩率原则上不低于 30%；视频质量建议 VMAF ≥ 90 或 SSIM ≥ 0.95（也可提出并论证其他指标）；文件可正常播放或访问；估算净收益大于 0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降本金额</w:t>
            </w:r>
          </w:p>
        </w:tc>
        <w:tc>
          <w:tcPr>
            <w:tcW w:w="6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CDN流量单价为：</w:t>
            </w:r>
            <w:r>
              <w:rPr>
                <w:rFonts w:eastAsia="等线" w:ascii="Arial" w:cs="Arial" w:hAnsi="Arial"/>
                <w:sz w:val="22"/>
                <w:shd w:fill="f2f3f5"/>
              </w:rPr>
              <w:t>0.02 元/GB</w:t>
            </w:r>
            <w:r>
              <w:rPr>
                <w:rFonts w:eastAsia="等线" w:ascii="Arial" w:cs="Arial" w:hAnsi="Arial"/>
                <w:sz w:val="22"/>
              </w:rPr>
              <w:t>。应计入 CDN 字节节省，同时扣除转码和新增存储成本，不能把文件体积差直接等同于真实账单节省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详细功能需求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模块一：数据分析与动态预测模型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需自行发散考虑如何完成整体链路的闭环、数据论证、扩展、有效性等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模块二：Spring Boot 后端与数据闭环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需自行完成相关技术选型、架构设计、数据库设计、代码实现等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模块三：数据看板与压缩效果追踪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3.3.1 </w:t>
      </w:r>
      <w:r>
        <w:rPr>
          <w:rFonts w:eastAsia="等线" w:ascii="Arial" w:cs="Arial" w:hAnsi="Arial"/>
          <w:b w:val="true"/>
          <w:sz w:val="30"/>
        </w:rPr>
        <w:t>Top50 看板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支持按日期范围、App ID、日/周粒度、模型和压缩状态筛选。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表格至少展示：排名、文件标识、类型、大小、预测流量、预测分数、推荐理由、最近实际流量、压缩状态和模型版本。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支持从 Top50 直接进入文件详情或执行压缩标记。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文件列表和详情页支持“预览”“下载”：点击后由后端使用该记录的 App ID 与 fileKey 实时查询 CStore URL；视频/图片/音频按浏览器能力预览，其他类型提供下载。查询失败时展示明确错误，不暴露内部凭证。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3.3.2 </w:t>
      </w:r>
      <w:r>
        <w:rPr>
          <w:rFonts w:eastAsia="等线" w:ascii="Arial" w:cs="Arial" w:hAnsi="Arial"/>
          <w:b w:val="true"/>
          <w:sz w:val="30"/>
        </w:rPr>
        <w:t>标记压缩</w:t>
      </w:r>
      <w:bookmarkEnd w:id="1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标记时至少填写：压缩后文件标识或版本、压缩后大小、质量指标、处理人和备注。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系统自动计算压缩率，并根据质量门槛提示是否达到“质量较好”。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本考核不强制实现真实视频转码平台，但不得伪造压缩结果；可使用给定或自行构造并注明来源的压缩测试数据。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3.3.3 </w:t>
      </w:r>
      <w:r>
        <w:rPr>
          <w:rFonts w:eastAsia="等线" w:ascii="Arial" w:cs="Arial" w:hAnsi="Arial"/>
          <w:b w:val="true"/>
          <w:sz w:val="30"/>
        </w:rPr>
        <w:t>效果与模型观测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自行设计需要哪些指标来进行观测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模块四：飞书通知与漏处理提醒</w:t>
      </w:r>
      <w:bookmarkEnd w:id="1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自行考虑流程设计，如何实现可靠性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模块五：热点压缩对话 Agent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实现一个能通过系统 API 或工具调用查询实时数据的 Agent。可以自行实现编排。至少支持以下问题：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周期性根据预测数据来分析目前的预测模型是否合理，提供优化方向并且进行替换，粒度为appid，不同appid为不同的业务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今天有哪些待压缩热点文件？给我 Top10。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为什么推荐压缩某个文件？它未来一周预计有多少流量？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某个文件压缩后效果如何？预计节省了多少费用？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昨天模型准确率是多少？哪个模型表现最好？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有哪些文件超过处理时限仍未压缩？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回答必须包含数据日期、时间粒度、模型版本和关键口径。对于未进入 Top100、缺少价格或无法计算的问题，应明确回答“不确定/仅能估算”，不得编造。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3.6 </w:t>
      </w:r>
      <w:r>
        <w:rPr>
          <w:rFonts w:eastAsia="等线" w:ascii="Arial" w:cs="Arial" w:hAnsi="Arial"/>
          <w:b w:val="true"/>
          <w:sz w:val="32"/>
        </w:rPr>
        <w:t>模块六：工程质量与交付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自行考虑需要提供哪些交付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4. 补充说明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优先使用自己在使用的本地apikey，如果没有合适的apikey可用于调用大模型的场景。可以引导至阿里云百炼平台申请免费的key，有默认的模型可用。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申请入口：</w:t>
      </w:r>
      <w:r>
        <w:rPr>
          <w:rFonts w:eastAsia="等线" w:ascii="Arial" w:cs="Arial" w:hAnsi="Arial"/>
          <w:sz w:val="22"/>
        </w:rPr>
        <w:t>https://bailian.console.aliyun.com/cn-beijing?tab=model#/api-key</w:t>
      </w: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可用的模型和额度的情况：</w:t>
      </w:r>
      <w:r>
        <w:rPr>
          <w:rFonts w:eastAsia="等线" w:ascii="Arial" w:cs="Arial" w:hAnsi="Arial"/>
          <w:sz w:val="22"/>
        </w:rPr>
        <w:t>https://bailian.console.aliyun.com/cn-beijing?tab=costing-balance#/costing-balance/free-quota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47778">
    <w:lvl>
      <w:start w:val="1"/>
      <w:numFmt w:val="decimal"/>
      <w:suff w:val="tab"/>
      <w:lvlText w:val="%1."/>
      <w:rPr>
        <w:color w:val="3370ff"/>
      </w:rPr>
    </w:lvl>
  </w:abstractNum>
  <w:abstractNum w:abstractNumId="247779">
    <w:lvl>
      <w:start w:val="2"/>
      <w:numFmt w:val="decimal"/>
      <w:suff w:val="tab"/>
      <w:lvlText w:val="%1."/>
      <w:rPr>
        <w:color w:val="3370ff"/>
      </w:rPr>
    </w:lvl>
  </w:abstractNum>
  <w:abstractNum w:abstractNumId="247780">
    <w:lvl>
      <w:start w:val="3"/>
      <w:numFmt w:val="decimal"/>
      <w:suff w:val="tab"/>
      <w:lvlText w:val="%1."/>
      <w:rPr>
        <w:color w:val="3370ff"/>
      </w:rPr>
    </w:lvl>
  </w:abstractNum>
  <w:abstractNum w:abstractNumId="247781">
    <w:lvl>
      <w:start w:val="4"/>
      <w:numFmt w:val="decimal"/>
      <w:suff w:val="tab"/>
      <w:lvlText w:val="%1."/>
      <w:rPr>
        <w:color w:val="3370ff"/>
      </w:rPr>
    </w:lvl>
  </w:abstractNum>
  <w:abstractNum w:abstractNumId="247782">
    <w:lvl>
      <w:start w:val="5"/>
      <w:numFmt w:val="decimal"/>
      <w:suff w:val="tab"/>
      <w:lvlText w:val="%1."/>
      <w:rPr>
        <w:color w:val="3370ff"/>
      </w:rPr>
    </w:lvl>
  </w:abstractNum>
  <w:abstractNum w:abstractNumId="247783">
    <w:lvl>
      <w:start w:val="1"/>
      <w:numFmt w:val="decimal"/>
      <w:suff w:val="tab"/>
      <w:lvlText w:val="%1."/>
      <w:rPr>
        <w:color w:val="3370ff"/>
      </w:rPr>
    </w:lvl>
  </w:abstractNum>
  <w:abstractNum w:abstractNumId="247784">
    <w:lvl>
      <w:start w:val="2"/>
      <w:numFmt w:val="decimal"/>
      <w:suff w:val="tab"/>
      <w:lvlText w:val="%1."/>
      <w:rPr>
        <w:color w:val="3370ff"/>
      </w:rPr>
    </w:lvl>
  </w:abstractNum>
  <w:abstractNum w:abstractNumId="247785">
    <w:lvl>
      <w:start w:val="3"/>
      <w:numFmt w:val="decimal"/>
      <w:suff w:val="tab"/>
      <w:lvlText w:val="%1."/>
      <w:rPr>
        <w:color w:val="3370ff"/>
      </w:rPr>
    </w:lvl>
  </w:abstractNum>
  <w:abstractNum w:abstractNumId="247786">
    <w:lvl>
      <w:start w:val="4"/>
      <w:numFmt w:val="decimal"/>
      <w:suff w:val="tab"/>
      <w:lvlText w:val="%1."/>
      <w:rPr>
        <w:color w:val="3370ff"/>
      </w:rPr>
    </w:lvl>
  </w:abstractNum>
  <w:abstractNum w:abstractNumId="247787">
    <w:lvl>
      <w:start w:val="1"/>
      <w:numFmt w:val="lowerLetter"/>
      <w:suff w:val="tab"/>
      <w:lvlText w:val="%1."/>
      <w:rPr>
        <w:color w:val="3370ff"/>
      </w:rPr>
    </w:lvl>
  </w:abstractNum>
  <w:abstractNum w:abstractNumId="247788">
    <w:lvl>
      <w:start w:val="2"/>
      <w:numFmt w:val="lowerLetter"/>
      <w:suff w:val="tab"/>
      <w:lvlText w:val="%1."/>
      <w:rPr>
        <w:color w:val="3370ff"/>
      </w:rPr>
    </w:lvl>
  </w:abstractNum>
  <w:abstractNum w:abstractNumId="247789">
    <w:lvl>
      <w:start w:val="5"/>
      <w:numFmt w:val="decimal"/>
      <w:suff w:val="tab"/>
      <w:lvlText w:val="%1."/>
      <w:rPr>
        <w:color w:val="3370ff"/>
      </w:rPr>
    </w:lvl>
  </w:abstractNum>
  <w:abstractNum w:abstractNumId="247790">
    <w:lvl>
      <w:start w:val="6"/>
      <w:numFmt w:val="decimal"/>
      <w:suff w:val="tab"/>
      <w:lvlText w:val="%1."/>
      <w:rPr>
        <w:color w:val="3370ff"/>
      </w:rPr>
    </w:lvl>
  </w:abstractNum>
  <w:abstractNum w:abstractNumId="247791">
    <w:lvl>
      <w:numFmt w:val="bullet"/>
      <w:suff w:val="tab"/>
      <w:lvlText w:val="•"/>
      <w:rPr>
        <w:color w:val="3370ff"/>
      </w:rPr>
    </w:lvl>
  </w:abstractNum>
  <w:abstractNum w:abstractNumId="247792">
    <w:lvl>
      <w:numFmt w:val="bullet"/>
      <w:suff w:val="tab"/>
      <w:lvlText w:val="•"/>
      <w:rPr>
        <w:color w:val="3370ff"/>
      </w:rPr>
    </w:lvl>
  </w:abstractNum>
  <w:abstractNum w:abstractNumId="247793">
    <w:lvl>
      <w:numFmt w:val="bullet"/>
      <w:suff w:val="tab"/>
      <w:lvlText w:val="•"/>
      <w:rPr>
        <w:color w:val="3370ff"/>
      </w:rPr>
    </w:lvl>
  </w:abstractNum>
  <w:abstractNum w:abstractNumId="247794">
    <w:lvl>
      <w:numFmt w:val="bullet"/>
      <w:suff w:val="tab"/>
      <w:lvlText w:val="•"/>
      <w:rPr>
        <w:color w:val="3370ff"/>
      </w:rPr>
    </w:lvl>
  </w:abstractNum>
  <w:abstractNum w:abstractNumId="247795">
    <w:lvl>
      <w:numFmt w:val="bullet"/>
      <w:suff w:val="tab"/>
      <w:lvlText w:val="•"/>
      <w:rPr>
        <w:color w:val="3370ff"/>
      </w:rPr>
    </w:lvl>
  </w:abstractNum>
  <w:abstractNum w:abstractNumId="247796">
    <w:lvl>
      <w:numFmt w:val="bullet"/>
      <w:suff w:val="tab"/>
      <w:lvlText w:val="•"/>
      <w:rPr>
        <w:color w:val="3370ff"/>
      </w:rPr>
    </w:lvl>
  </w:abstractNum>
  <w:abstractNum w:abstractNumId="247797">
    <w:lvl>
      <w:numFmt w:val="bullet"/>
      <w:suff w:val="tab"/>
      <w:lvlText w:val="•"/>
      <w:rPr>
        <w:color w:val="3370ff"/>
      </w:rPr>
    </w:lvl>
  </w:abstractNum>
  <w:abstractNum w:abstractNumId="247798">
    <w:lvl>
      <w:numFmt w:val="bullet"/>
      <w:suff w:val="tab"/>
      <w:lvlText w:val="•"/>
      <w:rPr>
        <w:color w:val="3370ff"/>
      </w:rPr>
    </w:lvl>
  </w:abstractNum>
  <w:abstractNum w:abstractNumId="247799">
    <w:lvl>
      <w:numFmt w:val="bullet"/>
      <w:suff w:val="tab"/>
      <w:lvlText w:val="•"/>
      <w:rPr>
        <w:color w:val="3370ff"/>
      </w:rPr>
    </w:lvl>
  </w:abstractNum>
  <w:abstractNum w:abstractNumId="247800">
    <w:lvl>
      <w:numFmt w:val="bullet"/>
      <w:suff w:val="tab"/>
      <w:lvlText w:val="•"/>
      <w:rPr>
        <w:color w:val="3370ff"/>
      </w:rPr>
    </w:lvl>
  </w:abstractNum>
  <w:abstractNum w:abstractNumId="247801">
    <w:lvl>
      <w:numFmt w:val="bullet"/>
      <w:suff w:val="tab"/>
      <w:lvlText w:val="•"/>
      <w:rPr>
        <w:color w:val="3370ff"/>
      </w:rPr>
    </w:lvl>
  </w:abstractNum>
  <w:abstractNum w:abstractNumId="247802">
    <w:lvl>
      <w:numFmt w:val="bullet"/>
      <w:suff w:val="tab"/>
      <w:lvlText w:val="•"/>
      <w:rPr>
        <w:color w:val="3370ff"/>
      </w:rPr>
    </w:lvl>
  </w:abstractNum>
  <w:abstractNum w:abstractNumId="247803">
    <w:lvl>
      <w:numFmt w:val="bullet"/>
      <w:suff w:val="tab"/>
      <w:lvlText w:val="•"/>
      <w:rPr>
        <w:color w:val="3370ff"/>
      </w:rPr>
    </w:lvl>
  </w:abstractNum>
  <w:abstractNum w:abstractNumId="247804">
    <w:lvl>
      <w:numFmt w:val="bullet"/>
      <w:suff w:val="tab"/>
      <w:lvlText w:val="•"/>
      <w:rPr>
        <w:color w:val="3370ff"/>
      </w:rPr>
    </w:lvl>
  </w:abstractNum>
  <w:abstractNum w:abstractNumId="247805">
    <w:lvl>
      <w:numFmt w:val="bullet"/>
      <w:suff w:val="tab"/>
      <w:lvlText w:val="•"/>
      <w:rPr>
        <w:color w:val="3370ff"/>
      </w:rPr>
    </w:lvl>
  </w:abstractNum>
  <w:abstractNum w:abstractNumId="247806">
    <w:lvl>
      <w:numFmt w:val="bullet"/>
      <w:suff w:val="tab"/>
      <w:lvlText w:val="•"/>
      <w:rPr>
        <w:color w:val="3370ff"/>
      </w:rPr>
    </w:lvl>
  </w:abstractNum>
  <w:num w:numId="1">
    <w:abstractNumId w:val="247778"/>
  </w:num>
  <w:num w:numId="2">
    <w:abstractNumId w:val="247779"/>
  </w:num>
  <w:num w:numId="3">
    <w:abstractNumId w:val="247780"/>
  </w:num>
  <w:num w:numId="4">
    <w:abstractNumId w:val="247781"/>
  </w:num>
  <w:num w:numId="5">
    <w:abstractNumId w:val="247782"/>
  </w:num>
  <w:num w:numId="6">
    <w:abstractNumId w:val="247783"/>
  </w:num>
  <w:num w:numId="7">
    <w:abstractNumId w:val="247784"/>
  </w:num>
  <w:num w:numId="8">
    <w:abstractNumId w:val="247785"/>
  </w:num>
  <w:num w:numId="9">
    <w:abstractNumId w:val="247786"/>
  </w:num>
  <w:num w:numId="10">
    <w:abstractNumId w:val="247787"/>
  </w:num>
  <w:num w:numId="11">
    <w:abstractNumId w:val="247788"/>
  </w:num>
  <w:num w:numId="12">
    <w:abstractNumId w:val="247789"/>
  </w:num>
  <w:num w:numId="13">
    <w:abstractNumId w:val="247790"/>
  </w:num>
  <w:num w:numId="14">
    <w:abstractNumId w:val="247791"/>
  </w:num>
  <w:num w:numId="15">
    <w:abstractNumId w:val="247792"/>
  </w:num>
  <w:num w:numId="16">
    <w:abstractNumId w:val="247793"/>
  </w:num>
  <w:num w:numId="17">
    <w:abstractNumId w:val="247794"/>
  </w:num>
  <w:num w:numId="18">
    <w:abstractNumId w:val="247795"/>
  </w:num>
  <w:num w:numId="19">
    <w:abstractNumId w:val="247796"/>
  </w:num>
  <w:num w:numId="20">
    <w:abstractNumId w:val="247797"/>
  </w:num>
  <w:num w:numId="21">
    <w:abstractNumId w:val="247798"/>
  </w:num>
  <w:num w:numId="22">
    <w:abstractNumId w:val="247799"/>
  </w:num>
  <w:num w:numId="23">
    <w:abstractNumId w:val="247800"/>
  </w:num>
  <w:num w:numId="24">
    <w:abstractNumId w:val="247801"/>
  </w:num>
  <w:num w:numId="25">
    <w:abstractNumId w:val="247802"/>
  </w:num>
  <w:num w:numId="26">
    <w:abstractNumId w:val="247803"/>
  </w:num>
  <w:num w:numId="27">
    <w:abstractNumId w:val="247804"/>
  </w:num>
  <w:num w:numId="28">
    <w:abstractNumId w:val="247805"/>
  </w:num>
  <w:num w:numId="29">
    <w:abstractNumId w:val="2478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wqa.gz.cvte.cn/#/interfaceTest/project/cstore/interfaceView/api/2667/interface/15535" TargetMode="External" Type="http://schemas.openxmlformats.org/officeDocument/2006/relationships/hyperlink"/><Relationship Id="rId6" Target="https://swqa.gz.cvte.cn/#/interfaceTest/project/cstore/interfaceView/api/1578/interface/3649" TargetMode="External" Type="http://schemas.openxmlformats.org/officeDocument/2006/relationships/hyperlink"/><Relationship Id="rId7" Target="https://cvte.feishu.cn/file/TkPTbQkWnoq62Nx4rzTcUielnRg" TargetMode="External" Type="http://schemas.openxmlformats.org/officeDocument/2006/relationships/hyperlink"/><Relationship Id="rId8" Target="https://cvte.feishu.cn/file/RAu2blbk0oLWuGxB6nDcobaknFd" TargetMode="External" Type="http://schemas.openxmlformats.org/officeDocument/2006/relationships/hyperlink"/><Relationship Id="rId9" Target="media/image1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2026-10-19T08:40:04Z</dcterms:created>
  <dc:creator>Apache POI</dc:creator>
</cp:coreProperties>
</file>