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コードの初期失敗を修正介入がどの程度救済し，どの対象を救済するかを分析した．自己見直しR，実行結果提示F，説明・原因分析を促す自己デバッグDを，同じ初期コードから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1,000初期組・5,000条件記録を対象と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片側救済83組の両条件166履歴・398修正遷移を静的に確認した．</w:t>
      </w:r>
    </w:p>
    <w:p>
      <w:pPr>
        <w:jc w:val="left"/>
      </w:pPr>
      <w:r>
        <w:rPr>
          <w:rFonts w:ascii="Century" w:hAnsi="Century" w:cs="Century" w:eastAsia="MS 明朝"/>
          <w:b w:val="0"/>
          <w:color w:val="000000"/>
          <w:sz w:val="21"/>
        </w:rPr>
        <w:t>同じ初期コードを保持する独立再生成B4を追加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固定出典と執筆時点の切り分け</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20</w:t>
      </w:r>
    </w:p>
    <w:p>
      <w:pPr>
        <w:tabs>
          <w:tab w:pos="9581" w:val="right" w:leader="dot"/>
        </w:tabs>
        <w:spacing w:before="0" w:after="0" w:line="240" w:lineRule="auto"/>
        <w:ind w:left="0"/>
      </w:pPr>
      <w:r>
        <w:rPr>
          <w:rFonts w:ascii="Century" w:hAnsi="Century" w:cs="Century" w:eastAsia="MS 明朝"/>
          <w:b w:val="0"/>
          <w:color w:val="000000"/>
          <w:sz w:val="18"/>
        </w:rPr>
        <w:t>5 考察</w:t>
        <w:tab/>
        <w:t>21</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21</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21</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21</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22</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22</w:t>
      </w:r>
    </w:p>
    <w:p>
      <w:pPr>
        <w:tabs>
          <w:tab w:pos="9581" w:val="right" w:leader="dot"/>
        </w:tabs>
        <w:spacing w:before="0" w:after="0" w:line="240" w:lineRule="auto"/>
        <w:ind w:left="0"/>
      </w:pPr>
      <w:r>
        <w:rPr>
          <w:rFonts w:ascii="Century" w:hAnsi="Century" w:cs="Century" w:eastAsia="MS 明朝"/>
          <w:b w:val="0"/>
          <w:color w:val="000000"/>
          <w:sz w:val="18"/>
        </w:rPr>
        <w:t>6 おわりに</w:t>
        <w:tab/>
        <w:t>23</w:t>
      </w:r>
    </w:p>
    <w:p>
      <w:pPr>
        <w:tabs>
          <w:tab w:pos="9581" w:val="right" w:leader="dot"/>
        </w:tabs>
        <w:spacing w:before="0" w:after="0" w:line="240" w:lineRule="auto"/>
        <w:ind w:left="227"/>
      </w:pPr>
      <w:r>
        <w:rPr>
          <w:rFonts w:ascii="Century" w:hAnsi="Century" w:cs="Century" w:eastAsia="MS 明朝"/>
          <w:b w:val="0"/>
          <w:color w:val="000000"/>
          <w:sz w:val="18"/>
        </w:rPr>
        <w:t>6.1 研究成果</w:t>
        <w:tab/>
        <w:t>23</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23</w:t>
      </w:r>
    </w:p>
    <w:p>
      <w:pPr>
        <w:tabs>
          <w:tab w:pos="9581" w:val="right" w:leader="dot"/>
        </w:tabs>
        <w:spacing w:before="0" w:after="0" w:line="240" w:lineRule="auto"/>
        <w:ind w:left="0"/>
      </w:pPr>
      <w:r>
        <w:rPr>
          <w:rFonts w:ascii="Century" w:hAnsi="Century" w:cs="Century" w:eastAsia="MS 明朝"/>
          <w:b w:val="0"/>
          <w:color w:val="000000"/>
          <w:sz w:val="18"/>
        </w:rPr>
        <w:t>7 参考文献</w:t>
        <w:tab/>
        <w:t>24</w:t>
      </w:r>
    </w:p>
    <w:p>
      <w:pPr>
        <w:tabs>
          <w:tab w:pos="9581" w:val="right" w:leader="dot"/>
        </w:tabs>
        <w:spacing w:before="0" w:after="0" w:line="240" w:lineRule="auto"/>
        <w:ind w:left="0"/>
      </w:pPr>
      <w:r>
        <w:rPr>
          <w:rFonts w:ascii="Century" w:hAnsi="Century" w:cs="Century" w:eastAsia="MS 明朝"/>
          <w:b w:val="0"/>
          <w:color w:val="000000"/>
          <w:sz w:val="18"/>
        </w:rPr>
        <w:t>8 付録</w:t>
        <w:tab/>
        <w:t>25</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25</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25</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25</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26</w:t>
      </w:r>
    </w:p>
    <w:p>
      <w:pPr>
        <w:tabs>
          <w:tab w:pos="9581" w:val="right" w:leader="dot"/>
        </w:tabs>
        <w:spacing w:before="0" w:after="0" w:line="240" w:lineRule="auto"/>
        <w:ind w:left="454"/>
      </w:pPr>
      <w:r>
        <w:rPr>
          <w:rFonts w:ascii="Century" w:hAnsi="Century" w:cs="Century" w:eastAsia="MS 明朝"/>
          <w:b w:val="0"/>
          <w:color w:val="000000"/>
          <w:sz w:val="18"/>
        </w:rPr>
        <w:t>8.2.1 集計単位</w:t>
        <w:tab/>
        <w:t>26</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26</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26</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26</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成功を得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分母を伴う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と指標の付録を置く．本稿は2026-10-16版の到達経路と2026-10-22固定のB4追加実験 [3] に基づく草稿であり，今回の執筆では追加生成・生成コード実行を行っていない．</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の位置づけは，選定した量子回路課題の中で介入の救済対象と消費を記述する実験的分析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相違を残したまま，外部情報の有無を比較設計で明示するという問題意識に接続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このベンチマークからの抽出と位置づけておらず，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生成回数だけを増やして採点を無視する条件ではなく，各候補をL3で検査し，成功時に停止する対照である．比較対象は，評価を受ける機会を持った反復的なコード生成手順にな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これは比較を改善する一歩だが，同じ上限にしただけでは入力情報量や消費tokensを揃えられない．比較で何を揃え，何を揃えていないかを明示する．</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原因確認済みの初期失敗1組は，未定義変数simによるNameErrorであり，実行時エラー（未定義変数）に分類した．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重要なのは，生成要求を送った回数と，保存された条件記録数が同じではない点であ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が後続生成へ入る条件では，採点変更の影響を最終フラグだけに局限できない．</w:t>
      </w:r>
    </w:p>
    <w:p>
      <w:pPr>
        <w:widowControl/>
        <w:jc w:val="left"/>
      </w:pPr>
      <w:r>
        <w:rPr>
          <w:rFonts w:ascii="Century" w:hAnsi="Century" w:cs="Century" w:eastAsia="MS 明朝"/>
          <w:b w:val="0"/>
          <w:color w:val="000000"/>
          <w:sz w:val="21"/>
        </w:rPr>
        <w:t>本研究の現在の主経路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失うと，異なる履歴の一部を寄せ集めて一つの条件が実際に辿り得たように見せる危険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本研究の初期失敗1組は，未定義変数simによるNameErrorと確認し，実行時エラー（未定義変数）に分類した．B4追加roundにも未定義変数による実行時エラーが2件あり，いずれもコード側のNameErrorである．このように，分類ラベル，例外の由来，最終集計へ含める根拠を分けることで，不明なものを都合よく成功または障害へ振り分けることを避ける．</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の役割は，救済対象の不一致がどの初期類型に現れ，どのような文字列上の修正領域と同じ履歴に存在したかを，追跡可能な形で残すことである．意味的寄与を確かめるには，個別変更を分離した検証や，回路の作用に基づく別の分析が必要になる．本稿ではその作業を今後の課題とし，今回の静的確認だけで機構の解明が完了したとは主張し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0〜2，2条件，L2終了の既報であり，現行のL3による5,000条件記録へ合算しない．旧評価，保存コードの再採点，部分追試を三つの独立した主結果として並べない．本稿は2026-10-16版の固定スナップショット [3] を唯一の主集計とする．</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済みの生成履歴の前半部分の過去の記録値と，後半履歴の実測値を分離し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固定出典と執筆時点の切り分け</w:t>
      </w:r>
    </w:p>
    <w:p>
      <w:pPr>
        <w:widowControl/>
        <w:jc w:val="left"/>
      </w:pPr>
      <w:r>
        <w:rPr>
          <w:rFonts w:ascii="Century" w:hAnsi="Century" w:cs="Century" w:eastAsia="MS 明朝"/>
          <w:b w:val="0"/>
          <w:color w:val="000000"/>
          <w:sz w:val="21"/>
        </w:rPr>
        <w:t>実験レポートが継続更新されている環境では，執筆日が新しいことと，本文で採用する結果が新しく生成されたことは区別しなければならない．本稿の主結果は2026-10-16版の固定到達履歴に基づき，B4は2026-10-22固定の完了集計を加える．今回の本文拡充により，新しいモデル要求や生成コード評価を実行したわけではない．既存結果を説明する文章を増やしても，データの実験時点は変わらない．</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執筆途中で自動更新レポートの数値だけを転記すると，過去の評価値と現行の到達履歴が混ざる可能性があ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上の単位を残す．一方，モデルの生出力や例外の全文を本文へ大量に掲載することが，本研究の説明力を直接高めるとは限らない．本文では検証した性質と残る制約を言語化し，詳細な追跡はmanifestとCSVへ接続する．数値の根拠を追えることと，読者が分析上の意味を理解できることを両立させる構成と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大小が逆転した．全体でFが3組多いという結果は，すべてのモデルでFが多いことを意味しない．C7ではF/Dの救済件数が同じだが，成功した初期組まで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この違いから，最大の全体率を持つ条件だけで各モデルの適用範囲を代表させることは適切で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の大きさと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初期失敗1組の原因を確認し，未定義変数simによるNameErrorとして分類したもの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全体差が3組であっても，成功した対象の入れ替わりはそれより大きい．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2回で打ち切ると，3回までに救済した集合のうちF15.3%，D18.3%を失う．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たが，B4はさらに多くの初期失敗を追加成功へ導い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を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import失敗と回路構築失敗ではF/Dの大小が異なった．カタログでは，この観測を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分母付き結果へ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は，必ずしも同じ条件を最良としない．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への消費が大きいことから，その対象を事前に識別して無料で除外できるとはいえ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を都合よく貼り合わせて方策の成績を確定しない．</w:t>
      </w:r>
    </w:p>
    <w:p>
      <w:pPr>
        <w:widowControl/>
        <w:jc w:val="left"/>
      </w:pPr>
      <w:r>
        <w:rPr>
          <w:rFonts w:ascii="Century" w:hAnsi="Century" w:cs="Century" w:eastAsia="MS 明朝"/>
          <w:b w:val="0"/>
          <w:color w:val="000000"/>
          <w:sz w:val="21"/>
        </w:rPr>
        <w:t>実運用の目的が待機時間，tokens，成功数のどれを重視するかでも選択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実行前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計画であり，今回の原稿修正で新たな実験を行ったものではない．</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を含む消費を併記する必要がある．本稿は新しい介入アルゴリズムの有効性を確定した研究ではなく，方策を検証する前提となる適用範囲を整理した実証研究である．</w:t>
      </w:r>
    </w:p>
    <w:p>
      <w:pPr>
        <w:pStyle w:val="Heading2"/>
      </w:pPr>
      <w:r>
        <w:t>今後の課題</w:t>
      </w:r>
    </w:p>
    <w:p>
      <w:pPr>
        <w:widowControl/>
        <w:jc w:val="left"/>
      </w:pPr>
      <w:r>
        <w:rPr>
          <w:rFonts w:ascii="Century" w:hAnsi="Century" w:cs="Century" w:eastAsia="MS 明朝"/>
          <w:b w:val="0"/>
          <w:color w:val="000000"/>
          <w:sz w:val="21"/>
        </w:rPr>
        <w:t>次の段階では，実行前に利用できる特徴による選択と停止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成功例だけでなく未成功対象とその消費を残し，観測結果と未検証の方策を区別して更新することが，量子LLM支援プログラミングの次の実証へつなが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伊藤悠真：現行救済経路の固定発表出典（2026-10-16版）．本リポジトリ docs/presentation_sources/20261016T_reachable_rescues/，results_snapshot.json，source_manifest.jsonおよび対応CSV．B4追加実験（2026-10-22固定）：docs/analysis/independent_4_completed_20261022/の保存設定・manifest・sanity・集計CSV．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公開資料には生成コード・prompt・API応答・生例外文・raw.jsonl・秘密情報を含めない．今回の資料作成は固定公開集計の読み取りと文書化であり，追加のモデル要求や生成コード再実行は行わない．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初期組はモデル×タスク×seedの1,000組，条件記録は各組5条件の5,000記録，到達roundは現在の経路上の9,249 roundである．単位を混ぜて成功率の分母にしない．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