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量子回路コード生成において，初期失敗に対する修正介入と独立再生成を比較し，追加成功数，成功対象および計算コストを分析した．自己見直しR，実行結果提示F，説明・原因分析を促す自己デバッグDと，独立再生成B4を，同じ初期コードを起点として比較した．生成前注意事項Pは独立生成として扱った．全1,000初期組の最終L3成功率はB45.5%，P47.3%，R55.1%，F63.8%，D63.5%，B4 67.2%であった．</w:t>
      </w:r>
    </w:p>
    <w:p>
      <w:pPr>
        <w:jc w:val="left"/>
      </w:pPr>
      <w:r>
        <w:rPr>
          <w:rFonts w:ascii="Century" w:hAnsi="Century" w:cs="Century" w:eastAsia="MS 明朝"/>
          <w:b w:val="0"/>
          <w:color w:val="000000"/>
          <w:sz w:val="21"/>
        </w:rPr>
        <w:t>対象は5モデル，10タスク，seed 0〜19である．モデル・タスク・seedの組合せを初期組と呼び，B/R/F/D/Pの1,000初期組・5,000条件記録を対象とし，B4の追加実験を別に集計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Fのみ・Dのみの救済計83組について，両条件166履歴・398修正遷移を静的に確認した．</w:t>
      </w:r>
    </w:p>
    <w:p>
      <w:pPr>
        <w:jc w:val="left"/>
      </w:pPr>
      <w:r>
        <w:rPr>
          <w:rFonts w:ascii="Century" w:hAnsi="Century" w:cs="Century" w:eastAsia="MS 明朝"/>
          <w:b w:val="0"/>
          <w:color w:val="000000"/>
          <w:sz w:val="21"/>
        </w:rPr>
        <w:t>独立再生成B4では同じ初期コードを保持し，初期失敗に対して最大3回，前回コードや診断を与えず再生成した．B4は217/545組（39.8%）で成功し，最終成功は672/1,000組（67.2%）であった．追加1,342要求，995,815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7</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6条件と共有初期コード</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分析対象と固定出典の範囲</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18</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19</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19</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20</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21</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22</w:t>
      </w:r>
    </w:p>
    <w:p>
      <w:pPr>
        <w:tabs>
          <w:tab w:pos="9581" w:val="right" w:leader="dot"/>
        </w:tabs>
        <w:spacing w:before="0" w:after="0" w:line="240" w:lineRule="auto"/>
        <w:ind w:left="0"/>
      </w:pPr>
      <w:r>
        <w:rPr>
          <w:rFonts w:ascii="Century" w:hAnsi="Century" w:cs="Century" w:eastAsia="MS 明朝"/>
          <w:b w:val="0"/>
          <w:color w:val="000000"/>
          <w:sz w:val="18"/>
        </w:rPr>
        <w:t>5 考察</w:t>
        <w:tab/>
        <w:t>23</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23</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23</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24</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24</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24</w:t>
      </w:r>
    </w:p>
    <w:p>
      <w:pPr>
        <w:tabs>
          <w:tab w:pos="9581" w:val="right" w:leader="dot"/>
        </w:tabs>
        <w:spacing w:before="0" w:after="0" w:line="240" w:lineRule="auto"/>
        <w:ind w:left="0"/>
      </w:pPr>
      <w:r>
        <w:rPr>
          <w:rFonts w:ascii="Century" w:hAnsi="Century" w:cs="Century" w:eastAsia="MS 明朝"/>
          <w:b w:val="0"/>
          <w:color w:val="000000"/>
          <w:sz w:val="18"/>
        </w:rPr>
        <w:t>6 おわりに</w:t>
        <w:tab/>
        <w:t>26</w:t>
      </w:r>
    </w:p>
    <w:p>
      <w:pPr>
        <w:tabs>
          <w:tab w:pos="9581" w:val="right" w:leader="dot"/>
        </w:tabs>
        <w:spacing w:before="0" w:after="0" w:line="240" w:lineRule="auto"/>
        <w:ind w:left="227"/>
      </w:pPr>
      <w:r>
        <w:rPr>
          <w:rFonts w:ascii="Century" w:hAnsi="Century" w:cs="Century" w:eastAsia="MS 明朝"/>
          <w:b w:val="0"/>
          <w:color w:val="000000"/>
          <w:sz w:val="18"/>
        </w:rPr>
        <w:t>6.1 研究成果</w:t>
        <w:tab/>
        <w:t>26</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26</w:t>
      </w:r>
    </w:p>
    <w:p>
      <w:pPr>
        <w:tabs>
          <w:tab w:pos="9581" w:val="right" w:leader="dot"/>
        </w:tabs>
        <w:spacing w:before="0" w:after="0" w:line="240" w:lineRule="auto"/>
        <w:ind w:left="0"/>
      </w:pPr>
      <w:r>
        <w:rPr>
          <w:rFonts w:ascii="Century" w:hAnsi="Century" w:cs="Century" w:eastAsia="MS 明朝"/>
          <w:b w:val="0"/>
          <w:color w:val="000000"/>
          <w:sz w:val="18"/>
        </w:rPr>
        <w:t>7 参考文献</w:t>
        <w:tab/>
        <w:t>27</w:t>
      </w:r>
    </w:p>
    <w:p>
      <w:pPr>
        <w:tabs>
          <w:tab w:pos="9581" w:val="right" w:leader="dot"/>
        </w:tabs>
        <w:spacing w:before="0" w:after="0" w:line="240" w:lineRule="auto"/>
        <w:ind w:left="0"/>
      </w:pPr>
      <w:r>
        <w:rPr>
          <w:rFonts w:ascii="Century" w:hAnsi="Century" w:cs="Century" w:eastAsia="MS 明朝"/>
          <w:b w:val="0"/>
          <w:color w:val="000000"/>
          <w:sz w:val="18"/>
        </w:rPr>
        <w:t>8 付録</w:t>
        <w:tab/>
        <w:t>28</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28</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28</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29</w:t>
      </w:r>
    </w:p>
    <w:p>
      <w:pPr>
        <w:tabs>
          <w:tab w:pos="9581" w:val="right" w:leader="dot"/>
        </w:tabs>
        <w:spacing w:before="0" w:after="0" w:line="240" w:lineRule="auto"/>
        <w:ind w:left="454"/>
      </w:pPr>
      <w:r>
        <w:rPr>
          <w:rFonts w:ascii="Century" w:hAnsi="Century" w:cs="Century" w:eastAsia="MS 明朝"/>
          <w:b w:val="0"/>
          <w:color w:val="000000"/>
          <w:sz w:val="18"/>
        </w:rPr>
        <w:t>8.2.1 集計単位</w:t>
        <w:tab/>
        <w:t>29</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29</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29</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29</w:t>
      </w:r>
    </w:p>
    <w:p>
      <w:pPr>
        <w:tabs>
          <w:tab w:pos="9581" w:val="right" w:leader="dot"/>
        </w:tabs>
        <w:spacing w:before="0" w:after="0" w:line="240" w:lineRule="auto"/>
        <w:ind w:left="227"/>
      </w:pPr>
      <w:r>
        <w:rPr>
          <w:rFonts w:ascii="Century" w:hAnsi="Century" w:cs="Century" w:eastAsia="MS 明朝"/>
          <w:b w:val="0"/>
          <w:color w:val="000000"/>
          <w:sz w:val="18"/>
        </w:rPr>
        <w:t>8.3 実験プロンプト</w:t>
        <w:tab/>
        <w:t>30</w:t>
      </w:r>
    </w:p>
    <w:p>
      <w:pPr>
        <w:tabs>
          <w:tab w:pos="9581" w:val="right" w:leader="dot"/>
        </w:tabs>
        <w:spacing w:before="0" w:after="0" w:line="240" w:lineRule="auto"/>
        <w:ind w:left="454"/>
      </w:pPr>
      <w:r>
        <w:rPr>
          <w:rFonts w:ascii="Century" w:hAnsi="Century" w:cs="Century" w:eastAsia="MS 明朝"/>
          <w:b w:val="0"/>
          <w:color w:val="000000"/>
          <w:sz w:val="18"/>
        </w:rPr>
        <w:t>8.3.1 共通systemメッセージ</w:t>
        <w:tab/>
        <w:t>30</w:t>
      </w:r>
    </w:p>
    <w:p>
      <w:pPr>
        <w:tabs>
          <w:tab w:pos="9581" w:val="right" w:leader="dot"/>
        </w:tabs>
        <w:spacing w:before="0" w:after="0" w:line="240" w:lineRule="auto"/>
        <w:ind w:left="454"/>
      </w:pPr>
      <w:r>
        <w:rPr>
          <w:rFonts w:ascii="Century" w:hAnsi="Century" w:cs="Century" w:eastAsia="MS 明朝"/>
          <w:b w:val="0"/>
          <w:color w:val="000000"/>
          <w:sz w:val="18"/>
        </w:rPr>
        <w:t>8.3.2 課題仕様 T1_Bell</w:t>
        <w:tab/>
        <w:t>30</w:t>
      </w:r>
    </w:p>
    <w:p>
      <w:pPr>
        <w:tabs>
          <w:tab w:pos="9581" w:val="right" w:leader="dot"/>
        </w:tabs>
        <w:spacing w:before="0" w:after="0" w:line="240" w:lineRule="auto"/>
        <w:ind w:left="454"/>
      </w:pPr>
      <w:r>
        <w:rPr>
          <w:rFonts w:ascii="Century" w:hAnsi="Century" w:cs="Century" w:eastAsia="MS 明朝"/>
          <w:b w:val="0"/>
          <w:color w:val="000000"/>
          <w:sz w:val="18"/>
        </w:rPr>
        <w:t>8.3.3 課題仕様 T2_GHZ</w:t>
        <w:tab/>
        <w:t>30</w:t>
      </w:r>
    </w:p>
    <w:p>
      <w:pPr>
        <w:tabs>
          <w:tab w:pos="9581" w:val="right" w:leader="dot"/>
        </w:tabs>
        <w:spacing w:before="0" w:after="0" w:line="240" w:lineRule="auto"/>
        <w:ind w:left="454"/>
      </w:pPr>
      <w:r>
        <w:rPr>
          <w:rFonts w:ascii="Century" w:hAnsi="Century" w:cs="Century" w:eastAsia="MS 明朝"/>
          <w:b w:val="0"/>
          <w:color w:val="000000"/>
          <w:sz w:val="18"/>
        </w:rPr>
        <w:t>8.3.4 課題仕様 T3a_DJ_constant</w:t>
        <w:tab/>
        <w:t>30</w:t>
      </w:r>
    </w:p>
    <w:p>
      <w:pPr>
        <w:tabs>
          <w:tab w:pos="9581" w:val="right" w:leader="dot"/>
        </w:tabs>
        <w:spacing w:before="0" w:after="0" w:line="240" w:lineRule="auto"/>
        <w:ind w:left="454"/>
      </w:pPr>
      <w:r>
        <w:rPr>
          <w:rFonts w:ascii="Century" w:hAnsi="Century" w:cs="Century" w:eastAsia="MS 明朝"/>
          <w:b w:val="0"/>
          <w:color w:val="000000"/>
          <w:sz w:val="18"/>
        </w:rPr>
        <w:t>8.3.5 課題仕様 T3b_DJ_balanced</w:t>
        <w:tab/>
        <w:t>31</w:t>
      </w:r>
    </w:p>
    <w:p>
      <w:pPr>
        <w:tabs>
          <w:tab w:pos="9581" w:val="right" w:leader="dot"/>
        </w:tabs>
        <w:spacing w:before="0" w:after="0" w:line="240" w:lineRule="auto"/>
        <w:ind w:left="454"/>
      </w:pPr>
      <w:r>
        <w:rPr>
          <w:rFonts w:ascii="Century" w:hAnsi="Century" w:cs="Century" w:eastAsia="MS 明朝"/>
          <w:b w:val="0"/>
          <w:color w:val="000000"/>
          <w:sz w:val="18"/>
        </w:rPr>
        <w:t>8.3.6 課題仕様 T4_BV_011</w:t>
        <w:tab/>
        <w:t>31</w:t>
      </w:r>
    </w:p>
    <w:p>
      <w:pPr>
        <w:tabs>
          <w:tab w:pos="9581" w:val="right" w:leader="dot"/>
        </w:tabs>
        <w:spacing w:before="0" w:after="0" w:line="240" w:lineRule="auto"/>
        <w:ind w:left="454"/>
      </w:pPr>
      <w:r>
        <w:rPr>
          <w:rFonts w:ascii="Century" w:hAnsi="Century" w:cs="Century" w:eastAsia="MS 明朝"/>
          <w:b w:val="0"/>
          <w:color w:val="000000"/>
          <w:sz w:val="18"/>
        </w:rPr>
        <w:t>8.3.7 課題仕様 T5_Grover_11</w:t>
        <w:tab/>
        <w:t>31</w:t>
      </w:r>
    </w:p>
    <w:p>
      <w:pPr>
        <w:tabs>
          <w:tab w:pos="9581" w:val="right" w:leader="dot"/>
        </w:tabs>
        <w:spacing w:before="0" w:after="0" w:line="240" w:lineRule="auto"/>
        <w:ind w:left="454"/>
      </w:pPr>
      <w:r>
        <w:rPr>
          <w:rFonts w:ascii="Century" w:hAnsi="Century" w:cs="Century" w:eastAsia="MS 明朝"/>
          <w:b w:val="0"/>
          <w:color w:val="000000"/>
          <w:sz w:val="18"/>
        </w:rPr>
        <w:t>8.3.8 課題仕様 T6_QFT_001</w:t>
        <w:tab/>
        <w:t>32</w:t>
      </w:r>
    </w:p>
    <w:p>
      <w:pPr>
        <w:tabs>
          <w:tab w:pos="9581" w:val="right" w:leader="dot"/>
        </w:tabs>
        <w:spacing w:before="0" w:after="0" w:line="240" w:lineRule="auto"/>
        <w:ind w:left="454"/>
      </w:pPr>
      <w:r>
        <w:rPr>
          <w:rFonts w:ascii="Century" w:hAnsi="Century" w:cs="Century" w:eastAsia="MS 明朝"/>
          <w:b w:val="0"/>
          <w:color w:val="000000"/>
          <w:sz w:val="18"/>
        </w:rPr>
        <w:t>8.3.9 課題仕様 T7_IQFT_001</w:t>
        <w:tab/>
        <w:t>32</w:t>
      </w:r>
    </w:p>
    <w:p>
      <w:pPr>
        <w:tabs>
          <w:tab w:pos="9581" w:val="right" w:leader="dot"/>
        </w:tabs>
        <w:spacing w:before="0" w:after="0" w:line="240" w:lineRule="auto"/>
        <w:ind w:left="454"/>
      </w:pPr>
      <w:r>
        <w:rPr>
          <w:rFonts w:ascii="Century" w:hAnsi="Century" w:cs="Century" w:eastAsia="MS 明朝"/>
          <w:b w:val="0"/>
          <w:color w:val="000000"/>
          <w:sz w:val="18"/>
        </w:rPr>
        <w:t>8.3.10 課題仕様 T8_QPE_001</w:t>
        <w:tab/>
        <w:t>32</w:t>
      </w:r>
    </w:p>
    <w:p>
      <w:pPr>
        <w:tabs>
          <w:tab w:pos="9581" w:val="right" w:leader="dot"/>
        </w:tabs>
        <w:spacing w:before="0" w:after="0" w:line="240" w:lineRule="auto"/>
        <w:ind w:left="454"/>
      </w:pPr>
      <w:r>
        <w:rPr>
          <w:rFonts w:ascii="Century" w:hAnsi="Century" w:cs="Century" w:eastAsia="MS 明朝"/>
          <w:b w:val="0"/>
          <w:color w:val="000000"/>
          <w:sz w:val="18"/>
        </w:rPr>
        <w:t>8.3.11 課題仕様 T9_Ansatz_001</w:t>
        <w:tab/>
        <w:t>33</w:t>
      </w:r>
    </w:p>
    <w:p>
      <w:pPr>
        <w:tabs>
          <w:tab w:pos="9581" w:val="right" w:leader="dot"/>
        </w:tabs>
        <w:spacing w:before="0" w:after="0" w:line="240" w:lineRule="auto"/>
        <w:ind w:left="454"/>
      </w:pPr>
      <w:r>
        <w:rPr>
          <w:rFonts w:ascii="Century" w:hAnsi="Century" w:cs="Century" w:eastAsia="MS 明朝"/>
          <w:b w:val="0"/>
          <w:color w:val="000000"/>
          <w:sz w:val="18"/>
        </w:rPr>
        <w:t>8.3.12 修正テンプレート R：自己見直し</w:t>
        <w:tab/>
        <w:t>33</w:t>
      </w:r>
    </w:p>
    <w:p>
      <w:pPr>
        <w:tabs>
          <w:tab w:pos="9581" w:val="right" w:leader="dot"/>
        </w:tabs>
        <w:spacing w:before="0" w:after="0" w:line="240" w:lineRule="auto"/>
        <w:ind w:left="454"/>
      </w:pPr>
      <w:r>
        <w:rPr>
          <w:rFonts w:ascii="Century" w:hAnsi="Century" w:cs="Century" w:eastAsia="MS 明朝"/>
          <w:b w:val="0"/>
          <w:color w:val="000000"/>
          <w:sz w:val="18"/>
        </w:rPr>
        <w:t>8.3.13 修正テンプレート F：実行結果提示</w:t>
        <w:tab/>
        <w:t>33</w:t>
      </w:r>
    </w:p>
    <w:p>
      <w:pPr>
        <w:tabs>
          <w:tab w:pos="9581" w:val="right" w:leader="dot"/>
        </w:tabs>
        <w:spacing w:before="0" w:after="0" w:line="240" w:lineRule="auto"/>
        <w:ind w:left="454"/>
      </w:pPr>
      <w:r>
        <w:rPr>
          <w:rFonts w:ascii="Century" w:hAnsi="Century" w:cs="Century" w:eastAsia="MS 明朝"/>
          <w:b w:val="0"/>
          <w:color w:val="000000"/>
          <w:sz w:val="18"/>
        </w:rPr>
        <w:t>8.3.14 修正テンプレート D：自己デバッグ</w:t>
        <w:tab/>
        <w:t>34</w:t>
      </w:r>
    </w:p>
    <w:p>
      <w:pPr>
        <w:tabs>
          <w:tab w:pos="9581" w:val="right" w:leader="dot"/>
        </w:tabs>
        <w:spacing w:before="0" w:after="0" w:line="240" w:lineRule="auto"/>
        <w:ind w:left="454"/>
      </w:pPr>
      <w:r>
        <w:rPr>
          <w:rFonts w:ascii="Century" w:hAnsi="Century" w:cs="Century" w:eastAsia="MS 明朝"/>
          <w:b w:val="0"/>
          <w:color w:val="000000"/>
          <w:sz w:val="18"/>
        </w:rPr>
        <w:t>8.3.15 Pの予防的注意事項</w:t>
        <w:tab/>
        <w:t>34</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w:t>
      </w:r>
    </w:p>
    <w:p>
      <w:pPr>
        <w:widowControl/>
        <w:jc w:val="left"/>
      </w:pPr>
      <w:r>
        <w:rPr>
          <w:rFonts w:ascii="Century" w:hAnsi="Century" w:cs="Century" w:eastAsia="MS 明朝"/>
          <w:b w:val="0"/>
          <w:color w:val="000000"/>
          <w:sz w:val="21"/>
        </w:rPr>
        <w:t>RQ1（追加成功）　修正介入R/F/Dと独立再生成B4では，同じ初期失敗のうち，どれだけの事例が追加の生成によってL3に到達するか．</w:t>
      </w:r>
    </w:p>
    <w:p>
      <w:pPr>
        <w:widowControl/>
        <w:jc w:val="left"/>
      </w:pPr>
      <w:r>
        <w:rPr>
          <w:rFonts w:ascii="Century" w:hAnsi="Century" w:cs="Century" w:eastAsia="MS 明朝"/>
          <w:b w:val="0"/>
          <w:color w:val="000000"/>
          <w:sz w:val="21"/>
        </w:rPr>
        <w:t>RQ2（救済対象）　救済数が近い介入は，同じ初期失敗事例を救済するか．</w:t>
      </w:r>
    </w:p>
    <w:p>
      <w:pPr>
        <w:widowControl/>
        <w:jc w:val="left"/>
      </w:pPr>
      <w:r>
        <w:rPr>
          <w:rFonts w:ascii="Century" w:hAnsi="Century" w:cs="Century" w:eastAsia="MS 明朝"/>
          <w:b w:val="0"/>
          <w:color w:val="000000"/>
          <w:sz w:val="21"/>
        </w:rPr>
        <w:t>RQ3（追加計算コストと修正回数）　未救済例も含む追加計算コストと修正回数は，救済数とどのように対応するか．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初期失敗数を明示した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指標の読み方，実験プロンプトを付録として示す．本研究の分析には，保存済みの実験結果と必要な部分追試を用いた．B/R/F/D/Pは2026-10-16版，B4は2026-10-22固定の追加実験結果 [3] に基づく．</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評価方式に基づく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w:t>
      </w:r>
    </w:p>
    <w:p>
      <w:pPr>
        <w:widowControl/>
        <w:jc w:val="left"/>
      </w:pPr>
      <w:r>
        <w:rPr>
          <w:rFonts w:ascii="Century" w:hAnsi="Century" w:cs="Century" w:eastAsia="MS 明朝"/>
          <w:b w:val="0"/>
          <w:color w:val="000000"/>
          <w:sz w:val="21"/>
        </w:rPr>
        <w:t>本研究は，選定した量子回路課題における介入の救済対象と追加計算コストを記述する実証研究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違いを踏まえ，本研究では外部情報の有無を比較条件として明示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同ベンチマークから抽出したものではなく，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各候補をL3で検査し，成功時に停止する対照である．候補の生成だけでなく，評価と停止も含む手順として比較す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ただし，生成回数の上限を揃えても，入力情報量や消費tokensは一致しない．</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6条件と共有初期コード</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6条件の方法，最大生成回数と役割を示す．モデル・タスク・seedの組を初期組と呼ぶ．Bは初期生成のみの条件である．R/F/DはBと同じ初期コードと判定を共有し，初期失敗に対して最大3回の修正を行う．成功した時点で停止し，以降の修正は行わない．R/F/D/B4の最大4回は，初回1回と最大3回の追加生成を意味する．B4もBの初期コードを共有する一方，PはBとは異なる初期コードを独立に生成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6条件の方法・最大生成回数・役割</w:t>
      </w:r>
    </w:p>
    <w:tbl>
      <w:tblPr>
        <w:tblW w:type="dxa" w:w="9071"/>
        <w:tblLayout w:type="fixed"/>
        <w:tblLook w:firstColumn="1" w:firstRow="1" w:lastColumn="0" w:lastRow="0" w:noHBand="0" w:noVBand="1" w:val="04A0"/>
      </w:tblPr>
      <w:tblGrid>
        <w:gridCol w:w="907"/>
        <w:gridCol w:w="2721"/>
        <w:gridCol w:w="1701"/>
        <w:gridCol w:w="374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72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方法</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最大生成回数</w:t>
            </w:r>
          </w:p>
        </w:tc>
        <w:tc>
          <w:tcPr>
            <w:tcW w:type="dxa" w:w="374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役割</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初回生成のみ</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基準条件</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2721"/>
            <w:tcBorders/>
          </w:tcPr>
          <w:p>
            <w:pPr>
              <w:keepNext/>
              <w:keepLines/>
              <w:spacing w:after="20" w:before="20" w:line="250" w:lineRule="exact"/>
              <w:jc w:val="left"/>
            </w:pPr>
            <w:r>
              <w:rPr>
                <w:rFonts w:ascii="Century" w:hAnsi="Century" w:cs="Century" w:eastAsia="MS 明朝"/>
                <w:b w:val="0"/>
                <w:color w:val="000000"/>
                <w:sz w:val="21"/>
              </w:rPr>
              <w:t>生成前注意事項付き生成</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生成前介入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自己見直し</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実行結果提示</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自己デバッグ</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独立再生成</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w:t>
            </w:r>
          </w:p>
        </w:tc>
        <w:tc>
          <w:tcPr>
            <w:tcW w:type="dxa" w:w="3742"/>
            <w:tcBorders>
              <w:bottom w:val="single" w:sz="4"/>
            </w:tcBorders>
          </w:tcPr>
          <w:p>
            <w:pPr>
              <w:keepNext w:val="0"/>
              <w:keepLines/>
              <w:spacing w:after="20" w:before="20" w:line="250" w:lineRule="exact"/>
              <w:jc w:val="left"/>
            </w:pPr>
            <w:r>
              <w:rPr>
                <w:rFonts w:ascii="Century" w:hAnsi="Century" w:cs="Century" w:eastAsia="MS 明朝"/>
                <w:b w:val="0"/>
                <w:color w:val="000000"/>
                <w:sz w:val="21"/>
              </w:rPr>
              <w:t>生成機会上限をそろえた対照条件</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R/F/Dによる修正で，初期L3未達から最終L3成功に変化した初期組を救済と呼ぶ．救済率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時にunknown_errorと記録された初期失敗1組について，事後確認により未定義変数simによるNameErrorと判明したため，本稿では「実行時エラー（未定義変数）」と表記する．保存データの分類キーは変更していない．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生成要求の回数と，保存された条件記録数は異な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を後続生成へ与える条件では，採点変更は最終判定だけでなく後続の要求にも影響する．</w:t>
      </w:r>
    </w:p>
    <w:p>
      <w:pPr>
        <w:widowControl/>
        <w:jc w:val="left"/>
      </w:pPr>
      <w:r>
        <w:rPr>
          <w:rFonts w:ascii="Century" w:hAnsi="Century" w:cs="Century" w:eastAsia="MS 明朝"/>
          <w:b w:val="0"/>
          <w:color w:val="000000"/>
          <w:sz w:val="21"/>
        </w:rPr>
        <w:t>本研究で分析する到達履歴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確認せずに異なる履歴の一部を接続すると，実際には到達できない経路を作るおそれ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保存時にunknown_errorと記録された初期失敗1組について，事後確認により未定義変数simによるNameErrorと判明したため，本稿では「実行時エラー（未定義変数）」と表記する．保存データの分類キーは変更していない．B4追加roundにも未定義変数による実行時エラーが2件あり，いずれもコード側のNameErrorである．分類ラベルだけでなく例外の由来を確認し，コード側の失敗として集計した．</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では，救済対象の不一致が生じた初期類型と，各履歴で変更されたコード領域を対応づける．意味的寄与を確かめるには，個別変更を分離した検証や，回路の作用に基づく別の分析が必要になる．静的確認だけでは，修正が成功に至る仕組みは特定でき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R/F/D/PおよびBの主集計には2026年10月16日版の固定スナップショットを用い，B4については2026年10月22日版の追加実験結果を用いる [3]．</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履歴の前半の記録値と，部分追試による後半の実測値を分け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分析対象と固定出典の範囲</w:t>
      </w:r>
    </w:p>
    <w:p>
      <w:pPr>
        <w:widowControl/>
        <w:jc w:val="left"/>
      </w:pPr>
      <w:r>
        <w:rPr>
          <w:rFonts w:ascii="Century" w:hAnsi="Century" w:cs="Century" w:eastAsia="MS 明朝"/>
          <w:b w:val="0"/>
          <w:color w:val="000000"/>
          <w:sz w:val="21"/>
        </w:rPr>
        <w:t>本研究の分析対象は，保存済みの実験結果と必要な部分追試から再構成した生成履歴，および独立再生成B4の追加実験である．B/R/F/D/Pには2026-10-16版の固定集計，B4には2026-10-22固定の完了集計を用いる．元実験，部分追試，B4は生成時期と入力情報が異なるため，それぞれの保存設定と由来を区別する．</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異なる集計時点の数値を混ぜると，過去の評価値と現行の到達履歴を区別できなくな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公開集計には，実験ID，保存設定，記録の完備性，集計単位を記載する．本文では集計結果とその解釈，検証上の制約を示し，個別記録の由来はmanifestとCSVで追跡できるようにする．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と</w:t>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全1,000初期組に対するB・P・R・F・D・B4の最終L3成功率を示す．Bは初回生成のみの基準条件，Pは生成前注意事項を加えた独立生成である．R/F/DはBの初期失敗コードを修正し，B4はBの初期コードを共有したうえで，前回コードや診断を与えず再生成する．まず全対象の最終的な到達状況を比較し，次に初期成功の保持を除いて，失敗後の修正・再生成による追加成功を比較する．</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6条件の最終L3成功率（全1,000初期組）</w:t>
      </w:r>
    </w:p>
    <w:tbl>
      <w:tblPr>
        <w:tblW w:type="dxa" w:w="9071"/>
        <w:tblLayout w:type="fixed"/>
        <w:tblLook w:firstColumn="1" w:firstRow="1" w:lastColumn="0" w:lastRow="0" w:noHBand="0" w:noVBand="1" w:val="04A0"/>
      </w:tblPr>
      <w:tblGrid>
        <w:gridCol w:w="1134"/>
        <w:gridCol w:w="2381"/>
        <w:gridCol w:w="2381"/>
        <w:gridCol w:w="3175"/>
      </w:tblGrid>
      <w:tr>
        <w:trPr>
          <w:cantSplit/>
          <w:tblHeader/>
        </w:trPr>
        <w:tc>
          <w:tcPr>
            <w:tcW w:type="dxa" w:w="113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L3成功数</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3175"/>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最終L3成功率</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B</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455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45.5%</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P</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473</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47.3%</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R</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551</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F</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638</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D</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134"/>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1,000</w:t>
            </w:r>
          </w:p>
        </w:tc>
        <w:tc>
          <w:tcPr>
            <w:tcW w:type="dxa" w:w="3175"/>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493241"/>
            <wp:docPr id="2" name="Picture 2" descr="6条件の最終L3成功率（分母は全1,000初期組）"/>
            <wp:cNvGraphicFramePr>
              <a:graphicFrameLocks noChangeAspect="1"/>
            </wp:cNvGraphicFramePr>
            <a:graphic>
              <a:graphicData uri="http://schemas.openxmlformats.org/drawingml/2006/picture">
                <pic:pic>
                  <pic:nvPicPr>
                    <pic:cNvPr id="0" name="final_success_rates.png"/>
                    <pic:cNvPicPr/>
                  </pic:nvPicPr>
                  <pic:blipFill>
                    <a:blip r:embed="rId11"/>
                    <a:stretch>
                      <a:fillRect/>
                    </a:stretch>
                  </pic:blipFill>
                  <pic:spPr>
                    <a:xfrm>
                      <a:off x="0" y="0"/>
                      <a:ext cx="5760000" cy="3493241"/>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6条件の最終L3成功率（分母は全1,000初期組）</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Bは追加生成を行わず，Pは初期コードを共有しないため，初期失敗への追加成功率の比較には含めない．Pの独立生成による改善と悪化は4.7節で詳述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134"/>
        <w:gridCol w:w="2494"/>
        <w:gridCol w:w="2494"/>
        <w:gridCol w:w="2948"/>
      </w:tblGrid>
      <w:tr>
        <w:trPr>
          <w:cantSplit/>
          <w:tblHeader/>
        </w:trPr>
        <w:tc>
          <w:tcPr>
            <w:tcW w:type="dxa" w:w="113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追加成功数</w:t>
            </w:r>
          </w:p>
        </w:tc>
        <w:tc>
          <w:tcPr>
            <w:tcW w:type="dxa" w:w="294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追加成功率</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R</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96</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17.6%</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F</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33.6%</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D</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33.0%</w:t>
            </w:r>
          </w:p>
        </w:tc>
      </w:tr>
      <w:tr>
        <w:trPr>
          <w:cantSplit/>
        </w:trPr>
        <w:tc>
          <w:tcPr>
            <w:tcW w:type="dxa" w:w="1134"/>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545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94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r>
    </w:tbl>
    <w:p>
      <w:pPr>
        <w:keepNext/>
        <w:keepLines/>
        <w:jc w:val="center"/>
      </w:pPr>
      <w:r>
        <w:drawing>
          <wp:inline xmlns:a="http://schemas.openxmlformats.org/drawingml/2006/main" xmlns:pic="http://schemas.openxmlformats.org/drawingml/2006/picture">
            <wp:extent cx="5760000" cy="3141140"/>
            <wp:docPr id="3" name="Picture 3"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2"/>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Dの救済数が多かった．全体でFが3組多いという結果は，すべてのモデルでFが多いことを意味しない．C7ではF/Dの救済件数が同じだが，成功した初期組が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全体の追加成功率が最も高い条件でも，各モデルで最も多く成功するとは限ら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数と失敗類型の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保存時にunknown_errorと記録された初期失敗1組について，事後確認で判明した未定義変数simによるNameErrorを示す本稿上の表記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救済数の差は3組だが，片側のみ救済された対象は83組あった．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w:t>
      </w:r>
    </w:p>
    <w:p>
      <w:pPr>
        <w:widowControl/>
        <w:jc w:val="left"/>
      </w:pPr>
      <w:r>
        <w:rPr>
          <w:rFonts w:ascii="Century" w:hAnsi="Century" w:cs="Century" w:eastAsia="MS 明朝"/>
          <w:b w:val="0"/>
          <w:color w:val="000000"/>
          <w:sz w:val="21"/>
        </w:rPr>
        <w:t>Fのみ成功した保存事例として，G4のIQFT課題（T7，seed 14）を示す．共有初期コードはQFTをqiskit.circuitから読み込もうとし，保存判定はimport失敗であった．Fの1回目の修正では読み込み先がqiskit.circuit.libraryへ変更され，L3成功となった．同時に，回路構築関数の外にあった使用例コードも削除された．</w:t>
      </w:r>
    </w:p>
    <w:p>
      <w:pPr>
        <w:keepLines/>
        <w:widowControl/>
        <w:jc w:val="left"/>
      </w:pPr>
      <w:r>
        <w:rPr>
          <w:rFonts w:ascii="Century" w:hAnsi="Century" w:cs="Century" w:eastAsia="MS 明朝"/>
          <w:b w:val="0"/>
          <w:color w:val="000000"/>
          <w:sz w:val="21"/>
        </w:rPr>
        <w:t>修正前（Fの初期コードから抜粋）</w:t>
        <w:br/>
        <w:t>from qiskit.circuit import QFT</w:t>
      </w:r>
    </w:p>
    <w:p>
      <w:pPr>
        <w:keepLines/>
        <w:widowControl/>
        <w:jc w:val="left"/>
      </w:pPr>
      <w:r>
        <w:rPr>
          <w:rFonts w:ascii="Century" w:hAnsi="Century" w:cs="Century" w:eastAsia="MS 明朝"/>
          <w:b w:val="0"/>
          <w:color w:val="000000"/>
          <w:sz w:val="21"/>
        </w:rPr>
        <w:t>修正後（Fのround 1から抜粋）</w:t>
        <w:br/>
        <w:t>from qiskit.circuit.library import QFT</w:t>
      </w:r>
    </w:p>
    <w:p>
      <w:pPr>
        <w:widowControl/>
        <w:jc w:val="left"/>
      </w:pPr>
      <w:r>
        <w:rPr>
          <w:rFonts w:ascii="Century" w:hAnsi="Century" w:cs="Century" w:eastAsia="MS 明朝"/>
          <w:b w:val="0"/>
          <w:color w:val="000000"/>
          <w:sz w:val="21"/>
        </w:rPr>
        <w:t>同じ初期コードからのDでは，説明コメントやQFT呼び出しの引数を変更したが，読み込み先はqiskit.circuitのまま残った．判定はround 0から3までimport失敗であった．この事例では，説明内で修正すべき箇所へ言及したことと，実際のコードが変更されたことを区別して確認できる．</w:t>
      </w:r>
    </w:p>
    <w:p>
      <w:pPr>
        <w:keepNext/>
        <w:keepLines/>
        <w:pageBreakBefore/>
        <w:widowControl/>
        <w:jc w:val="left"/>
      </w:pPr>
      <w:r>
        <w:rPr>
          <w:rFonts w:ascii="Century" w:hAnsi="Century" w:cs="Century" w:eastAsia="MS 明朝"/>
          <w:b w:val="0"/>
          <w:color w:val="000000"/>
          <w:sz w:val="21"/>
        </w:rPr>
        <w:t>Dのみ成功した保存事例は，G4のQPE課題（T8，seed 10）である．初期コードはqc.inverse_qft(...)を呼び出し，保存判定は回路構築失敗であった．Dの1回目の修正ではQFTをqiskit.circuit.libraryから読み込み，inverse=Trueで構成した回路をappendする形へ変更され，L3成功となった．</w:t>
      </w:r>
    </w:p>
    <w:p>
      <w:pPr>
        <w:keepNext/>
        <w:keepLines/>
        <w:widowControl/>
        <w:jc w:val="left"/>
      </w:pPr>
      <w:r>
        <w:rPr>
          <w:rFonts w:ascii="Century" w:hAnsi="Century" w:cs="Century" w:eastAsia="MS 明朝"/>
          <w:b w:val="0"/>
          <w:color w:val="000000"/>
          <w:sz w:val="21"/>
        </w:rPr>
        <w:t>修正前（Dの初期コードから抜粋）</w:t>
        <w:br/>
        <w:t>qc.inverse_qft(range(n_counting))</w:t>
      </w:r>
    </w:p>
    <w:p>
      <w:pPr>
        <w:keepNext/>
        <w:keepLines/>
        <w:widowControl/>
        <w:jc w:val="left"/>
      </w:pPr>
      <w:r>
        <w:rPr>
          <w:rFonts w:ascii="Century" w:hAnsi="Century" w:cs="Century" w:eastAsia="MS 明朝"/>
          <w:b w:val="0"/>
          <w:color w:val="000000"/>
          <w:sz w:val="21"/>
        </w:rPr>
        <w:t>修正後（Dのround 1から抜粋）</w:t>
        <w:br/>
        <w:t>from qiskit.circuit.library import QFT</w:t>
        <w:br/>
        <w:t>iqft = QFT(n_counting, inverse=True)</w:t>
        <w:br/>
        <w:t>qc.append(iqft.to_gate(), range(n_counting))</w:t>
      </w:r>
    </w:p>
    <w:p>
      <w:pPr>
        <w:keepLines/>
        <w:widowControl/>
        <w:jc w:val="left"/>
      </w:pPr>
      <w:r>
        <w:rPr>
          <w:rFonts w:ascii="Century" w:hAnsi="Century" w:cs="Century" w:eastAsia="MS 明朝"/>
          <w:b w:val="0"/>
          <w:color w:val="000000"/>
          <w:sz w:val="21"/>
        </w:rPr>
        <w:t>同じ初期コードからのFも逆QFTを組み立てる形へ変更したが，QFTの読み込み先をqiskit.circuitとしたため，round 1から3はimport失敗となった．Dでもimport以外のコードやコメントが同時に変化している．掲載した抜粋は変更箇所の一部であり，完全なプログラムではない．</w:t>
      </w:r>
    </w:p>
    <w:p>
      <w:pPr>
        <w:widowControl/>
        <w:jc w:val="left"/>
      </w:pPr>
      <w:r>
        <w:rPr>
          <w:rFonts w:ascii="Century" w:hAnsi="Century" w:cs="Century" w:eastAsia="MS 明朝"/>
          <w:b w:val="0"/>
          <w:color w:val="000000"/>
          <w:sz w:val="21"/>
        </w:rPr>
        <w:t>2事例は，APIの利用箇所と保存判定の推移を説明するため，同一モデルから選んだ．頻度や代表性を推定する標本ではなく，片側救済全83組の集計を置き換えない．記録キー，各roundのコードhash，判定と由来をcase_studies.jsonに保持した．成功に至った変更と未成功の変更を観察した結果であり，単独の変更や説明指示が成功原因だったとは断定しない．</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4" name="Picture 4"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3"/>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4" w:name="Figur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04"/>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Table10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同じ履歴を2回で打ち切る計算では，最終救済のうちF15.3%，D18.3%が失われる．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10" w:name="Table10"/>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bookmarkEnd w:id="110"/>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RQ1への回答．初期失敗545組に対する追加成功数はR96組，F183組，D180組，B4 217組であり，本対象ではB4が最多であっ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前回コードの再利用は，正しい部分を残す一方で誤った構造を引き継ぎ，入力を長くする可能性もある．これらの影響は本研究では分離して検証していない．</w:t>
      </w:r>
    </w:p>
    <w:p>
      <w:pPr>
        <w:widowControl/>
        <w:jc w:val="left"/>
      </w:pPr>
      <w:r>
        <w:rPr>
          <w:rFonts w:ascii="Century" w:hAnsi="Century" w:cs="Century" w:eastAsia="MS 明朝"/>
          <w:b w:val="0"/>
          <w:color w:val="000000"/>
          <w:sz w:val="21"/>
        </w:rPr>
        <w:t>RQ2への回答．F183組とD180組の救済数は近かったが，共通救済は140組，Fのみ43組，Dのみ40組であり，救済対象は一致しなかった．B4が失敗し，FまたはDが成功する対象もあるため，全体の追加成功数が最多の条件でも，他条件の成功対象をすべて含むわけではない．</w:t>
      </w:r>
    </w:p>
    <w:p>
      <w:pPr>
        <w:widowControl/>
        <w:jc w:val="left"/>
      </w:pPr>
      <w:r>
        <w:rPr>
          <w:rFonts w:ascii="Century" w:hAnsi="Century" w:cs="Century" w:eastAsia="MS 明朝"/>
          <w:b w:val="0"/>
          <w:color w:val="000000"/>
          <w:sz w:val="21"/>
        </w:rPr>
        <w:t>共有初期と最大生成機会を揃えても，投入情報，tokens，seed規則，実行時期は一致しない．成功率の差を介入の因果効果と解釈しない．本研究の到達点は対象集合内の成績と成功対象の範囲の記述であり，一般的なモデル順位や未知タスクでの最適介入は確定していない．</w:t>
      </w:r>
    </w:p>
    <w:p>
      <w:pPr>
        <w:pStyle w:val="Heading2"/>
      </w:pPr>
      <w:r>
        <w:t>介入カタログの構成と適用範囲</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に，</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と同じ初期失敗数を用いた介入カタログの抜粋を示す．初期失敗の多い3類型について，F/Dの救済率とB4の追加成功率を並べた．率は各条件の成功数を同じ類型の初期失敗数で割って算出し，条件間で初期対象を変えていない．他の類型の件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を参照する．</w:t>
      </w:r>
    </w:p>
    <w:p>
      <w:pPr>
        <w:keepNext/>
        <w:keepLines/>
        <w:widowControl/>
        <w:jc w:val="center"/>
      </w:pPr>
      <w:r>
        <w:rPr>
          <w:rFonts w:ascii="Century" w:hAnsi="Century" w:cs="Century" w:eastAsia="MS 明朝"/>
          <w:b w:val="0"/>
          <w:color w:val="000000"/>
          <w:sz w:val="21"/>
        </w:rPr>
        <w:t>表</w:t>
      </w:r>
      <w:bookmarkStart w:id="111" w:name="Table1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bookmarkEnd w:id="111"/>
      <w:r>
        <w:rPr>
          <w:rFonts w:ascii="Century" w:hAnsi="Century" w:cs="Century" w:eastAsia="MS 明朝"/>
          <w:b w:val="0"/>
          <w:color w:val="000000"/>
          <w:sz w:val="21"/>
        </w:rPr>
        <w:t xml:space="preserve"> 介入カタログの抜粋（主要3類型の観測率）</w:t>
      </w:r>
    </w:p>
    <w:tbl>
      <w:tblPr>
        <w:tblW w:type="dxa" w:w="9071"/>
        <w:tblLayout w:type="fixed"/>
        <w:tblLook w:firstColumn="1" w:firstRow="1" w:lastColumn="0" w:lastRow="0" w:noHBand="0" w:noVBand="1" w:val="04A0"/>
      </w:tblPr>
      <w:tblGrid>
        <w:gridCol w:w="2268"/>
        <w:gridCol w:w="1587"/>
        <w:gridCol w:w="1587"/>
        <w:gridCol w:w="1587"/>
        <w:gridCol w:w="2041"/>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初期失敗類型</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F救済率</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D救済率</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B4追加成功率</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21.4%</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26.6%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24.7%</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60.3%</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54.0%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61.1%</w:t>
            </w:r>
          </w:p>
        </w:tc>
      </w:tr>
      <w:tr>
        <w:trPr>
          <w:cantSplit/>
        </w:trPr>
        <w:tc>
          <w:tcPr>
            <w:tcW w:type="dxa" w:w="2268"/>
            <w:tcBorders>
              <w:bottom w:val="single" w:sz="4"/>
            </w:tcBorders>
          </w:tcPr>
          <w:p>
            <w:pPr>
              <w:keepNext w:val="0"/>
              <w:keepLines/>
              <w:spacing w:after="20" w:before="20" w:line="250" w:lineRule="exact"/>
              <w:jc w:val="left"/>
            </w:pPr>
            <w:r>
              <w:rPr>
                <w:rFonts w:ascii="Century" w:hAnsi="Century" w:cs="Century" w:eastAsia="MS 明朝"/>
                <w:b w:val="0"/>
                <w:color w:val="000000"/>
                <w:sz w:val="21"/>
              </w:rPr>
              <w:t>出力不一致</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65</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36.9%</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27.7%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70.8%</w:t>
            </w:r>
          </w:p>
        </w:tc>
      </w:tr>
    </w:tbl>
    <w:p>
      <w:pPr>
        <w:widowControl/>
        <w:jc w:val="left"/>
      </w:pPr>
      <w:r>
        <w:rPr>
          <w:rFonts w:ascii="Century" w:hAnsi="Century" w:cs="Century" w:eastAsia="MS 明朝"/>
          <w:b w:val="0"/>
          <w:color w:val="000000"/>
          <w:sz w:val="21"/>
        </w:rPr>
        <w:t>この一覧は，本研究のモデル・タスク・生成上限と評価条件で観測した比較結果であり，最も高い率の条件を無条件に推奨する規則ではない．F/Dは同じ失敗コードを修正し，B4は課題仕様から独立再生成する．比較条件の違いは5.1節に述べたとおりであり，未知の課題での優劣はこの表から判断できない．全体の追加計算コスト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に示したが，類型別の率と全体のコストを組み合わせて類型別の費用対効果を推定しない．</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失敗した生成要求の消費も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import失敗と回路構築失敗ではFとDの救済数の関係が異なった．カタログでは，この観測を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の初期失敗数と救済数に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では，最良となる条件が異なり得る．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RQ3への回答．未救済例への消費を含む追加tokens／救済の計算値はR18,852.6，F9,333.8，D10,976.6であった．3回目の修正ではF28組，D33組が追加救済された．追加計算コストと救済数は条件ごとに異なり，修正回数を減らす際には失われる救済も考慮する必要がある．</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例への消費が大きくても，その対象を事前に識別できるとは限ら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の接続だけで，新しい方策の成績を確定することはできない．</w:t>
      </w:r>
    </w:p>
    <w:p>
      <w:pPr>
        <w:widowControl/>
        <w:jc w:val="left"/>
      </w:pPr>
      <w:r>
        <w:rPr>
          <w:rFonts w:ascii="Century" w:hAnsi="Century" w:cs="Century" w:eastAsia="MS 明朝"/>
          <w:b w:val="0"/>
          <w:color w:val="000000"/>
          <w:sz w:val="21"/>
        </w:rPr>
        <w:t>実運用で待機時間，tokens，成功数のどれを重視するかによっても，選択する条件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Pの注意事項には，量子ビット数と古典ビット数を一致させる指示が含まれる．一方，共通systemメッセージではbuild_circuit()内に測定操作を追加しないよう指示しており，課題によっては古典ビットを必要としない．両者は必ずしも論理矛盾ではないが，Pの一律の注意事項が課題仕様や共通指示と競合し，不要な古典ビットの追加を促す可能性がある．この指示が生成コードやPの成績に与える影響は分離して検証していない．したがって，Pの結果は付録8.3に示す注意事項の構成に依存する観測として扱い，予防的注意事項一般の有効性へは一般化しない．</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介入選択時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検証計画である．</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全1,000初期組の最終L3成功率はB45.5%，P47.3%，R55.1%，F63.8%，D63.5%，B4 67.2%であった．独立再生成B4は217組が追加成功し，F/Dだけが成功する対象も残った．主要な初期失敗3類型（import失敗，回路構築失敗，出力不一致）について，初期失敗数とF/Dによる修正の救済率，B4による独立再生成の追加成功率を比較する介入カタログを作成した．これは観測結果を整理したものであり，自動選択方策の有効性を実証したものではない．</w:t>
      </w:r>
    </w:p>
    <w:p>
      <w:pPr>
        <w:pStyle w:val="Heading2"/>
      </w:pPr>
      <w:r>
        <w:t>今後の課題</w:t>
      </w:r>
    </w:p>
    <w:p>
      <w:pPr>
        <w:widowControl/>
        <w:jc w:val="left"/>
      </w:pPr>
      <w:r>
        <w:rPr>
          <w:rFonts w:ascii="Century" w:hAnsi="Century" w:cs="Century" w:eastAsia="MS 明朝"/>
          <w:b w:val="0"/>
          <w:color w:val="000000"/>
          <w:sz w:val="21"/>
        </w:rPr>
        <w:t>次の段階では，介入選択時や停止判断時に利用できる特徴に基づいて規則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今後は，未成功対象への消費も含む観測結果を基に選択方策を定め，別の対象で検証する必要があ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w:t>
        <w:br/>
        <w:t>固定出典：docs/presentation_sources/20261016T_reachable_rescues/</w:t>
        <w:br/>
        <w:t>参照ファイル：results_snapshot.json，source_manifest.json および対応CSV．</w:t>
        <w:br/>
        <w:t>B4追加実験（2026-10-22固定）．</w:t>
        <w:br/>
        <w:t>固定出典：docs/analysis/independent_4_completed_20261022/</w:t>
        <w:br/>
        <w:t>参照資料：保存設定・manifest・sanity・集計CSV．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介入カタログ：intervention_catalog.csv．事例の記録キー・判定・コードhash・短い抜粋：case_studies.json．固定プロンプト：experiment_prompts.json．追加資料の出典とhash：enrichment_manifest.json．</w:t>
      </w:r>
    </w:p>
    <w:p>
      <w:pPr>
        <w:widowControl/>
        <w:jc w:val="left"/>
      </w:pPr>
      <w:r>
        <w:rPr>
          <w:rFonts w:ascii="Century" w:hAnsi="Century" w:cs="Century" w:eastAsia="MS 明朝"/>
          <w:b w:val="0"/>
          <w:color w:val="000000"/>
          <w:sz w:val="21"/>
        </w:rPr>
        <w:t>本稿では検証済み事例の短いコード抜粋と固定プロンプトを掲載する．API応答全文・生成コード全文・生例外文・raw.jsonl・秘密情報は掲載しない．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初期組はモデル×タスク×seedの1,000組，B/R/F/D/Pの条件記録は5,000記録，到達roundは9,249 roundである．B4の追加実験1,000組は別に集計する．単位を混ぜて成功率の分母にしない．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p>
      <w:pPr>
        <w:pStyle w:val="Heading2"/>
        <w:pageBreakBefore/>
      </w:pPr>
      <w:r>
        <w:t>実験プロンプト</w:t>
      </w:r>
    </w:p>
    <w:p>
      <w:pPr>
        <w:widowControl/>
        <w:jc w:val="left"/>
      </w:pPr>
      <w:r>
        <w:rPr>
          <w:rFonts w:ascii="Century" w:hAnsi="Century" w:cs="Century" w:eastAsia="MS 明朝"/>
          <w:b w:val="0"/>
          <w:color w:val="000000"/>
          <w:sz w:val="21"/>
        </w:rPr>
        <w:t>本節には，実験に用いたsystemメッセージ，課題仕様10種，修正条件R/F/Dと予防条件Pの固定文を掲載する．B4の追加生成にはBと同じ課題仕様だけを与え，前回コードや診断は渡さない．元3実験の保存commitで固定文が一致することを照合した．コード・診断が入る部分は明示的なプレースホルダーへ置き換えた．</w:t>
      </w:r>
    </w:p>
    <w:p>
      <w:pPr>
        <w:widowControl/>
        <w:jc w:val="left"/>
      </w:pPr>
      <w:r>
        <w:rPr>
          <w:rFonts w:ascii="Century" w:hAnsi="Century" w:cs="Century" w:eastAsia="MS 明朝"/>
          <w:b w:val="0"/>
          <w:color w:val="000000"/>
          <w:sz w:val="21"/>
        </w:rPr>
        <w:t>掲載内容は保存されたソースから復元したテンプレートであり，個別のネットワーク要求全文を直接記録したものではない．課題仕様を〈課題仕様〉へ，直前の生成コードを〈前回コード〉へ，評価から作る診断文を〈直前の評価から生成した診断〉へ対応させる．実際の診断文はroundごとの評価値と当時の処理に依存し，元実験と部分追試で同一とは限らない．出典commitとファイルhashはenrichment_manifest.jsonに示す．</w:t>
      </w:r>
    </w:p>
    <w:p>
      <w:pPr>
        <w:pStyle w:val="Heading3"/>
      </w:pPr>
      <w:r>
        <w:t>共通systemメッセージ</w:t>
      </w:r>
    </w:p>
    <w:p>
      <w:pPr>
        <w:widowControl/>
        <w:jc w:val="left"/>
      </w:pPr>
      <w:r>
        <w:rPr>
          <w:rFonts w:ascii="Century" w:hAnsi="Century" w:cs="Century" w:eastAsia="MS 明朝"/>
          <w:b w:val="0"/>
          <w:color w:val="000000"/>
          <w:sz w:val="21"/>
        </w:rPr>
        <w:t>You are an expert Qiskit programmer. Generate a complete, runnable Python script using qiskit (version 2.x) and qiskit-aer.</w:t>
        <w:br/>
        <w:br/>
        <w:t>Strict requirements:</w:t>
        <w:br/>
        <w:t>- Import all necessary modules at the top.</w:t>
        <w:br/>
        <w:t>- Define exactly one function named `build_circuit() -&gt; QuantumCircuit`.</w:t>
        <w:br/>
        <w:t>- The function must return a QuantumCircuit with the requested number of qubits.</w:t>
        <w:br/>
        <w:t>- DO NOT add measurement operations inside `build_circuit`. Measurement is added by the evaluator.</w:t>
        <w:br/>
        <w:t>- Output ONLY the Python code in a single fenced block: ```python ... ```</w:t>
        <w:br/>
        <w:t>- No explanation outside the code block.</w:t>
      </w:r>
    </w:p>
    <w:p>
      <w:pPr>
        <w:pStyle w:val="Heading3"/>
      </w:pPr>
      <w:r>
        <w:t>課題仕様 T1_Bell</w:t>
      </w:r>
    </w:p>
    <w:p>
      <w:pPr>
        <w:widowControl/>
        <w:jc w:val="left"/>
      </w:pPr>
      <w:r>
        <w:rPr>
          <w:rFonts w:ascii="Century" w:hAnsi="Century" w:cs="Century" w:eastAsia="MS 明朝"/>
          <w:b w:val="0"/>
          <w:color w:val="000000"/>
          <w:sz w:val="21"/>
        </w:rPr>
        <w:t>Task: Construct the Bell state (|00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w:t>
      </w:r>
      <w:r>
        <w:rPr>
          <w:rFonts w:ascii="DejaVu Serif" w:hAnsi="DejaVu Serif" w:cs="DejaVu Serif" w:eastAsia="DejaVu Serif"/>
          <w:b w:val="0"/>
          <w:color w:val="000000"/>
          <w:sz w:val="21"/>
        </w:rPr>
        <w:t>⟩</w:t>
      </w:r>
      <w:r>
        <w:rPr>
          <w:rFonts w:ascii="Century" w:hAnsi="Century" w:cs="Century" w:eastAsia="MS 明朝"/>
          <w:b w:val="0"/>
          <w:color w:val="000000"/>
          <w:sz w:val="21"/>
        </w:rPr>
        <w:t>) / √2 on 2 qubits.</w:t>
        <w:br/>
        <w:br/>
        <w:t>Expected behavior:</w:t>
        <w:br/>
        <w:t>- Apply H to qubit 0, then CNOT with qubit 0 as control and qubit 1 as target.</w:t>
        <w:br/>
        <w:t>- After execution, measuring all qubits should yield "00" with probability 0.5 and "11" with probability 0.5.</w:t>
        <w:br/>
        <w:br/>
        <w:t>Number of qubits: 2</w:t>
      </w:r>
    </w:p>
    <w:p>
      <w:pPr>
        <w:pStyle w:val="Heading3"/>
      </w:pPr>
      <w:r>
        <w:t>課題仕様 T2_GHZ</w:t>
      </w:r>
    </w:p>
    <w:p>
      <w:pPr>
        <w:widowControl/>
        <w:jc w:val="left"/>
      </w:pPr>
      <w:r>
        <w:rPr>
          <w:rFonts w:ascii="Century" w:hAnsi="Century" w:cs="Century" w:eastAsia="MS 明朝"/>
          <w:b w:val="0"/>
          <w:color w:val="000000"/>
          <w:sz w:val="21"/>
        </w:rPr>
        <w:t>Task: Construct the GHZ state (|000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|111</w:t>
      </w:r>
      <w:r>
        <w:rPr>
          <w:rFonts w:ascii="DejaVu Serif" w:hAnsi="DejaVu Serif" w:cs="DejaVu Serif" w:eastAsia="DejaVu Serif"/>
          <w:b w:val="0"/>
          <w:color w:val="000000"/>
          <w:sz w:val="21"/>
        </w:rPr>
        <w:t>⟩</w:t>
      </w:r>
      <w:r>
        <w:rPr>
          <w:rFonts w:ascii="Century" w:hAnsi="Century" w:cs="Century" w:eastAsia="MS 明朝"/>
          <w:b w:val="0"/>
          <w:color w:val="000000"/>
          <w:sz w:val="21"/>
        </w:rPr>
        <w:t>) / √2 on 3 qubits.</w:t>
        <w:br/>
        <w:br/>
        <w:t>Expected behavior:</w:t>
        <w:br/>
        <w:t>- Apply H to qubit 0, then CNOT(0, 1), then CNOT(1, 2).</w:t>
        <w:br/>
        <w:t>- After execution, measuring all qubits should yield "000" with probability 0.5 and "111" with probability 0.5.</w:t>
        <w:br/>
        <w:br/>
        <w:t>Number of qubits: 3</w:t>
      </w:r>
    </w:p>
    <w:p>
      <w:pPr>
        <w:pStyle w:val="Heading3"/>
      </w:pPr>
      <w:r>
        <w:t>課題仕様 T3a_DJ_constant</w:t>
      </w:r>
    </w:p>
    <w:p>
      <w:pPr>
        <w:widowControl/>
        <w:jc w:val="left"/>
      </w:pPr>
      <w:r>
        <w:rPr>
          <w:rFonts w:ascii="Century" w:hAnsi="Century" w:cs="Century" w:eastAsia="MS 明朝"/>
          <w:b w:val="0"/>
          <w:color w:val="000000"/>
          <w:sz w:val="21"/>
        </w:rPr>
        <w:t>Task: Implement the Deutsch-Jozsa algorithm for the constant function f(x1, x2) = 0 (the all-zero function).</w:t>
        <w:br/>
        <w:br/>
        <w:t>Setup:</w:t>
        <w:br/>
        <w:t>- 3 total qubits: q0 and q1 are input qubits, q2 is the ancilla.</w:t>
        <w:br/>
        <w:t>- The ancilla q2 must be initialized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(apply X gate before the H gates).</w:t>
        <w:br/>
        <w:t>- After Hadamards, apply the oracle for f (identity for constant 0; do nothing).</w:t>
        <w:br/>
        <w:t>- Apply Hadamards on the input qubits q0 and q1 only (NOT the ancilla).</w:t>
        <w:br/>
        <w:br/>
        <w:t>Expected: input qubits q0, q1 deterministically measure as "00" (constant detected).</w:t>
        <w:br/>
        <w:t>The ancilla measurement is 50/50 between 0 and 1.</w:t>
        <w:br/>
        <w:br/>
        <w:t>Number of qubits: 3</w:t>
      </w:r>
    </w:p>
    <w:p>
      <w:pPr>
        <w:pStyle w:val="Heading3"/>
      </w:pPr>
      <w:r>
        <w:t>課題仕様 T3b_DJ_balanced</w:t>
      </w:r>
    </w:p>
    <w:p>
      <w:pPr>
        <w:widowControl/>
        <w:jc w:val="left"/>
      </w:pPr>
      <w:r>
        <w:rPr>
          <w:rFonts w:ascii="Century" w:hAnsi="Century" w:cs="Century" w:eastAsia="MS 明朝"/>
          <w:b w:val="0"/>
          <w:color w:val="000000"/>
          <w:sz w:val="21"/>
        </w:rPr>
        <w:t>Task: Implement the Deutsch-Jozsa algorithm for the balanced function f(x1, x2) = x1 XOR x2.</w:t>
        <w:br/>
        <w:br/>
        <w:t>Setup:</w:t>
        <w:br/>
        <w:t>- 3 total qubits: q0 and q1 are input qubits, q2 is the ancilla.</w:t>
        <w:br/>
        <w:t>- Initialize ancilla q2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 first).</w:t>
        <w:br/>
        <w:t>- Apply H to all 3 qubits.</w:t>
        <w:br/>
        <w:t>- Oracle for f = x1 XOR x2: CNOT(q0, q2), CNOT(q1, q2).</w:t>
        <w:br/>
        <w:t>- Apply final H on input qubits q0 and q1 only.</w:t>
        <w:br/>
        <w:br/>
        <w:t>Expected: input qubits q0, q1 deterministically measure as "11" (balanced detected).</w:t>
        <w:br/>
        <w:t>The ancilla measurement is 50/50.</w:t>
        <w:br/>
        <w:br/>
        <w:t>Number of qubits: 3</w:t>
      </w:r>
    </w:p>
    <w:p>
      <w:pPr>
        <w:pStyle w:val="Heading3"/>
      </w:pPr>
      <w:r>
        <w:t>課題仕様 T4_BV_011</w:t>
      </w:r>
    </w:p>
    <w:p>
      <w:pPr>
        <w:widowControl/>
        <w:jc w:val="left"/>
      </w:pPr>
      <w:r>
        <w:rPr>
          <w:rFonts w:ascii="Century" w:hAnsi="Century" w:cs="Century" w:eastAsia="MS 明朝"/>
          <w:b w:val="0"/>
          <w:color w:val="000000"/>
          <w:sz w:val="21"/>
        </w:rPr>
        <w:t>Task: Implement the Bernstein-Vazirani algorithm to recover the hidden bitstring s = "011" (binary).</w:t>
        <w:br/>
        <w:br/>
        <w:t>Bitstring convention: s is read as bits (s[2], s[1], s[0]) where s[i] corresponds to qubit i.</w:t>
        <w:br/>
        <w:t>So s[0]=1, s[1]=1, s[2]=0.</w:t>
        <w:br/>
        <w:br/>
        <w:t>Setup:</w:t>
        <w:br/>
        <w:t>- 4 total qubits: q0, q1, q2 are the query register, q3 is the ancilla.</w:t>
        <w:br/>
        <w:t>- Initialize ancilla q3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w:t>
        <w:br/>
        <w:t>- Apply H to all 4 qubits.</w:t>
        <w:br/>
        <w:t>- Oracle for f(x) = s · x = (s[0]·x[0] + s[1]·x[1] + s[2]·x[2]) mod 2:</w:t>
        <w:br/>
        <w:t xml:space="preserve">  - Apply CNOT(q_i, q3) for each i where s[i] = 1.</w:t>
        <w:br/>
        <w:t xml:space="preserve">  - For s = "011": apply CNOT(q0, q3) and CNOT(q1, q3).</w:t>
        <w:br/>
        <w:t>- Apply final H on the query qubits q0, q1, q2.</w:t>
        <w:br/>
        <w:br/>
        <w:t>Expected: q0, q1, q2 measure as "011" (= s) with certainty. Ancilla q3 measures 50/50.</w:t>
        <w:br/>
        <w:br/>
        <w:t>Number of qubits: 4</w:t>
      </w:r>
    </w:p>
    <w:p>
      <w:pPr>
        <w:pStyle w:val="Heading3"/>
      </w:pPr>
      <w:r>
        <w:t>課題仕様 T5_Grover_11</w:t>
      </w:r>
    </w:p>
    <w:p>
      <w:pPr>
        <w:widowControl/>
        <w:jc w:val="left"/>
      </w:pPr>
      <w:r>
        <w:rPr>
          <w:rFonts w:ascii="Century" w:hAnsi="Century" w:cs="Century" w:eastAsia="MS 明朝"/>
          <w:b w:val="0"/>
          <w:color w:val="000000"/>
          <w:sz w:val="21"/>
        </w:rPr>
        <w:t>Task: Implement Grover's search algorithm on 2 qubits with the marked state |11</w:t>
      </w:r>
      <w:r>
        <w:rPr>
          <w:rFonts w:ascii="DejaVu Serif" w:hAnsi="DejaVu Serif" w:cs="DejaVu Serif" w:eastAsia="DejaVu Serif"/>
          <w:b w:val="0"/>
          <w:color w:val="000000"/>
          <w:sz w:val="21"/>
        </w:rPr>
        <w:t>⟩</w:t>
      </w:r>
      <w:r>
        <w:rPr>
          <w:rFonts w:ascii="Century" w:hAnsi="Century" w:cs="Century" w:eastAsia="MS 明朝"/>
          <w:b w:val="0"/>
          <w:color w:val="000000"/>
          <w:sz w:val="21"/>
        </w:rPr>
        <w:t>, using exactly one Grover iteration.</w:t>
        <w:br/>
        <w:br/>
        <w:t>For n=2 and 1 marked state, the Grover iteration produces the marked state with probability 1 (exact).</w:t>
        <w:br/>
        <w:br/>
        <w:t>Algorithm:</w:t>
        <w:br/>
        <w:t>1. Initialize 2 qubits in uniform superposition (H on both).</w:t>
        <w:br/>
        <w:t>2. Apply oracle that marks |11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a phase flip: e.g., CZ(0,1).</w:t>
        <w:br/>
        <w:t>3. Apply diffusion operator (inversion about the mean): H on all, X on all, CZ(0,1), X on all, H on all.</w:t>
        <w:br/>
        <w:br/>
        <w:t>Expected: measuring should yield "11" with probability 1.</w:t>
        <w:br/>
        <w:br/>
        <w:t>Number of qubits: 2</w:t>
      </w:r>
    </w:p>
    <w:p>
      <w:pPr>
        <w:pStyle w:val="Heading3"/>
      </w:pPr>
      <w:r>
        <w:t>課題仕様 T6_QFT_001</w:t>
      </w:r>
    </w:p>
    <w:p>
      <w:pPr>
        <w:widowControl/>
        <w:jc w:val="left"/>
      </w:pPr>
      <w:r>
        <w:rPr>
          <w:rFonts w:ascii="Century" w:hAnsi="Century" w:cs="Century" w:eastAsia="MS 明朝"/>
          <w:b w:val="0"/>
          <w:color w:val="000000"/>
          <w:sz w:val="21"/>
        </w:rPr>
        <w:t>Task: Apply the 3-qubit Quantum Fourier Transform (QFT)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QFT to all 3 qubits. You may use qiskit.circuit.library.QFT or implement it manually.</w:t>
        <w:br/>
        <w:t xml:space="preserve">   Use the standard convention with swap gates at the end (do_swaps=True).</w:t>
        <w:br/>
        <w:br/>
        <w:t>The expected output statevector is determined by the canonical QFT mapping:</w:t>
        <w:br/>
        <w:t>QFT|j</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(1/√N) Σ_k exp(2πi · j · k / N) |k</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N = 2^3 = 8</w:t>
        <w:br/>
        <w:br/>
        <w:t>Number of qubits: 3</w:t>
      </w:r>
    </w:p>
    <w:p>
      <w:pPr>
        <w:pStyle w:val="Heading3"/>
      </w:pPr>
      <w:r>
        <w:t>課題仕様 T7_IQFT_001</w:t>
      </w:r>
    </w:p>
    <w:p>
      <w:pPr>
        <w:widowControl/>
        <w:jc w:val="left"/>
      </w:pPr>
      <w:r>
        <w:rPr>
          <w:rFonts w:ascii="Century" w:hAnsi="Century" w:cs="Century" w:eastAsia="MS 明朝"/>
          <w:b w:val="0"/>
          <w:color w:val="000000"/>
          <w:sz w:val="21"/>
        </w:rPr>
        <w:t>Task: Apply the INVERSE 3-qubit Quantum Fourier Transform (inverse QFT, IQFT)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the INVERSE QFT (not the forward QFT) to all 3 qubits.</w:t>
        <w:br/>
        <w:t xml:space="preserve">   You may use qiskit.circuit.library.QFT with inverse=True, or implement it manually.</w:t>
        <w:br/>
        <w:t xml:space="preserve">   Use the standard convention with swap gates (do_swaps=True).</w:t>
        <w:br/>
        <w:br/>
        <w:t>Note: the inverse QFT is the conjugate transpose of the forward QFT; getting the direction</w:t>
        <w:br/>
        <w:t>(sign of the phase rotations) and the swap placement right is essential.</w:t>
        <w:br/>
        <w:br/>
        <w:t>Number of qubits: 3</w:t>
      </w:r>
    </w:p>
    <w:p>
      <w:pPr>
        <w:pStyle w:val="Heading3"/>
      </w:pPr>
      <w:r>
        <w:t>課題仕様 T8_QPE_001</w:t>
      </w:r>
    </w:p>
    <w:p>
      <w:pPr>
        <w:widowControl/>
        <w:jc w:val="left"/>
      </w:pPr>
      <w:r>
        <w:rPr>
          <w:rFonts w:ascii="Century" w:hAnsi="Century" w:cs="Century" w:eastAsia="MS 明朝"/>
          <w:b w:val="0"/>
          <w:color w:val="000000"/>
          <w:sz w:val="21"/>
        </w:rPr>
        <w:t>Task: Implement 3-bit Quantum Phase Estimation (QPE) for the single-qubit phase gate P(theta)</w:t>
        <w:br/>
        <w:t>with theta = pi/2, acting on its eigenstate |1&gt;.</w:t>
        <w:br/>
        <w:br/>
        <w:t>Setup (4 qubits total):</w:t>
        <w:br/>
        <w:t>- Qubits 0, 1, 2: the counting register (3 estimation qubits).</w:t>
        <w:br/>
        <w:t>- Qubit 3: the eigenstate register, prepared in |1&gt; (eigenstate of P(theta) with eigenvalue e^{i*theta}).</w:t>
        <w:br/>
        <w:br/>
        <w:t>Algorithm:</w:t>
        <w:br/>
        <w:t>1. Apply X to qubit 3 to prepare the eigenstate |1&gt;.</w:t>
        <w:br/>
        <w:t>2. Apply H to each of the counting qubits 0, 1, 2.</w:t>
        <w:br/>
        <w:t>3. For each counting qubit j (j = 0, 1, 2), apply controlled-P(theta) with qubit j as control and</w:t>
        <w:br/>
        <w:t xml:space="preserve">   qubit 3 as target, repeated 2**j times (equivalently controlled-P(theta * 2**j)).</w:t>
        <w:br/>
        <w:t>4. Apply the inverse QFT to the counting register (qubits 0, 1, 2).</w:t>
        <w:br/>
        <w:br/>
        <w:t>Since theta = pi/2 corresponds to phase phi = theta/(2*pi) = 1/4 = 0.010 in binary, the counting</w:t>
        <w:br/>
        <w:t>register should deterministically encode the estimate. Do NOT add measurements; the evaluator adds them.</w:t>
        <w:br/>
        <w:br/>
        <w:t>Number of qubits: 4</w:t>
      </w:r>
    </w:p>
    <w:p>
      <w:pPr>
        <w:pStyle w:val="Heading3"/>
      </w:pPr>
      <w:r>
        <w:t>課題仕様 T9_Ansatz_001</w:t>
      </w:r>
    </w:p>
    <w:p>
      <w:pPr>
        <w:widowControl/>
        <w:jc w:val="left"/>
      </w:pPr>
      <w:r>
        <w:rPr>
          <w:rFonts w:ascii="Century" w:hAnsi="Century" w:cs="Century" w:eastAsia="MS 明朝"/>
          <w:b w:val="0"/>
          <w:color w:val="000000"/>
          <w:sz w:val="21"/>
        </w:rPr>
        <w:t>Task: Build a 2-qubit hardware-efficient ansatz with the following exact structure and fixed</w:t>
        <w:br/>
        <w:t>rotation angles (in radians). Apply the operations in this order:</w:t>
        <w:br/>
        <w:br/>
        <w:t>1. RY(pi/4) on qubit 0</w:t>
        <w:br/>
        <w:t>2. RY(pi/3) on qubit 1</w:t>
        <w:br/>
        <w:t>3. CX with qubit 0 as control and qubit 1 as target</w:t>
        <w:br/>
        <w:t>4. RY(pi/6) on qubit 0</w:t>
        <w:br/>
        <w:t>5. RY(pi/5) on qubit 1</w:t>
        <w:br/>
        <w:br/>
        <w:t>This is a single-entangling-layer ansatz: a layer of parameterized RY rotations, one CX entangler,</w:t>
        <w:br/>
        <w:t>then a second layer of RY rotations. Use the angle values exactly as given. Do NOT add measurements.</w:t>
        <w:br/>
        <w:br/>
        <w:t>Number of qubits: 2</w:t>
      </w:r>
    </w:p>
    <w:p>
      <w:pPr>
        <w:pStyle w:val="Heading3"/>
      </w:pPr>
      <w:r>
        <w:t>修正テンプレート R：自己見直し</w:t>
      </w:r>
    </w:p>
    <w:p>
      <w:pPr>
        <w:widowControl/>
        <w:jc w:val="left"/>
      </w:pPr>
      <w:r>
        <w:rPr>
          <w:rFonts w:ascii="Century" w:hAnsi="Century" w:cs="Century" w:eastAsia="MS 明朝"/>
          <w:b w:val="0"/>
          <w:color w:val="000000"/>
          <w:sz w:val="21"/>
        </w:rPr>
        <w:t>〈課題仕様〉</w:t>
        <w:br/>
        <w:br/>
        <w:t>--- 前回のコード ---</w:t>
        <w:br/>
        <w:t>あなたは前回、以下のコードを生成しました。外部のテスト結果や正解は与えません。</w:t>
        <w:br/>
        <w:br/>
        <w:t>```python</w:t>
        <w:br/>
        <w:t>〈前回コード〉</w:t>
        <w:br/>
        <w:t>```</w:t>
        <w:br/>
        <w:br/>
        <w:t>このコードを自分で慎重に点検してください。タスク要件、Qiskit API、量子回路の意味、build_circuit() の仕様を確認し、問題がある場合は修正してください。</w:t>
        <w:br/>
        <w:t>最終的に、完全な修正版 Python コードだけを ```python ``` ブロックで出力してください。</w:t>
      </w:r>
    </w:p>
    <w:p>
      <w:pPr>
        <w:pStyle w:val="Heading3"/>
      </w:pPr>
      <w:r>
        <w:t>修正テンプレート F：実行結果提示</w:t>
      </w:r>
    </w:p>
    <w:p>
      <w:pPr>
        <w:widowControl/>
        <w:jc w:val="left"/>
      </w:pPr>
      <w:r>
        <w:rPr>
          <w:rFonts w:ascii="Century" w:hAnsi="Century" w:cs="Century" w:eastAsia="MS 明朝"/>
          <w:b w:val="0"/>
          <w:color w:val="000000"/>
          <w:sz w:val="21"/>
        </w:rPr>
        <w:t>〈課題仕様〉</w:t>
        <w:br/>
        <w:br/>
        <w:t>--- 前回の試行結果 ---</w:t>
        <w:br/>
        <w:t>あなたは以下のコードを生成しましたが、実行ベース検証に失敗しました。</w:t>
        <w:br/>
        <w:br/>
        <w:t>```python</w:t>
        <w:br/>
        <w:t>〈前回コード〉</w:t>
        <w:br/>
        <w:t>```</w:t>
        <w:br/>
        <w:br/>
        <w:t>検証器から得られた情報:</w:t>
        <w:br/>
        <w:t>〈直前の評価から生成した診断〉</w:t>
        <w:br/>
        <w:br/>
        <w:t>この実行フィードバックを使って問題を修正し、完全な Python コードを ```python ``` ブロックで出力してください。</w:t>
      </w:r>
    </w:p>
    <w:p>
      <w:pPr>
        <w:pStyle w:val="Heading3"/>
      </w:pPr>
      <w:r>
        <w:t>修正テンプレート D：自己デバッグ</w:t>
      </w:r>
    </w:p>
    <w:p>
      <w:pPr>
        <w:widowControl/>
        <w:jc w:val="left"/>
      </w:pPr>
      <w:r>
        <w:rPr>
          <w:rFonts w:ascii="Century" w:hAnsi="Century" w:cs="Century" w:eastAsia="MS 明朝"/>
          <w:b w:val="0"/>
          <w:color w:val="000000"/>
          <w:sz w:val="21"/>
        </w:rPr>
        <w:t>〈課題仕様〉</w:t>
        <w:br/>
        <w:br/>
        <w:t>--- 前回の試行結果 ---</w:t>
        <w:br/>
        <w:t>```python</w:t>
        <w:br/>
        <w:t>〈前回コード〉</w:t>
        <w:br/>
        <w:t>```</w:t>
        <w:br/>
        <w:br/>
        <w:t>検証器から得られた情報:</w:t>
        <w:br/>
        <w:t>〈直前の評価から生成した診断〉</w:t>
        <w:br/>
        <w:br/>
        <w:t>次の順序で自己デバッグしてください。</w:t>
        <w:br/>
        <w:t>1. 前回コードが何をしているかを説明する。</w:t>
        <w:br/>
        <w:t>2. タスク要件と検証結果を照合し、失敗原因を特定する。</w:t>
        <w:br/>
        <w:t>3. 原因を踏まえてコードを修正する。</w:t>
        <w:br/>
        <w:t>4. system の『コードブロックのみ』制約を守るため、説明と原因分析は 修正版コードブロック先頭の Python コメント（# DEBUG: ...）として 3〜6 行残す。その後に完全な修正版コードを書く。</w:t>
      </w:r>
    </w:p>
    <w:p>
      <w:pPr>
        <w:pStyle w:val="Heading3"/>
      </w:pPr>
      <w:r>
        <w:t>Pの予防的注意事項</w:t>
      </w:r>
    </w:p>
    <w:p>
      <w:pPr>
        <w:widowControl/>
        <w:jc w:val="left"/>
      </w:pPr>
      <w:r>
        <w:rPr>
          <w:rFonts w:ascii="Century" w:hAnsi="Century" w:cs="Century" w:eastAsia="MS 明朝"/>
          <w:b w:val="0"/>
          <w:color w:val="000000"/>
          <w:sz w:val="21"/>
        </w:rPr>
        <w:t>Pは課題仕様の後に改行を2個挿入し，次の固定文を追加して1回だけ生成する．B/R/F/Dの初回は課題仕様だけを与える．</w:t>
      </w:r>
    </w:p>
    <w:p>
      <w:pPr>
        <w:widowControl/>
        <w:jc w:val="left"/>
      </w:pPr>
      <w:r>
        <w:rPr>
          <w:rFonts w:ascii="Century" w:hAnsi="Century" w:cs="Century" w:eastAsia="MS 明朝"/>
          <w:b w:val="0"/>
          <w:color w:val="000000"/>
          <w:sz w:val="21"/>
        </w:rPr>
        <w:t>量子コード生成では以下の点に注意してください。</w:t>
        <w:br/>
        <w:br/>
        <w:t>1. 指定された関数名と戻り値形式を必ず守ること。</w:t>
        <w:br/>
        <w:t>2. Qiskitに存在しないAPIを使用しないこと。</w:t>
        <w:br/>
        <w:t>3. 量子ビット数と古典ビット数を一致させること。</w:t>
        <w:br/>
        <w:t>4. 測定結果のビット順序に注意すること。</w:t>
        <w:br/>
        <w:t>5. 期待される測定分布または状態ベクトルと一致する回路を作ること。</w:t>
        <w:br/>
        <w:t>6. 不要なゲートを追加しないこと。</w:t>
        <w:br/>
        <w:t>7. 指定されたインターフェースを必ず実装すること。</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