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コードの初期失敗を修正介入がどの程度救済し，どの対象を救済するかを分析した．自己見直しR，実行結果提示F，説明・原因分析を促す自己デバッグDを，同じ初期コードから比較した．生成前注意事項Pは独立生成として扱った．</w:t>
      </w:r>
    </w:p>
    <w:p>
      <w:pPr>
        <w:jc w:val="left"/>
      </w:pPr>
      <w:r>
        <w:rPr>
          <w:rFonts w:ascii="Century" w:hAnsi="Century" w:cs="Century" w:eastAsia="MS 明朝"/>
          <w:b w:val="0"/>
          <w:color w:val="000000"/>
          <w:sz w:val="21"/>
        </w:rPr>
        <w:t>対象は5モデル，10タスク，seed 0〜19である．モデル・タスク・seedの組合せを初期組と呼び，1,000初期組・5,000条件記録を対象とする．検証済みの生成履歴の前半部分と，必要な部分追試による後半部分を組み合わせ，現行評価器の停止・修正規則に従って到達可能な生成履歴（以下，到達履歴）を採用した．本研究における最終評価水準（L3，以下，主L3）は，指定入力の出力一致と所定の構造要件を含む成功基準である．初期失敗545組の救済はR96組（17.6%），F183組（33.6%），D180組（33.0%）であった．FとDの共通救済は140組，Fのみ43組，Dのみ40組であり，救済数が近くても対象は異なった．片側救済83組の両条件166履歴・398修正遷移を静的に確認した．</w:t>
      </w:r>
    </w:p>
    <w:p>
      <w:pPr>
        <w:jc w:val="left"/>
      </w:pPr>
      <w:r>
        <w:rPr>
          <w:rFonts w:ascii="Century" w:hAnsi="Century" w:cs="Century" w:eastAsia="MS 明朝"/>
          <w:b w:val="0"/>
          <w:color w:val="000000"/>
          <w:sz w:val="21"/>
        </w:rPr>
        <w:t>同じ初期コードを保持する独立再生成B4を追加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主L3と出力一致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固定出典と執筆時点の切り分け</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17</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18</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18</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19</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20</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20</w:t>
      </w:r>
    </w:p>
    <w:p>
      <w:pPr>
        <w:tabs>
          <w:tab w:pos="9581" w:val="right" w:leader="dot"/>
        </w:tabs>
        <w:spacing w:before="0" w:after="0" w:line="240" w:lineRule="auto"/>
        <w:ind w:left="0"/>
      </w:pPr>
      <w:r>
        <w:rPr>
          <w:rFonts w:ascii="Century" w:hAnsi="Century" w:cs="Century" w:eastAsia="MS 明朝"/>
          <w:b w:val="0"/>
          <w:color w:val="000000"/>
          <w:sz w:val="18"/>
        </w:rPr>
        <w:t>5 考察</w:t>
        <w:tab/>
        <w:t>21</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21</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21</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21</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22</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22</w:t>
      </w:r>
    </w:p>
    <w:p>
      <w:pPr>
        <w:tabs>
          <w:tab w:pos="9581" w:val="right" w:leader="dot"/>
        </w:tabs>
        <w:spacing w:before="0" w:after="0" w:line="240" w:lineRule="auto"/>
        <w:ind w:left="0"/>
      </w:pPr>
      <w:r>
        <w:rPr>
          <w:rFonts w:ascii="Century" w:hAnsi="Century" w:cs="Century" w:eastAsia="MS 明朝"/>
          <w:b w:val="0"/>
          <w:color w:val="000000"/>
          <w:sz w:val="18"/>
        </w:rPr>
        <w:t>6 おわりに</w:t>
        <w:tab/>
        <w:t>23</w:t>
      </w:r>
    </w:p>
    <w:p>
      <w:pPr>
        <w:tabs>
          <w:tab w:pos="9581" w:val="right" w:leader="dot"/>
        </w:tabs>
        <w:spacing w:before="0" w:after="0" w:line="240" w:lineRule="auto"/>
        <w:ind w:left="227"/>
      </w:pPr>
      <w:r>
        <w:rPr>
          <w:rFonts w:ascii="Century" w:hAnsi="Century" w:cs="Century" w:eastAsia="MS 明朝"/>
          <w:b w:val="0"/>
          <w:color w:val="000000"/>
          <w:sz w:val="18"/>
        </w:rPr>
        <w:t>6.1 研究成果</w:t>
        <w:tab/>
        <w:t>23</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23</w:t>
      </w:r>
    </w:p>
    <w:p>
      <w:pPr>
        <w:tabs>
          <w:tab w:pos="9581" w:val="right" w:leader="dot"/>
        </w:tabs>
        <w:spacing w:before="0" w:after="0" w:line="240" w:lineRule="auto"/>
        <w:ind w:left="0"/>
      </w:pPr>
      <w:r>
        <w:rPr>
          <w:rFonts w:ascii="Century" w:hAnsi="Century" w:cs="Century" w:eastAsia="MS 明朝"/>
          <w:b w:val="0"/>
          <w:color w:val="000000"/>
          <w:sz w:val="18"/>
        </w:rPr>
        <w:t>7 参考文献</w:t>
        <w:tab/>
        <w:t>24</w:t>
      </w:r>
    </w:p>
    <w:p>
      <w:pPr>
        <w:tabs>
          <w:tab w:pos="9581" w:val="right" w:leader="dot"/>
        </w:tabs>
        <w:spacing w:before="0" w:after="0" w:line="240" w:lineRule="auto"/>
        <w:ind w:left="0"/>
      </w:pPr>
      <w:r>
        <w:rPr>
          <w:rFonts w:ascii="Century" w:hAnsi="Century" w:cs="Century" w:eastAsia="MS 明朝"/>
          <w:b w:val="0"/>
          <w:color w:val="000000"/>
          <w:sz w:val="18"/>
        </w:rPr>
        <w:t>8 付録</w:t>
        <w:tab/>
        <w:t>25</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25</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25</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26</w:t>
      </w:r>
    </w:p>
    <w:p>
      <w:pPr>
        <w:tabs>
          <w:tab w:pos="9581" w:val="right" w:leader="dot"/>
        </w:tabs>
        <w:spacing w:before="0" w:after="0" w:line="240" w:lineRule="auto"/>
        <w:ind w:left="454"/>
      </w:pPr>
      <w:r>
        <w:rPr>
          <w:rFonts w:ascii="Century" w:hAnsi="Century" w:cs="Century" w:eastAsia="MS 明朝"/>
          <w:b w:val="0"/>
          <w:color w:val="000000"/>
          <w:sz w:val="18"/>
        </w:rPr>
        <w:t>8.2.1 集計単位</w:t>
        <w:tab/>
        <w:t>26</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26</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26</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26</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モデル・タスク・seedの組合せを初期組と呼ぶ．主L3は，本研究における最終評価水準（L3）を指す．現行評価器の停止・修正規則に従って到達可能な生成履歴を，到達履歴と呼ぶ．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目的は，Qiskit量子回路コードの初期失敗に対する修正介入の適用範囲を明らかにし，介入を選ぶための根拠を整理することである．第一の問いは，同じ初期失敗のうち各介入がどれだけを救済するかである．第二の問いは，救済数が近い介入が同じ失敗を救済しているかである．第三の問いは，未救済例も含む追加計算コストと修正回数が救済にどう対応するかである．</w:t>
      </w:r>
    </w:p>
    <w:p>
      <w:pPr>
        <w:widowControl/>
        <w:jc w:val="left"/>
      </w:pPr>
      <w:r>
        <w:rPr>
          <w:rFonts w:ascii="Century" w:hAnsi="Century" w:cs="Century" w:eastAsia="MS 明朝"/>
          <w:b w:val="0"/>
          <w:color w:val="000000"/>
          <w:sz w:val="21"/>
        </w:rPr>
        <w:t>本研究の貢献は，共有初期コードを用いた救済率の比較，初期失敗類型・モデル・タスク別の分母を伴う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と指標の付録を置く．本稿は2026-10-16版の到達経路と2026-10-22固定のB4追加実験 [3] に基づく草稿であり，今回の執筆では追加生成・生成コード実行を行っていない．</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いう介入は，生成されたコードに対し，次の要求で与える情報や指示を変更する操作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主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主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left"/>
      </w:pPr>
      <w:r>
        <w:rPr>
          <w:rFonts w:ascii="Century" w:hAnsi="Century" w:cs="Century" w:eastAsia="MS 明朝"/>
          <w:b w:val="0"/>
          <w:color w:val="000000"/>
          <w:sz w:val="21"/>
        </w:rPr>
        <w:t>本研究の位置づけは，選定した量子回路課題の中で介入の救済対象と消費を記述する実験的分析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相違を残したまま，外部情報の有無を比較設計で明示するという問題意識に接続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このベンチマークからの抽出と位置づけておらず，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主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生成回数だけを増やして採点を無視する条件ではなく，各候補を主L3で検査し，成功時に停止する対照である．比較対象は，評価を受ける機会を持った反復的なコード生成手順にな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これは比較を改善する一歩だが，同じ上限にしただけでは入力情報量や消費tokensを揃えられない．比較で何を揃え，何を揃えていないかを明示する．</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に実験の論理的な比較手順を示す．初期成功の保持と初期失敗への追加生成を分ける．保存済みの生成履歴と部分追試に基づく集計であり，全件を新たに生成した実験ではない．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580000" cy="5329029"/>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580000" cy="5329029"/>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共有初期と五つの条件</w:t>
      </w:r>
    </w:p>
    <w:p>
      <w:pPr>
        <w:widowControl/>
        <w:jc w:val="left"/>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907"/>
        <w:gridCol w:w="4762"/>
        <w:gridCol w:w="340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476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入力・特徴</w:t>
            </w:r>
          </w:p>
        </w:tc>
        <w:tc>
          <w:tcPr>
            <w:tcW w:type="dxa" w:w="340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生成・停止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課題仕様から初期生成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1回</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前回コードと自己点検の指示</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前回コードと実行ベースの診断</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4762"/>
            <w:tcBorders/>
          </w:tcPr>
          <w:p>
            <w:pPr>
              <w:keepNext/>
              <w:keepLines/>
              <w:spacing w:after="20" w:before="20" w:line="250" w:lineRule="exact"/>
              <w:jc w:val="left"/>
            </w:pPr>
            <w:r>
              <w:rPr>
                <w:rFonts w:ascii="Century" w:hAnsi="Century" w:cs="Century" w:eastAsia="MS 明朝"/>
                <w:b w:val="0"/>
                <w:color w:val="000000"/>
                <w:sz w:val="21"/>
              </w:rPr>
              <w:t>Fの診断＋説明・原因分析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課題仕様＋生成前注意事項</w:t>
            </w:r>
          </w:p>
        </w:tc>
        <w:tc>
          <w:tcPr>
            <w:tcW w:type="dxa" w:w="3402"/>
            <w:tcBorders/>
          </w:tcPr>
          <w:p>
            <w:pPr>
              <w:keepNext/>
              <w:keepLines/>
              <w:spacing w:after="20" w:before="20" w:line="250" w:lineRule="exact"/>
              <w:jc w:val="left"/>
            </w:pPr>
            <w:r>
              <w:rPr>
                <w:rFonts w:ascii="Century" w:hAnsi="Century" w:cs="Century" w:eastAsia="MS 明朝"/>
                <w:b w:val="0"/>
                <w:color w:val="000000"/>
                <w:sz w:val="21"/>
              </w:rPr>
              <w:t>独立生成1回</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4762"/>
            <w:tcBorders>
              <w:bottom w:val="single" w:sz="4"/>
            </w:tcBorders>
          </w:tcPr>
          <w:p>
            <w:pPr>
              <w:keepNext w:val="0"/>
              <w:keepLines/>
              <w:spacing w:after="20" w:before="20" w:line="250" w:lineRule="exact"/>
              <w:jc w:val="left"/>
            </w:pPr>
            <w:r>
              <w:rPr>
                <w:rFonts w:ascii="Century" w:hAnsi="Century" w:cs="Century" w:eastAsia="MS 明朝"/>
                <w:b w:val="0"/>
                <w:color w:val="000000"/>
                <w:sz w:val="21"/>
              </w:rPr>
              <w:t>前回コード・診断なしで再生成</w:t>
            </w:r>
          </w:p>
        </w:tc>
        <w:tc>
          <w:tcPr>
            <w:tcW w:type="dxa" w:w="3402"/>
            <w:tcBorders>
              <w:bottom w:val="single" w:sz="4"/>
            </w:tcBorders>
          </w:tcPr>
          <w:p>
            <w:pPr>
              <w:keepNext w:val="0"/>
              <w:keepLines/>
              <w:spacing w:after="20" w:before="20" w:line="250" w:lineRule="exact"/>
              <w:jc w:val="left"/>
            </w:pPr>
            <w:r>
              <w:rPr>
                <w:rFonts w:ascii="Century" w:hAnsi="Century" w:cs="Century" w:eastAsia="MS 明朝"/>
                <w:b w:val="0"/>
                <w:color w:val="000000"/>
                <w:sz w:val="21"/>
              </w:rPr>
              <w:t>初回込み最大4回・成功時停止</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主L3判定を用い，初期成功455組は保持する．初期失敗545組のみ，前回コードと診断を与えず課題仕様から最大3回独立再生成し，主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主L3と出力一致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主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主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初期主L3失敗から最終主L3成功に変化した初期組を救済と呼ぶ．救済率 = 救済組数／初期主L3失敗組数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主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主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主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主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分類unknownの1組は原因確認記録を伴う生成コード側の失敗として現行集計に含まれる．unknownというラベルだけでAPI障害とは判断し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保存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部分追試は293ケースで，部分追試による後半部分は647 round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重要なのは，生成要求を送った回数と，保存された条件記録数が同じではない点であ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主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が後続生成へ入る条件では，採点変更の影響を最終フラグだけに局限できない．</w:t>
      </w:r>
    </w:p>
    <w:p>
      <w:pPr>
        <w:widowControl/>
        <w:jc w:val="left"/>
      </w:pPr>
      <w:r>
        <w:rPr>
          <w:rFonts w:ascii="Century" w:hAnsi="Century" w:cs="Century" w:eastAsia="MS 明朝"/>
          <w:b w:val="0"/>
          <w:color w:val="000000"/>
          <w:sz w:val="21"/>
        </w:rPr>
        <w:t>本研究の現在の主経路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失うと，異なる履歴の一部を寄せ集めて一つの条件が実際に辿り得たように見せる危険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部分追試293ケースという数と，接続された部分追試による後半部分647 round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保存分類unknown_errorがある場合にも，ラベルだけで接続障害やモデルの能力を判断しない．本研究の初期分類に含まれる1組は，原因確認により未定義変数simに関係するNameErrorと整理された．B4追加roundのunknown_error2件もコード側の未定義変数によるものである．このように，分類ラベル，例外の由来，最終集計へ含める根拠を分けることで，不明なものを都合よく成功または障害へ振り分けることを避ける．</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主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の役割は，救済対象の不一致がどの初期類型に現れ，どのような文字列上の修正領域と同じ履歴に存在したかを，追跡可能な形で残すことである．意味的寄与を確かめるには，個別変更を分離した検証や，回路の作用に基づく別の分析が必要になる．本稿ではその作業を今後の課題とし，今回の静的確認だけで機構の解明が完了したとは主張し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0〜2，2条件，L2終了の既報であり，現行の主L3による5,000条件記録へ合算しない．旧評価，保存コードの再採点，部分追試を三つの独立した主結果として並べない．本稿は2026-10-16版の固定スナップショット [3] を唯一の主集計とする．</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済みの生成履歴の前半部分の過去の記録値と，部分追試による後半部分の部分追試時の実測値を分離し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固定出典と執筆時点の切り分け</w:t>
      </w:r>
    </w:p>
    <w:p>
      <w:pPr>
        <w:widowControl/>
        <w:jc w:val="left"/>
      </w:pPr>
      <w:r>
        <w:rPr>
          <w:rFonts w:ascii="Century" w:hAnsi="Century" w:cs="Century" w:eastAsia="MS 明朝"/>
          <w:b w:val="0"/>
          <w:color w:val="000000"/>
          <w:sz w:val="21"/>
        </w:rPr>
        <w:t>実験レポートが継続更新されている環境では，執筆日が新しいことと，本文で採用する結果が新しく生成されたことは区別しなければならない．本稿の主結果は2026-10-16版の固定到達履歴に基づき，B4は2026-10-22固定の完了集計を加える．今回の本文拡充により，新しいモデル要求や生成コード評価を実行したわけではない．既存結果を説明する文章を増やしても，データの実験時点は変わらない．</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執筆途中で自動更新レポートの数値だけを転記すると，過去の評価値と現行の到達履歴が混ざる可能性があ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上の単位を残す．一方，モデルの生出力や例外の全文を本文へ大量に掲載することが，本研究の説明力を直接高めるとは限らない．本文では検証した性質と残る制約を言語化し，詳細な追跡はmanifestとCSVへ接続する．数値の根拠を追えることと，読者が分析上の意味を理解できることを両立させる構成と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t>1,000初期組のうち，初期主L3成功は455組，失敗は545組であった．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Pは初期コードを共有しないため，後の節で別に扱う．</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退行0は初期成功を保持し，成功時に停止する設計によ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のunknown_error2件はコード側の未定義変数によるNameErrorであり，API接続障害とは区別した．R/F/Dは保存済みの生成履歴の前半部分と，必要な部分追試による後半部分の再構成した生成履歴，B4は別の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020"/>
        <w:gridCol w:w="2041"/>
        <w:gridCol w:w="2041"/>
        <w:gridCol w:w="3969"/>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率</w:t>
            </w:r>
          </w:p>
        </w:tc>
        <w:tc>
          <w:tcPr>
            <w:tcW w:type="dxa" w:w="396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最終成功／1,000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96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17.6%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33.0%</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c>
          <w:tcPr>
            <w:tcW w:type="dxa" w:w="3969"/>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141140"/>
            <wp:docPr id="2" name="Picture 2" descr="初期失敗545組に対する追加成功率（R/F/Dは修正による救済，B4は独立再生成）"/>
            <wp:cNvGraphicFramePr>
              <a:graphicFrameLocks noChangeAspect="1"/>
            </wp:cNvGraphicFramePr>
            <a:graphic>
              <a:graphicData uri="http://schemas.openxmlformats.org/drawingml/2006/picture">
                <pic:pic>
                  <pic:nvPicPr>
                    <pic:cNvPr id="0" name="additional_success_rates.png"/>
                    <pic:cNvPicPr/>
                  </pic:nvPicPr>
                  <pic:blipFill>
                    <a:blip r:embed="rId11"/>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初期失敗545組に対する追加成功率（R/F/Dは修正による救済，B4は独立再生成）</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大小が逆転した．全体でFが3組多いという結果は，すべてのモデルでFが多いことを意味しない．C7ではF/Dの救済件数が同じだが，成功した初期組まで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この違いから，最大の全体率を持つ条件だけで各モデルの適用範囲を代表させることは適切で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の大きさと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その他（未定義変数）」は，保存分類unknown_errorの初期失敗1組を原因確認して読みやすく表記したものである．保存データの分類キーや件数は変更していない．IF不適合11組，量子ビット数不適合3組，その他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その他（未定義変数）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全体差が3組であっても，成功した対象の入れ替わりはそれより大きい．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また，複数箇所が同時に変更されるため，静的差分から成功原因を分離できない．本分析は対象の不一致と履歴の追跡可能性を示すものであり，量子論理の訂正や説明指示の因果的効果を証明するものではない．</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3" name="Picture 3"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2"/>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2回で打ち切ると，3回までに救済した集合のうちF15.3%，D18.3%を失う．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本対象ではFとDがRより多くを救済したが，B4はさらに多くの初期失敗を追加成功へ導い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を再利用する修正には，既に正しかった部分を残すという設計上の意図がある．同時に，誤った構造を引き継ぐ可能性や，入力が長くなる影響も考えられる．これらは観測差を説明する仮説であり，今回分離して検証した機構ではない．独立再生成の追加成功が多かったという事実と，その理由を説明する候補を区別する必要がある．</w:t>
      </w:r>
    </w:p>
    <w:p>
      <w:pPr>
        <w:widowControl/>
        <w:jc w:val="left"/>
      </w:pPr>
      <w:r>
        <w:rPr>
          <w:rFonts w:ascii="Century" w:hAnsi="Century" w:cs="Century" w:eastAsia="MS 明朝"/>
          <w:b w:val="0"/>
          <w:color w:val="000000"/>
          <w:sz w:val="21"/>
        </w:rPr>
        <w:t>FとDはどちらも診断を使うが，Dには説明・原因分析の指示とコメント出力が加わる．結果の差を説明行の存在だけに帰属できず，説明が妥当だったことや内部推論に忠実だったことも直接測定していない．成功数だけでなく対象が入れ替わった点は，介入の入力情報と対象の失敗構成を合わせて比較すべきことを示す．</w:t>
      </w:r>
    </w:p>
    <w:p>
      <w:pPr>
        <w:widowControl/>
        <w:jc w:val="left"/>
      </w:pPr>
      <w:r>
        <w:rPr>
          <w:rFonts w:ascii="Century" w:hAnsi="Century" w:cs="Century" w:eastAsia="MS 明朝"/>
          <w:b w:val="0"/>
          <w:color w:val="000000"/>
          <w:sz w:val="21"/>
        </w:rPr>
        <w:t>共有初期により出発点を揃えても，追加の入力情報，seed規則，出典時期は完全には一致しない．したがって，本研究の到達点は対象集合内の成績と被覆範囲の記述である．診断提示の因果効果，一般的なモデル順位，未知タスクでの最適介入を確定した結果とは区別する．</w:t>
      </w:r>
    </w:p>
    <w:p>
      <w:pPr>
        <w:pStyle w:val="Heading2"/>
      </w:pPr>
      <w:r>
        <w:t>介入カタログの構成と適用範囲</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未成功を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import失敗と回路構築失敗ではF/Dの大小が異なった．カタログでは，この観測を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の分母付き結果へ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は，必ずしも同じ条件を最良としない．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への消費が大きいことから，その対象を事前に識別して無料で除外できるとはいえ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を都合よく貼り合わせて方策の成績を確定しない．</w:t>
      </w:r>
    </w:p>
    <w:p>
      <w:pPr>
        <w:widowControl/>
        <w:jc w:val="left"/>
      </w:pPr>
      <w:r>
        <w:rPr>
          <w:rFonts w:ascii="Century" w:hAnsi="Century" w:cs="Century" w:eastAsia="MS 明朝"/>
          <w:b w:val="0"/>
          <w:color w:val="000000"/>
          <w:sz w:val="21"/>
        </w:rPr>
        <w:t>実運用の目的が待機時間，tokens，成功数のどれを重視するかでも選択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主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実行前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計画であり，今回の原稿修正で新たな実験を行ったものではない．</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独立再生成B4は217組が追加成功し，F/Dだけが成功する対象も残った．この結果から，介入カタログには修正だけでなく独立再生成を含め，初期失敗の分母，入力情報，停止条件，未成功を含む消費を併記する必要がある．本稿は新しい介入アルゴリズムの有効性を確定した研究ではなく，方策を検証する前提となる適用範囲を整理した実証研究である．</w:t>
      </w:r>
    </w:p>
    <w:p>
      <w:pPr>
        <w:pStyle w:val="Heading2"/>
      </w:pPr>
      <w:r>
        <w:t>今後の課題</w:t>
      </w:r>
    </w:p>
    <w:p>
      <w:pPr>
        <w:widowControl/>
        <w:jc w:val="left"/>
      </w:pPr>
      <w:r>
        <w:rPr>
          <w:rFonts w:ascii="Century" w:hAnsi="Century" w:cs="Century" w:eastAsia="MS 明朝"/>
          <w:b w:val="0"/>
          <w:color w:val="000000"/>
          <w:sz w:val="21"/>
        </w:rPr>
        <w:t>次の段階では，実行前に利用できる特徴による選択と停止を事前固定し，別のseed・タスクで検証する．要求数とtokens予算，出典時期，評価範囲を明示し，事後的な成功集合と実際に使える方策を区別する．主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成功例だけでなく未成功対象とその消費を残し，観測結果と未検証の方策を区別して更新することが，量子LLM支援プログラミングの次の実証へつなが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伊藤悠真：現行救済経路の固定発表出典（2026-10-16版）．本リポジトリ docs/presentation_sources/20261016T_reachable_rescues/，results_snapshot.json，source_manifest.jsonおよび対応CSV．B4追加実験（2026-10-22固定）：docs/analysis/independent_4_completed_20261022/の保存設定・manifest・sanity・集計CSV．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公開資料には生成コード・prompt・API応答・生例外文・raw.jsonl・秘密情報を含めない．今回の資料作成は固定公開集計の読み取りと文書化であり，追加のモデル要求や生成コード再実行は行わない．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初期組はモデル×タスク×seedの1,000組，条件記録は各組5条件の5,000記録，到達roundは現在の経路上の9,249 roundである．単位を混ぜて成功率の分母にしない．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