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ind w:firstLine="0"/>
        <w:jc w:val="center"/>
      </w:pPr>
      <w:r>
        <w:rPr>
          <w:rFonts w:ascii="IPAexMincho" w:hAnsi="IPAexMincho" w:eastAsia="IPAexMincho" w:cs="IPAexMincho"/>
          <w:b/>
          <w:color w:val="000000"/>
          <w:sz w:val="22"/>
        </w:rPr>
        <w:t>Qiskit量子回路コードの初期失敗に対する</w:t>
        <w:br/>
        <w:t>修正介入の救済率と救済対象の分析</w:t>
      </w:r>
    </w:p>
    <w:p>
      <w:pPr>
        <w:ind w:firstLine="0"/>
        <w:jc w:val="center"/>
      </w:pPr>
      <w:r>
        <w:rPr>
          <w:rFonts w:ascii="IPAexMincho" w:hAnsi="IPAexMincho" w:eastAsia="IPAexMincho" w:cs="IPAexMincho"/>
          <w:b w:val="0"/>
          <w:color w:val="000000"/>
          <w:sz w:val="20"/>
        </w:rPr>
        <w:t>2023TC011 伊藤 悠真　　指導教員：横山 哲郎</w:t>
      </w:r>
    </w:p>
    <w:p>
      <w:pPr>
        <w:sectPr>
          <w:footerReference w:type="default" r:id="rId9"/>
          <w:pgSz w:w="11906" w:h="16838"/>
          <w:pgMar w:top="1020" w:right="1020" w:bottom="1361" w:left="1020" w:header="567" w:footer="680" w:gutter="0"/>
          <w:cols w:space="720"/>
          <w:docGrid w:linePitch="360"/>
          <w:pgNumType w:fmt="decimal" w:start="1"/>
        </w:sectPr>
      </w:pPr>
    </w:p>
    <w:p>
      <w:pPr>
        <w:pStyle w:val="Heading2"/>
        <w:spacing w:before="100" w:after="60"/>
      </w:pPr>
      <w:r>
        <w:rPr>
          <w:rFonts w:ascii="IPAexGothic" w:hAnsi="IPAexGothic" w:eastAsia="IPAexGothic" w:cs="IPAexGothic"/>
          <w:b/>
          <w:color w:val="000000"/>
          <w:sz w:val="21"/>
        </w:rPr>
        <w:t>1　背景と目的</w:t>
      </w:r>
    </w:p>
    <w:p>
      <w:pPr>
        <w:ind w:firstLine="200"/>
      </w:pPr>
      <w:r>
        <w:rPr>
          <w:rFonts w:ascii="IPAexMincho" w:hAnsi="IPAexMincho" w:eastAsia="IPAexMincho" w:cs="IPAexMincho"/>
          <w:b w:val="0"/>
          <w:color w:val="000000"/>
          <w:sz w:val="20"/>
        </w:rPr>
        <w:t>LLMによる量子回路コード生成では，importや回路構築の失敗に加え，実行できても期待出力と一致しない場合がある．本研究では，Qiskitコードの初期失敗を修正介入がどれだけ救済し，どの対象を救済するかを調べる．Self-Refine [1]とSelf-Debugging [2]を背景に，本ハーネスで修正条件を実装した．先行研究の完全再現ではない．</w:t>
      </w:r>
    </w:p>
    <w:p>
      <w:pPr>
        <w:pStyle w:val="Heading2"/>
        <w:spacing w:before="100" w:after="60"/>
      </w:pPr>
      <w:r>
        <w:rPr>
          <w:rFonts w:ascii="IPAexGothic" w:hAnsi="IPAexGothic" w:eastAsia="IPAexGothic" w:cs="IPAexGothic"/>
          <w:b/>
          <w:color w:val="000000"/>
          <w:sz w:val="21"/>
        </w:rPr>
        <w:t>2　方法と実験設定</w:t>
      </w:r>
    </w:p>
    <w:p>
      <w:pPr>
        <w:ind w:firstLine="200"/>
      </w:pPr>
      <w:r>
        <w:rPr>
          <w:rFonts w:ascii="IPAexMincho" w:hAnsi="IPAexMincho" w:eastAsia="IPAexMincho" w:cs="IPAexMincho"/>
          <w:b w:val="0"/>
          <w:color w:val="000000"/>
          <w:sz w:val="20"/>
        </w:rPr>
        <w:t>対象は5モデル・10タスク・seed 0〜19の1,000初期組，各組5条件，計5,000条件記録である．Q4はqwen3.5:4b，G4はgemma4:e4b-it-qat，Q9はqwen3.5:9b，C7はqwen2.5-coder:7b，G3はgemma3:4bを示す．タグはモデル識別子として扱う．</w:t>
      </w:r>
    </w:p>
    <w:p>
      <w:pPr>
        <w:ind w:firstLine="200"/>
      </w:pPr>
      <w:r>
        <w:rPr>
          <w:rFonts w:ascii="IPAexMincho" w:hAnsi="IPAexMincho" w:eastAsia="IPAexMincho" w:cs="IPAexMincho"/>
          <w:b w:val="0"/>
          <w:color w:val="000000"/>
          <w:sz w:val="20"/>
        </w:rPr>
        <w:t>タスクはBell，GHZ，Deutsch–Jozsaのconstant/balanced，Bernstein–Vazirani，Grover，QFT，IQFT，QPE，Ansatzである．temperatureは0.7，生成上限は1要求1,024 tokens，修正は最大3回とした．</w:t>
      </w:r>
    </w:p>
    <w:p>
      <w:pPr>
        <w:ind w:firstLine="200"/>
      </w:pPr>
      <w:r>
        <w:rPr>
          <w:rFonts w:ascii="IPAexMincho" w:hAnsi="IPAexMincho" w:eastAsia="IPAexMincho" w:cs="IPAexMincho"/>
          <w:b w:val="0"/>
          <w:color w:val="000000"/>
          <w:sz w:val="20"/>
        </w:rPr>
        <w:t>Bは初期生成，Rは外部診断を与えない自己見直し，Fは実行結果提示，Dは同じ診断に説明・原因分析の指示を加える自己デバッグである．R/F/Dは同じ初期コードと判定を共有し，成功時に停止する．Pは生成前注意事項を与える独立生成である．</w:t>
      </w:r>
    </w:p>
    <w:p>
      <w:pPr>
        <w:ind w:firstLine="200"/>
      </w:pPr>
      <w:r>
        <w:rPr>
          <w:rFonts w:ascii="IPAexMincho" w:hAnsi="IPAexMincho" w:eastAsia="IPAexMincho" w:cs="IPAexMincho"/>
          <w:b w:val="0"/>
          <w:color w:val="000000"/>
          <w:sz w:val="20"/>
        </w:rPr>
        <w:t>元3実験は3モデルseed 0〜9の1,500条件記録，5モデルseed 10〜19の2,500，残り2モデルseed 0〜9の1,000である．主結果は検証済み保存prefixと必要な新suffix（部分追試293ケース）を接続した到達可能な経路で，全件新生成ではない．保存設定・実験ID・処理差は固定出典 [3] に保持した．旧120件は合算しない．</w:t>
      </w:r>
    </w:p>
    <w:p>
      <w:r>
        <w:br w:type="column"/>
      </w:r>
    </w:p>
    <w:p>
      <w:pPr>
        <w:pStyle w:val="Heading2"/>
        <w:spacing w:before="100" w:after="60"/>
      </w:pPr>
      <w:r>
        <w:rPr>
          <w:rFonts w:ascii="IPAexGothic" w:hAnsi="IPAexGothic" w:eastAsia="IPAexGothic" w:cs="IPAexGothic"/>
          <w:b/>
          <w:color w:val="000000"/>
          <w:sz w:val="21"/>
        </w:rPr>
        <w:t>3　評価と全体の救済</w:t>
      </w:r>
    </w:p>
    <w:p>
      <w:pPr>
        <w:ind w:firstLine="200"/>
      </w:pPr>
      <w:r>
        <w:rPr>
          <w:rFonts w:ascii="IPAexMincho" w:hAnsi="IPAexMincho" w:eastAsia="IPAexMincho" w:cs="IPAexMincho"/>
          <w:b w:val="0"/>
          <w:color w:val="000000"/>
          <w:sz w:val="20"/>
        </w:rPr>
        <w:t>主L3はimport・必須関数，回路構築と評価処理，指定入力の期待出力，所定の構造要件への適合である．分布は8,192 shotsの全変動距離，状態ベクトルは大域位相を整合した距離を用い，0.05未満を出力一致とする．量子ビット数と測定・barrierを除く命令数範囲も確認する．全入力の同値性は保証しない．</w:t>
      </w:r>
    </w:p>
    <w:p>
      <w:pPr>
        <w:ind w:firstLine="200"/>
      </w:pPr>
      <w:r>
        <w:rPr>
          <w:rFonts w:ascii="IPAexMincho" w:hAnsi="IPAexMincho" w:eastAsia="IPAexMincho" w:cs="IPAexMincho"/>
          <w:b w:val="0"/>
          <w:color w:val="000000"/>
          <w:sz w:val="20"/>
        </w:rPr>
        <w:t>救済率は「初期主L3失敗から最終主L3成功となった組数／初期主L3失敗組数」とする．失敗類型は介入前のBで固定する．evaluation_policy_v4を採用し，5,000条件の欠落・重複・予定外記録，共有初期不一致が0であることと，成功時停止・到達経路・出典hashを検証済みである．</w:t>
      </w:r>
    </w:p>
    <w:p>
      <w:pPr>
        <w:ind w:firstLine="200"/>
      </w:pPr>
      <w:r>
        <w:rPr>
          <w:rFonts w:ascii="IPAexMincho" w:hAnsi="IPAexMincho" w:eastAsia="IPAexMincho" w:cs="IPAexMincho"/>
          <w:b w:val="0"/>
          <w:color w:val="000000"/>
          <w:sz w:val="20"/>
        </w:rPr>
        <w:t>初期成功は455組，初期失敗は545組であった．Rは96/545組（17.6%），Fは183/545組（33.6%），Dは180/545組（33.0%）を救済した．最終成功はR551，F638，D635組で，初期成功の無修正保持を含む．退行0は成功時停止の設計と合わせて解釈する．</w:t>
      </w:r>
    </w:p>
    <w:p>
      <w:pPr>
        <w:pStyle w:val="Heading2"/>
        <w:spacing w:before="100" w:after="60"/>
      </w:pPr>
      <w:r>
        <w:rPr>
          <w:rFonts w:ascii="IPAexGothic" w:hAnsi="IPAexGothic" w:eastAsia="IPAexGothic" w:cs="IPAexGothic"/>
          <w:b/>
          <w:color w:val="000000"/>
          <w:sz w:val="21"/>
        </w:rPr>
        <w:t>4　モデル・初期失敗類型別の結果</w:t>
      </w:r>
    </w:p>
    <w:p>
      <w:pPr>
        <w:ind w:firstLine="200"/>
      </w:pPr>
      <w:r>
        <w:rPr>
          <w:rFonts w:ascii="IPAexMincho" w:hAnsi="IPAexMincho" w:eastAsia="IPAexMincho" w:cs="IPAexMincho"/>
          <w:b w:val="0"/>
          <w:color w:val="000000"/>
          <w:sz w:val="20"/>
        </w:rPr>
        <w:t>表1にモデル別の救済を示す．G4ではF，Q4ではDの救済が多く，大小が入れ替わった．全体率は545組の合算値であり，モデル率の単純平均ではない．</w:t>
      </w:r>
    </w:p>
    <w:p>
      <w:pPr>
        <w:keepNext/>
        <w:ind w:firstLine="0"/>
        <w:jc w:val="center"/>
      </w:pPr>
      <w:r>
        <w:rPr>
          <w:rFonts w:ascii="IPAexMincho" w:hAnsi="IPAexMincho" w:eastAsia="IPAexMincho" w:cs="IPAexMincho"/>
          <w:b w:val="0"/>
          <w:color w:val="000000"/>
          <w:sz w:val="20"/>
        </w:rPr>
        <w:t>表1　モデル別の救済組数</w:t>
      </w:r>
    </w:p>
    <w:tbl>
      <w:tblPr>
        <w:tblW w:type="dxa" w:w="4592"/>
        <w:tblLayout w:type="fixed"/>
        <w:tblLook w:firstColumn="1" w:firstRow="1" w:lastColumn="0" w:lastRow="0" w:noHBand="0" w:noVBand="1" w:val="04A0"/>
      </w:tblPr>
      <w:tblGrid>
        <w:gridCol w:w="1469"/>
        <w:gridCol w:w="781"/>
        <w:gridCol w:w="781"/>
        <w:gridCol w:w="781"/>
        <w:gridCol w:w="781"/>
      </w:tblGrid>
      <w:tr>
        <w:trPr>
          <w:cantSplit/>
          <w:tblHeader/>
        </w:trPr>
        <w:tc>
          <w:tcPr>
            <w:tcW w:type="dxa" w:w="1469"/>
            <w:tcBorders>
              <w:top w:val="single" w:sz="4"/>
              <w:bottom w:val="single" w:sz="4"/>
            </w:tcBorders>
          </w:tcPr>
          <w:p>
            <w:pPr>
              <w:spacing w:after="20" w:before="20" w:line="240" w:lineRule="exact"/>
            </w:pPr>
            <w:r>
              <w:rPr>
                <w:rFonts w:ascii="IPAexMincho" w:hAnsi="IPAexMincho" w:eastAsia="IPAexMincho" w:cs="IPAexMincho"/>
                <w:b/>
                <w:color w:val="000000"/>
                <w:sz w:val="20"/>
              </w:rPr>
              <w:t>モデル</w:t>
            </w:r>
          </w:p>
        </w:tc>
        <w:tc>
          <w:tcPr>
            <w:tcW w:type="dxa" w:w="781"/>
            <w:tcBorders>
              <w:top w:val="single" w:sz="4"/>
              <w:bottom w:val="single" w:sz="4"/>
            </w:tcBorders>
          </w:tcPr>
          <w:p>
            <w:pPr>
              <w:spacing w:after="20" w:before="20" w:line="240" w:lineRule="exact"/>
            </w:pPr>
            <w:r>
              <w:rPr>
                <w:rFonts w:ascii="IPAexMincho" w:hAnsi="IPAexMincho" w:eastAsia="IPAexMincho" w:cs="IPAexMincho"/>
                <w:b/>
                <w:color w:val="000000"/>
                <w:sz w:val="20"/>
              </w:rPr>
              <w:t>分母</w:t>
            </w:r>
          </w:p>
        </w:tc>
        <w:tc>
          <w:tcPr>
            <w:tcW w:type="dxa" w:w="781"/>
            <w:tcBorders>
              <w:top w:val="single" w:sz="4"/>
              <w:bottom w:val="single" w:sz="4"/>
            </w:tcBorders>
          </w:tcPr>
          <w:p>
            <w:pPr>
              <w:spacing w:after="20" w:before="20" w:line="240" w:lineRule="exact"/>
            </w:pPr>
            <w:r>
              <w:rPr>
                <w:rFonts w:ascii="IPAexMincho" w:hAnsi="IPAexMincho" w:eastAsia="IPAexMincho" w:cs="IPAexMincho"/>
                <w:b/>
                <w:color w:val="000000"/>
                <w:sz w:val="20"/>
              </w:rPr>
              <w:t>R</w:t>
            </w:r>
          </w:p>
        </w:tc>
        <w:tc>
          <w:tcPr>
            <w:tcW w:type="dxa" w:w="781"/>
            <w:tcBorders>
              <w:top w:val="single" w:sz="4"/>
              <w:bottom w:val="single" w:sz="4"/>
            </w:tcBorders>
          </w:tcPr>
          <w:p>
            <w:pPr>
              <w:spacing w:after="20" w:before="20" w:line="240" w:lineRule="exact"/>
            </w:pPr>
            <w:r>
              <w:rPr>
                <w:rFonts w:ascii="IPAexMincho" w:hAnsi="IPAexMincho" w:eastAsia="IPAexMincho" w:cs="IPAexMincho"/>
                <w:b/>
                <w:color w:val="000000"/>
                <w:sz w:val="20"/>
              </w:rPr>
              <w:t>F</w:t>
            </w:r>
          </w:p>
        </w:tc>
        <w:tc>
          <w:tcPr>
            <w:tcW w:type="dxa" w:w="781"/>
            <w:tcBorders>
              <w:top w:val="single" w:sz="4"/>
              <w:bottom w:val="single" w:sz="4"/>
            </w:tcBorders>
          </w:tcPr>
          <w:p>
            <w:pPr>
              <w:spacing w:after="20" w:before="20" w:line="240" w:lineRule="exact"/>
            </w:pPr>
            <w:r>
              <w:rPr>
                <w:rFonts w:ascii="IPAexMincho" w:hAnsi="IPAexMincho" w:eastAsia="IPAexMincho" w:cs="IPAexMincho"/>
                <w:b/>
                <w:color w:val="000000"/>
                <w:sz w:val="20"/>
              </w:rPr>
              <w:t>D</w:t>
            </w:r>
          </w:p>
        </w:tc>
      </w:tr>
      <w:tr>
        <w:trPr>
          <w:cantSplit/>
        </w:trPr>
        <w:tc>
          <w:tcPr>
            <w:tcW w:type="dxa" w:w="1469"/>
            <w:tcBorders/>
          </w:tcPr>
          <w:p>
            <w:pPr>
              <w:spacing w:after="20" w:before="20" w:line="240" w:lineRule="exact"/>
            </w:pPr>
            <w:r>
              <w:rPr>
                <w:rFonts w:ascii="IPAexMincho" w:hAnsi="IPAexMincho" w:eastAsia="IPAexMincho" w:cs="IPAexMincho"/>
                <w:b w:val="0"/>
                <w:color w:val="000000"/>
                <w:sz w:val="20"/>
              </w:rPr>
              <w:t>Q4</w:t>
            </w:r>
          </w:p>
        </w:tc>
        <w:tc>
          <w:tcPr>
            <w:tcW w:type="dxa" w:w="781"/>
            <w:tcBorders/>
          </w:tcPr>
          <w:p>
            <w:pPr>
              <w:spacing w:after="20" w:before="20" w:line="240" w:lineRule="exact"/>
            </w:pPr>
            <w:r>
              <w:rPr>
                <w:rFonts w:ascii="IPAexMincho" w:hAnsi="IPAexMincho" w:eastAsia="IPAexMincho" w:cs="IPAexMincho"/>
                <w:b w:val="0"/>
                <w:color w:val="000000"/>
                <w:sz w:val="20"/>
              </w:rPr>
              <w:t>162</w:t>
            </w:r>
          </w:p>
        </w:tc>
        <w:tc>
          <w:tcPr>
            <w:tcW w:type="dxa" w:w="781"/>
            <w:tcBorders/>
          </w:tcPr>
          <w:p>
            <w:pPr>
              <w:spacing w:after="20" w:before="20" w:line="240" w:lineRule="exact"/>
            </w:pPr>
            <w:r>
              <w:rPr>
                <w:rFonts w:ascii="IPAexMincho" w:hAnsi="IPAexMincho" w:eastAsia="IPAexMincho" w:cs="IPAexMincho"/>
                <w:b w:val="0"/>
                <w:color w:val="000000"/>
                <w:sz w:val="20"/>
              </w:rPr>
              <w:t>31</w:t>
            </w:r>
          </w:p>
        </w:tc>
        <w:tc>
          <w:tcPr>
            <w:tcW w:type="dxa" w:w="781"/>
            <w:tcBorders/>
          </w:tcPr>
          <w:p>
            <w:pPr>
              <w:spacing w:after="20" w:before="20" w:line="240" w:lineRule="exact"/>
            </w:pPr>
            <w:r>
              <w:rPr>
                <w:rFonts w:ascii="IPAexMincho" w:hAnsi="IPAexMincho" w:eastAsia="IPAexMincho" w:cs="IPAexMincho"/>
                <w:b w:val="0"/>
                <w:color w:val="000000"/>
                <w:sz w:val="20"/>
              </w:rPr>
              <w:t>78</w:t>
            </w:r>
          </w:p>
        </w:tc>
        <w:tc>
          <w:tcPr>
            <w:tcW w:type="dxa" w:w="781"/>
            <w:tcBorders/>
          </w:tcPr>
          <w:p>
            <w:pPr>
              <w:spacing w:after="20" w:before="20" w:line="240" w:lineRule="exact"/>
            </w:pPr>
            <w:r>
              <w:rPr>
                <w:rFonts w:ascii="IPAexMincho" w:hAnsi="IPAexMincho" w:eastAsia="IPAexMincho" w:cs="IPAexMincho"/>
                <w:b w:val="0"/>
                <w:color w:val="000000"/>
                <w:sz w:val="20"/>
              </w:rPr>
              <w:t>90</w:t>
            </w:r>
          </w:p>
        </w:tc>
      </w:tr>
      <w:tr>
        <w:trPr>
          <w:cantSplit/>
        </w:trPr>
        <w:tc>
          <w:tcPr>
            <w:tcW w:type="dxa" w:w="1469"/>
            <w:tcBorders/>
          </w:tcPr>
          <w:p>
            <w:pPr>
              <w:spacing w:after="20" w:before="20" w:line="240" w:lineRule="exact"/>
            </w:pPr>
            <w:r>
              <w:rPr>
                <w:rFonts w:ascii="IPAexMincho" w:hAnsi="IPAexMincho" w:eastAsia="IPAexMincho" w:cs="IPAexMincho"/>
                <w:b w:val="0"/>
                <w:color w:val="000000"/>
                <w:sz w:val="20"/>
              </w:rPr>
              <w:t>G4</w:t>
            </w:r>
          </w:p>
        </w:tc>
        <w:tc>
          <w:tcPr>
            <w:tcW w:type="dxa" w:w="781"/>
            <w:tcBorders/>
          </w:tcPr>
          <w:p>
            <w:pPr>
              <w:spacing w:after="20" w:before="20" w:line="240" w:lineRule="exact"/>
            </w:pPr>
            <w:r>
              <w:rPr>
                <w:rFonts w:ascii="IPAexMincho" w:hAnsi="IPAexMincho" w:eastAsia="IPAexMincho" w:cs="IPAexMincho"/>
                <w:b w:val="0"/>
                <w:color w:val="000000"/>
                <w:sz w:val="20"/>
              </w:rPr>
              <w:t>62</w:t>
            </w:r>
          </w:p>
        </w:tc>
        <w:tc>
          <w:tcPr>
            <w:tcW w:type="dxa" w:w="781"/>
            <w:tcBorders/>
          </w:tcPr>
          <w:p>
            <w:pPr>
              <w:spacing w:after="20" w:before="20" w:line="240" w:lineRule="exact"/>
            </w:pPr>
            <w:r>
              <w:rPr>
                <w:rFonts w:ascii="IPAexMincho" w:hAnsi="IPAexMincho" w:eastAsia="IPAexMincho" w:cs="IPAexMincho"/>
                <w:b w:val="0"/>
                <w:color w:val="000000"/>
                <w:sz w:val="20"/>
              </w:rPr>
              <w:t>30</w:t>
            </w:r>
          </w:p>
        </w:tc>
        <w:tc>
          <w:tcPr>
            <w:tcW w:type="dxa" w:w="781"/>
            <w:tcBorders/>
          </w:tcPr>
          <w:p>
            <w:pPr>
              <w:spacing w:after="20" w:before="20" w:line="240" w:lineRule="exact"/>
            </w:pPr>
            <w:r>
              <w:rPr>
                <w:rFonts w:ascii="IPAexMincho" w:hAnsi="IPAexMincho" w:eastAsia="IPAexMincho" w:cs="IPAexMincho"/>
                <w:b w:val="0"/>
                <w:color w:val="000000"/>
                <w:sz w:val="20"/>
              </w:rPr>
              <w:t>48</w:t>
            </w:r>
          </w:p>
        </w:tc>
        <w:tc>
          <w:tcPr>
            <w:tcW w:type="dxa" w:w="781"/>
            <w:tcBorders/>
          </w:tcPr>
          <w:p>
            <w:pPr>
              <w:spacing w:after="20" w:before="20" w:line="240" w:lineRule="exact"/>
            </w:pPr>
            <w:r>
              <w:rPr>
                <w:rFonts w:ascii="IPAexMincho" w:hAnsi="IPAexMincho" w:eastAsia="IPAexMincho" w:cs="IPAexMincho"/>
                <w:b w:val="0"/>
                <w:color w:val="000000"/>
                <w:sz w:val="20"/>
              </w:rPr>
              <w:t>38</w:t>
            </w:r>
          </w:p>
        </w:tc>
      </w:tr>
      <w:tr>
        <w:trPr>
          <w:cantSplit/>
        </w:trPr>
        <w:tc>
          <w:tcPr>
            <w:tcW w:type="dxa" w:w="1469"/>
            <w:tcBorders/>
          </w:tcPr>
          <w:p>
            <w:pPr>
              <w:spacing w:after="20" w:before="20" w:line="240" w:lineRule="exact"/>
            </w:pPr>
            <w:r>
              <w:rPr>
                <w:rFonts w:ascii="IPAexMincho" w:hAnsi="IPAexMincho" w:eastAsia="IPAexMincho" w:cs="IPAexMincho"/>
                <w:b w:val="0"/>
                <w:color w:val="000000"/>
                <w:sz w:val="20"/>
              </w:rPr>
              <w:t>Q9</w:t>
            </w:r>
          </w:p>
        </w:tc>
        <w:tc>
          <w:tcPr>
            <w:tcW w:type="dxa" w:w="781"/>
            <w:tcBorders/>
          </w:tcPr>
          <w:p>
            <w:pPr>
              <w:spacing w:after="20" w:before="20" w:line="240" w:lineRule="exact"/>
            </w:pPr>
            <w:r>
              <w:rPr>
                <w:rFonts w:ascii="IPAexMincho" w:hAnsi="IPAexMincho" w:eastAsia="IPAexMincho" w:cs="IPAexMincho"/>
                <w:b w:val="0"/>
                <w:color w:val="000000"/>
                <w:sz w:val="20"/>
              </w:rPr>
              <w:t>66</w:t>
            </w:r>
          </w:p>
        </w:tc>
        <w:tc>
          <w:tcPr>
            <w:tcW w:type="dxa" w:w="781"/>
            <w:tcBorders/>
          </w:tcPr>
          <w:p>
            <w:pPr>
              <w:spacing w:after="20" w:before="20" w:line="240" w:lineRule="exact"/>
            </w:pPr>
            <w:r>
              <w:rPr>
                <w:rFonts w:ascii="IPAexMincho" w:hAnsi="IPAexMincho" w:eastAsia="IPAexMincho" w:cs="IPAexMincho"/>
                <w:b w:val="0"/>
                <w:color w:val="000000"/>
                <w:sz w:val="20"/>
              </w:rPr>
              <w:t>15</w:t>
            </w:r>
          </w:p>
        </w:tc>
        <w:tc>
          <w:tcPr>
            <w:tcW w:type="dxa" w:w="781"/>
            <w:tcBorders/>
          </w:tcPr>
          <w:p>
            <w:pPr>
              <w:spacing w:after="20" w:before="20" w:line="240" w:lineRule="exact"/>
            </w:pPr>
            <w:r>
              <w:rPr>
                <w:rFonts w:ascii="IPAexMincho" w:hAnsi="IPAexMincho" w:eastAsia="IPAexMincho" w:cs="IPAexMincho"/>
                <w:b w:val="0"/>
                <w:color w:val="000000"/>
                <w:sz w:val="20"/>
              </w:rPr>
              <w:t>33</w:t>
            </w:r>
          </w:p>
        </w:tc>
        <w:tc>
          <w:tcPr>
            <w:tcW w:type="dxa" w:w="781"/>
            <w:tcBorders/>
          </w:tcPr>
          <w:p>
            <w:pPr>
              <w:spacing w:after="20" w:before="20" w:line="240" w:lineRule="exact"/>
            </w:pPr>
            <w:r>
              <w:rPr>
                <w:rFonts w:ascii="IPAexMincho" w:hAnsi="IPAexMincho" w:eastAsia="IPAexMincho" w:cs="IPAexMincho"/>
                <w:b w:val="0"/>
                <w:color w:val="000000"/>
                <w:sz w:val="20"/>
              </w:rPr>
              <w:t>28</w:t>
            </w:r>
          </w:p>
        </w:tc>
      </w:tr>
      <w:tr>
        <w:trPr>
          <w:cantSplit/>
        </w:trPr>
        <w:tc>
          <w:tcPr>
            <w:tcW w:type="dxa" w:w="1469"/>
            <w:tcBorders/>
          </w:tcPr>
          <w:p>
            <w:pPr>
              <w:spacing w:after="20" w:before="20" w:line="240" w:lineRule="exact"/>
            </w:pPr>
            <w:r>
              <w:rPr>
                <w:rFonts w:ascii="IPAexMincho" w:hAnsi="IPAexMincho" w:eastAsia="IPAexMincho" w:cs="IPAexMincho"/>
                <w:b w:val="0"/>
                <w:color w:val="000000"/>
                <w:sz w:val="20"/>
              </w:rPr>
              <w:t>C7</w:t>
            </w:r>
          </w:p>
        </w:tc>
        <w:tc>
          <w:tcPr>
            <w:tcW w:type="dxa" w:w="781"/>
            <w:tcBorders/>
          </w:tcPr>
          <w:p>
            <w:pPr>
              <w:spacing w:after="20" w:before="20" w:line="240" w:lineRule="exact"/>
            </w:pPr>
            <w:r>
              <w:rPr>
                <w:rFonts w:ascii="IPAexMincho" w:hAnsi="IPAexMincho" w:eastAsia="IPAexMincho" w:cs="IPAexMincho"/>
                <w:b w:val="0"/>
                <w:color w:val="000000"/>
                <w:sz w:val="20"/>
              </w:rPr>
              <w:t>65</w:t>
            </w:r>
          </w:p>
        </w:tc>
        <w:tc>
          <w:tcPr>
            <w:tcW w:type="dxa" w:w="781"/>
            <w:tcBorders/>
          </w:tcPr>
          <w:p>
            <w:pPr>
              <w:spacing w:after="20" w:before="20" w:line="240" w:lineRule="exact"/>
            </w:pPr>
            <w:r>
              <w:rPr>
                <w:rFonts w:ascii="IPAexMincho" w:hAnsi="IPAexMincho" w:eastAsia="IPAexMincho" w:cs="IPAexMincho"/>
                <w:b w:val="0"/>
                <w:color w:val="000000"/>
                <w:sz w:val="20"/>
              </w:rPr>
              <w:t>15</w:t>
            </w:r>
          </w:p>
        </w:tc>
        <w:tc>
          <w:tcPr>
            <w:tcW w:type="dxa" w:w="781"/>
            <w:tcBorders/>
          </w:tcPr>
          <w:p>
            <w:pPr>
              <w:spacing w:after="20" w:before="20" w:line="240" w:lineRule="exact"/>
            </w:pPr>
            <w:r>
              <w:rPr>
                <w:rFonts w:ascii="IPAexMincho" w:hAnsi="IPAexMincho" w:eastAsia="IPAexMincho" w:cs="IPAexMincho"/>
                <w:b w:val="0"/>
                <w:color w:val="000000"/>
                <w:sz w:val="20"/>
              </w:rPr>
              <w:t>23</w:t>
            </w:r>
          </w:p>
        </w:tc>
        <w:tc>
          <w:tcPr>
            <w:tcW w:type="dxa" w:w="781"/>
            <w:tcBorders/>
          </w:tcPr>
          <w:p>
            <w:pPr>
              <w:spacing w:after="20" w:before="20" w:line="240" w:lineRule="exact"/>
            </w:pPr>
            <w:r>
              <w:rPr>
                <w:rFonts w:ascii="IPAexMincho" w:hAnsi="IPAexMincho" w:eastAsia="IPAexMincho" w:cs="IPAexMincho"/>
                <w:b w:val="0"/>
                <w:color w:val="000000"/>
                <w:sz w:val="20"/>
              </w:rPr>
              <w:t>23</w:t>
            </w:r>
          </w:p>
        </w:tc>
      </w:tr>
      <w:tr>
        <w:trPr>
          <w:cantSplit/>
        </w:trPr>
        <w:tc>
          <w:tcPr>
            <w:tcW w:type="dxa" w:w="1469"/>
            <w:tcBorders>
              <w:bottom w:val="single" w:sz="4"/>
            </w:tcBorders>
          </w:tcPr>
          <w:p>
            <w:pPr>
              <w:spacing w:after="20" w:before="20" w:line="240" w:lineRule="exact"/>
            </w:pPr>
            <w:r>
              <w:rPr>
                <w:rFonts w:ascii="IPAexMincho" w:hAnsi="IPAexMincho" w:eastAsia="IPAexMincho" w:cs="IPAexMincho"/>
                <w:b w:val="0"/>
                <w:color w:val="000000"/>
                <w:sz w:val="20"/>
              </w:rPr>
              <w:t>G3</w:t>
            </w:r>
          </w:p>
        </w:tc>
        <w:tc>
          <w:tcPr>
            <w:tcW w:type="dxa" w:w="781"/>
            <w:tcBorders>
              <w:bottom w:val="single" w:sz="4"/>
            </w:tcBorders>
          </w:tcPr>
          <w:p>
            <w:pPr>
              <w:spacing w:after="20" w:before="20" w:line="240" w:lineRule="exact"/>
            </w:pPr>
            <w:r>
              <w:rPr>
                <w:rFonts w:ascii="IPAexMincho" w:hAnsi="IPAexMincho" w:eastAsia="IPAexMincho" w:cs="IPAexMincho"/>
                <w:b w:val="0"/>
                <w:color w:val="000000"/>
                <w:sz w:val="20"/>
              </w:rPr>
              <w:t>190</w:t>
            </w:r>
          </w:p>
        </w:tc>
        <w:tc>
          <w:tcPr>
            <w:tcW w:type="dxa" w:w="781"/>
            <w:tcBorders>
              <w:bottom w:val="single" w:sz="4"/>
            </w:tcBorders>
          </w:tcPr>
          <w:p>
            <w:pPr>
              <w:spacing w:after="20" w:before="20" w:line="240" w:lineRule="exact"/>
            </w:pPr>
            <w:r>
              <w:rPr>
                <w:rFonts w:ascii="IPAexMincho" w:hAnsi="IPAexMincho" w:eastAsia="IPAexMincho" w:cs="IPAexMincho"/>
                <w:b w:val="0"/>
                <w:color w:val="000000"/>
                <w:sz w:val="20"/>
              </w:rPr>
              <w:t>5</w:t>
            </w:r>
          </w:p>
        </w:tc>
        <w:tc>
          <w:tcPr>
            <w:tcW w:type="dxa" w:w="781"/>
            <w:tcBorders>
              <w:bottom w:val="single" w:sz="4"/>
            </w:tcBorders>
          </w:tcPr>
          <w:p>
            <w:pPr>
              <w:spacing w:after="20" w:before="20" w:line="240" w:lineRule="exact"/>
            </w:pPr>
            <w:r>
              <w:rPr>
                <w:rFonts w:ascii="IPAexMincho" w:hAnsi="IPAexMincho" w:eastAsia="IPAexMincho" w:cs="IPAexMincho"/>
                <w:b w:val="0"/>
                <w:color w:val="000000"/>
                <w:sz w:val="20"/>
              </w:rPr>
              <w:t>1</w:t>
            </w:r>
          </w:p>
        </w:tc>
        <w:tc>
          <w:tcPr>
            <w:tcW w:type="dxa" w:w="781"/>
            <w:tcBorders>
              <w:bottom w:val="single" w:sz="4"/>
            </w:tcBorders>
          </w:tcPr>
          <w:p>
            <w:pPr>
              <w:spacing w:after="20" w:before="20" w:line="240" w:lineRule="exact"/>
            </w:pPr>
            <w:r>
              <w:rPr>
                <w:rFonts w:ascii="IPAexMincho" w:hAnsi="IPAexMincho" w:eastAsia="IPAexMincho" w:cs="IPAexMincho"/>
                <w:b w:val="0"/>
                <w:color w:val="000000"/>
                <w:sz w:val="20"/>
              </w:rPr>
              <w:t>1</w:t>
            </w:r>
          </w:p>
        </w:tc>
      </w:tr>
    </w:tbl>
    <w:p>
      <w:pPr>
        <w:spacing w:after="0" w:line="40" w:lineRule="exact"/>
      </w:pPr>
      <w:r>
        <w:rPr>
          <w:rFonts w:ascii="IPAexMincho" w:hAnsi="IPAexMincho" w:eastAsia="IPAexMincho" w:cs="IPAexMincho"/>
          <w:b w:val="0"/>
          <w:color w:val="000000"/>
          <w:sz w:val="4"/>
        </w:rPr>
      </w:r>
    </w:p>
    <w:p>
      <w:r>
        <w:br w:type="column"/>
      </w:r>
    </w:p>
    <w:p>
      <w:pPr>
        <w:ind w:firstLine="200"/>
      </w:pPr>
      <w:r>
        <w:rPr>
          <w:rFonts w:ascii="IPAexMincho" w:hAnsi="IPAexMincho" w:eastAsia="IPAexMincho" w:cs="IPAexMincho"/>
          <w:b w:val="0"/>
          <w:color w:val="000000"/>
          <w:sz w:val="20"/>
        </w:rPr>
        <w:t>表2ではimport失敗でD，回路構築失敗でFの救済が多かった．類型の構成はモデル・タスクと関連するため，この結果だけで介入選択規則を確定しない．保存分類unknownの1組は原因確認記録を伴う生成コード側の失敗である．</w:t>
      </w:r>
    </w:p>
    <w:p>
      <w:pPr>
        <w:keepNext/>
        <w:ind w:firstLine="0"/>
        <w:jc w:val="center"/>
      </w:pPr>
      <w:r>
        <w:rPr>
          <w:rFonts w:ascii="IPAexMincho" w:hAnsi="IPAexMincho" w:eastAsia="IPAexMincho" w:cs="IPAexMincho"/>
          <w:b w:val="0"/>
          <w:color w:val="000000"/>
          <w:sz w:val="20"/>
        </w:rPr>
        <w:t>表2　初期失敗類型別の救済組数</w:t>
      </w:r>
    </w:p>
    <w:tbl>
      <w:tblPr>
        <w:tblW w:type="dxa" w:w="4592"/>
        <w:tblLayout w:type="fixed"/>
        <w:tblLook w:firstColumn="1" w:firstRow="1" w:lastColumn="0" w:lastRow="0" w:noHBand="0" w:noVBand="1" w:val="04A0"/>
      </w:tblPr>
      <w:tblGrid>
        <w:gridCol w:w="1469"/>
        <w:gridCol w:w="781"/>
        <w:gridCol w:w="781"/>
        <w:gridCol w:w="781"/>
        <w:gridCol w:w="781"/>
      </w:tblGrid>
      <w:tr>
        <w:trPr>
          <w:cantSplit/>
          <w:tblHeader/>
        </w:trPr>
        <w:tc>
          <w:tcPr>
            <w:tcW w:type="dxa" w:w="1469"/>
            <w:tcBorders>
              <w:top w:val="single" w:sz="4"/>
              <w:bottom w:val="single" w:sz="4"/>
            </w:tcBorders>
          </w:tcPr>
          <w:p>
            <w:pPr>
              <w:spacing w:after="20" w:before="20" w:line="240" w:lineRule="exact"/>
            </w:pPr>
            <w:r>
              <w:rPr>
                <w:rFonts w:ascii="IPAexMincho" w:hAnsi="IPAexMincho" w:eastAsia="IPAexMincho" w:cs="IPAexMincho"/>
                <w:b/>
                <w:color w:val="000000"/>
                <w:sz w:val="20"/>
              </w:rPr>
              <w:t>類型</w:t>
            </w:r>
          </w:p>
        </w:tc>
        <w:tc>
          <w:tcPr>
            <w:tcW w:type="dxa" w:w="781"/>
            <w:tcBorders>
              <w:top w:val="single" w:sz="4"/>
              <w:bottom w:val="single" w:sz="4"/>
            </w:tcBorders>
          </w:tcPr>
          <w:p>
            <w:pPr>
              <w:spacing w:after="20" w:before="20" w:line="240" w:lineRule="exact"/>
            </w:pPr>
            <w:r>
              <w:rPr>
                <w:rFonts w:ascii="IPAexMincho" w:hAnsi="IPAexMincho" w:eastAsia="IPAexMincho" w:cs="IPAexMincho"/>
                <w:b/>
                <w:color w:val="000000"/>
                <w:sz w:val="20"/>
              </w:rPr>
              <w:t>分母</w:t>
            </w:r>
          </w:p>
        </w:tc>
        <w:tc>
          <w:tcPr>
            <w:tcW w:type="dxa" w:w="781"/>
            <w:tcBorders>
              <w:top w:val="single" w:sz="4"/>
              <w:bottom w:val="single" w:sz="4"/>
            </w:tcBorders>
          </w:tcPr>
          <w:p>
            <w:pPr>
              <w:spacing w:after="20" w:before="20" w:line="240" w:lineRule="exact"/>
            </w:pPr>
            <w:r>
              <w:rPr>
                <w:rFonts w:ascii="IPAexMincho" w:hAnsi="IPAexMincho" w:eastAsia="IPAexMincho" w:cs="IPAexMincho"/>
                <w:b/>
                <w:color w:val="000000"/>
                <w:sz w:val="20"/>
              </w:rPr>
              <w:t>R</w:t>
            </w:r>
          </w:p>
        </w:tc>
        <w:tc>
          <w:tcPr>
            <w:tcW w:type="dxa" w:w="781"/>
            <w:tcBorders>
              <w:top w:val="single" w:sz="4"/>
              <w:bottom w:val="single" w:sz="4"/>
            </w:tcBorders>
          </w:tcPr>
          <w:p>
            <w:pPr>
              <w:spacing w:after="20" w:before="20" w:line="240" w:lineRule="exact"/>
            </w:pPr>
            <w:r>
              <w:rPr>
                <w:rFonts w:ascii="IPAexMincho" w:hAnsi="IPAexMincho" w:eastAsia="IPAexMincho" w:cs="IPAexMincho"/>
                <w:b/>
                <w:color w:val="000000"/>
                <w:sz w:val="20"/>
              </w:rPr>
              <w:t>F</w:t>
            </w:r>
          </w:p>
        </w:tc>
        <w:tc>
          <w:tcPr>
            <w:tcW w:type="dxa" w:w="781"/>
            <w:tcBorders>
              <w:top w:val="single" w:sz="4"/>
              <w:bottom w:val="single" w:sz="4"/>
            </w:tcBorders>
          </w:tcPr>
          <w:p>
            <w:pPr>
              <w:spacing w:after="20" w:before="20" w:line="240" w:lineRule="exact"/>
            </w:pPr>
            <w:r>
              <w:rPr>
                <w:rFonts w:ascii="IPAexMincho" w:hAnsi="IPAexMincho" w:eastAsia="IPAexMincho" w:cs="IPAexMincho"/>
                <w:b/>
                <w:color w:val="000000"/>
                <w:sz w:val="20"/>
              </w:rPr>
              <w:t>D</w:t>
            </w:r>
          </w:p>
        </w:tc>
      </w:tr>
      <w:tr>
        <w:trPr>
          <w:cantSplit/>
        </w:trPr>
        <w:tc>
          <w:tcPr>
            <w:tcW w:type="dxa" w:w="1469"/>
            <w:tcBorders/>
          </w:tcPr>
          <w:p>
            <w:pPr>
              <w:spacing w:after="20" w:before="20" w:line="240" w:lineRule="exact"/>
            </w:pPr>
            <w:r>
              <w:rPr>
                <w:rFonts w:ascii="IPAexMincho" w:hAnsi="IPAexMincho" w:eastAsia="IPAexMincho" w:cs="IPAexMincho"/>
                <w:b w:val="0"/>
                <w:color w:val="000000"/>
                <w:sz w:val="20"/>
              </w:rPr>
              <w:t>import失敗</w:t>
            </w:r>
          </w:p>
        </w:tc>
        <w:tc>
          <w:tcPr>
            <w:tcW w:type="dxa" w:w="781"/>
            <w:tcBorders/>
          </w:tcPr>
          <w:p>
            <w:pPr>
              <w:spacing w:after="20" w:before="20" w:line="240" w:lineRule="exact"/>
            </w:pPr>
            <w:r>
              <w:rPr>
                <w:rFonts w:ascii="IPAexMincho" w:hAnsi="IPAexMincho" w:eastAsia="IPAexMincho" w:cs="IPAexMincho"/>
                <w:b w:val="0"/>
                <w:color w:val="000000"/>
                <w:sz w:val="20"/>
              </w:rPr>
              <w:t>271</w:t>
            </w:r>
          </w:p>
        </w:tc>
        <w:tc>
          <w:tcPr>
            <w:tcW w:type="dxa" w:w="781"/>
            <w:tcBorders/>
          </w:tcPr>
          <w:p>
            <w:pPr>
              <w:spacing w:after="20" w:before="20" w:line="240" w:lineRule="exact"/>
            </w:pPr>
            <w:r>
              <w:rPr>
                <w:rFonts w:ascii="IPAexMincho" w:hAnsi="IPAexMincho" w:eastAsia="IPAexMincho" w:cs="IPAexMincho"/>
                <w:b w:val="0"/>
                <w:color w:val="000000"/>
                <w:sz w:val="20"/>
              </w:rPr>
              <w:t>24</w:t>
            </w:r>
          </w:p>
        </w:tc>
        <w:tc>
          <w:tcPr>
            <w:tcW w:type="dxa" w:w="781"/>
            <w:tcBorders/>
          </w:tcPr>
          <w:p>
            <w:pPr>
              <w:spacing w:after="20" w:before="20" w:line="240" w:lineRule="exact"/>
            </w:pPr>
            <w:r>
              <w:rPr>
                <w:rFonts w:ascii="IPAexMincho" w:hAnsi="IPAexMincho" w:eastAsia="IPAexMincho" w:cs="IPAexMincho"/>
                <w:b w:val="0"/>
                <w:color w:val="000000"/>
                <w:sz w:val="20"/>
              </w:rPr>
              <w:t>58</w:t>
            </w:r>
          </w:p>
        </w:tc>
        <w:tc>
          <w:tcPr>
            <w:tcW w:type="dxa" w:w="781"/>
            <w:tcBorders/>
          </w:tcPr>
          <w:p>
            <w:pPr>
              <w:spacing w:after="20" w:before="20" w:line="240" w:lineRule="exact"/>
            </w:pPr>
            <w:r>
              <w:rPr>
                <w:rFonts w:ascii="IPAexMincho" w:hAnsi="IPAexMincho" w:eastAsia="IPAexMincho" w:cs="IPAexMincho"/>
                <w:b w:val="0"/>
                <w:color w:val="000000"/>
                <w:sz w:val="20"/>
              </w:rPr>
              <w:t>72</w:t>
            </w:r>
          </w:p>
        </w:tc>
      </w:tr>
      <w:tr>
        <w:trPr>
          <w:cantSplit/>
        </w:trPr>
        <w:tc>
          <w:tcPr>
            <w:tcW w:type="dxa" w:w="1469"/>
            <w:tcBorders/>
          </w:tcPr>
          <w:p>
            <w:pPr>
              <w:spacing w:after="20" w:before="20" w:line="240" w:lineRule="exact"/>
            </w:pPr>
            <w:r>
              <w:rPr>
                <w:rFonts w:ascii="IPAexMincho" w:hAnsi="IPAexMincho" w:eastAsia="IPAexMincho" w:cs="IPAexMincho"/>
                <w:b w:val="0"/>
                <w:color w:val="000000"/>
                <w:sz w:val="20"/>
              </w:rPr>
              <w:t>回路構築失敗</w:t>
            </w:r>
          </w:p>
        </w:tc>
        <w:tc>
          <w:tcPr>
            <w:tcW w:type="dxa" w:w="781"/>
            <w:tcBorders/>
          </w:tcPr>
          <w:p>
            <w:pPr>
              <w:spacing w:after="20" w:before="20" w:line="240" w:lineRule="exact"/>
            </w:pPr>
            <w:r>
              <w:rPr>
                <w:rFonts w:ascii="IPAexMincho" w:hAnsi="IPAexMincho" w:eastAsia="IPAexMincho" w:cs="IPAexMincho"/>
                <w:b w:val="0"/>
                <w:color w:val="000000"/>
                <w:sz w:val="20"/>
              </w:rPr>
              <w:t>126</w:t>
            </w:r>
          </w:p>
        </w:tc>
        <w:tc>
          <w:tcPr>
            <w:tcW w:type="dxa" w:w="781"/>
            <w:tcBorders/>
          </w:tcPr>
          <w:p>
            <w:pPr>
              <w:spacing w:after="20" w:before="20" w:line="240" w:lineRule="exact"/>
            </w:pPr>
            <w:r>
              <w:rPr>
                <w:rFonts w:ascii="IPAexMincho" w:hAnsi="IPAexMincho" w:eastAsia="IPAexMincho" w:cs="IPAexMincho"/>
                <w:b w:val="0"/>
                <w:color w:val="000000"/>
                <w:sz w:val="20"/>
              </w:rPr>
              <w:t>32</w:t>
            </w:r>
          </w:p>
        </w:tc>
        <w:tc>
          <w:tcPr>
            <w:tcW w:type="dxa" w:w="781"/>
            <w:tcBorders/>
          </w:tcPr>
          <w:p>
            <w:pPr>
              <w:spacing w:after="20" w:before="20" w:line="240" w:lineRule="exact"/>
            </w:pPr>
            <w:r>
              <w:rPr>
                <w:rFonts w:ascii="IPAexMincho" w:hAnsi="IPAexMincho" w:eastAsia="IPAexMincho" w:cs="IPAexMincho"/>
                <w:b w:val="0"/>
                <w:color w:val="000000"/>
                <w:sz w:val="20"/>
              </w:rPr>
              <w:t>76</w:t>
            </w:r>
          </w:p>
        </w:tc>
        <w:tc>
          <w:tcPr>
            <w:tcW w:type="dxa" w:w="781"/>
            <w:tcBorders/>
          </w:tcPr>
          <w:p>
            <w:pPr>
              <w:spacing w:after="20" w:before="20" w:line="240" w:lineRule="exact"/>
            </w:pPr>
            <w:r>
              <w:rPr>
                <w:rFonts w:ascii="IPAexMincho" w:hAnsi="IPAexMincho" w:eastAsia="IPAexMincho" w:cs="IPAexMincho"/>
                <w:b w:val="0"/>
                <w:color w:val="000000"/>
                <w:sz w:val="20"/>
              </w:rPr>
              <w:t>68</w:t>
            </w:r>
          </w:p>
        </w:tc>
      </w:tr>
      <w:tr>
        <w:trPr>
          <w:cantSplit/>
        </w:trPr>
        <w:tc>
          <w:tcPr>
            <w:tcW w:type="dxa" w:w="1469"/>
            <w:tcBorders/>
          </w:tcPr>
          <w:p>
            <w:pPr>
              <w:spacing w:after="20" w:before="20" w:line="240" w:lineRule="exact"/>
            </w:pPr>
            <w:r>
              <w:rPr>
                <w:rFonts w:ascii="IPAexMincho" w:hAnsi="IPAexMincho" w:eastAsia="IPAexMincho" w:cs="IPAexMincho"/>
                <w:b w:val="0"/>
                <w:color w:val="000000"/>
                <w:sz w:val="20"/>
              </w:rPr>
              <w:t>構文誤り</w:t>
            </w:r>
          </w:p>
        </w:tc>
        <w:tc>
          <w:tcPr>
            <w:tcW w:type="dxa" w:w="781"/>
            <w:tcBorders/>
          </w:tcPr>
          <w:p>
            <w:pPr>
              <w:spacing w:after="20" w:before="20" w:line="240" w:lineRule="exact"/>
            </w:pPr>
            <w:r>
              <w:rPr>
                <w:rFonts w:ascii="IPAexMincho" w:hAnsi="IPAexMincho" w:eastAsia="IPAexMincho" w:cs="IPAexMincho"/>
                <w:b w:val="0"/>
                <w:color w:val="000000"/>
                <w:sz w:val="20"/>
              </w:rPr>
              <w:t>68</w:t>
            </w:r>
          </w:p>
        </w:tc>
        <w:tc>
          <w:tcPr>
            <w:tcW w:type="dxa" w:w="781"/>
            <w:tcBorders/>
          </w:tcPr>
          <w:p>
            <w:pPr>
              <w:spacing w:after="20" w:before="20" w:line="240" w:lineRule="exact"/>
            </w:pPr>
            <w:r>
              <w:rPr>
                <w:rFonts w:ascii="IPAexMincho" w:hAnsi="IPAexMincho" w:eastAsia="IPAexMincho" w:cs="IPAexMincho"/>
                <w:b w:val="0"/>
                <w:color w:val="000000"/>
                <w:sz w:val="20"/>
              </w:rPr>
              <w:t>21</w:t>
            </w:r>
          </w:p>
        </w:tc>
        <w:tc>
          <w:tcPr>
            <w:tcW w:type="dxa" w:w="781"/>
            <w:tcBorders/>
          </w:tcPr>
          <w:p>
            <w:pPr>
              <w:spacing w:after="20" w:before="20" w:line="240" w:lineRule="exact"/>
            </w:pPr>
            <w:r>
              <w:rPr>
                <w:rFonts w:ascii="IPAexMincho" w:hAnsi="IPAexMincho" w:eastAsia="IPAexMincho" w:cs="IPAexMincho"/>
                <w:b w:val="0"/>
                <w:color w:val="000000"/>
                <w:sz w:val="20"/>
              </w:rPr>
              <w:t>25</w:t>
            </w:r>
          </w:p>
        </w:tc>
        <w:tc>
          <w:tcPr>
            <w:tcW w:type="dxa" w:w="781"/>
            <w:tcBorders/>
          </w:tcPr>
          <w:p>
            <w:pPr>
              <w:spacing w:after="20" w:before="20" w:line="240" w:lineRule="exact"/>
            </w:pPr>
            <w:r>
              <w:rPr>
                <w:rFonts w:ascii="IPAexMincho" w:hAnsi="IPAexMincho" w:eastAsia="IPAexMincho" w:cs="IPAexMincho"/>
                <w:b w:val="0"/>
                <w:color w:val="000000"/>
                <w:sz w:val="20"/>
              </w:rPr>
              <w:t>21</w:t>
            </w:r>
          </w:p>
        </w:tc>
      </w:tr>
      <w:tr>
        <w:trPr>
          <w:cantSplit/>
        </w:trPr>
        <w:tc>
          <w:tcPr>
            <w:tcW w:type="dxa" w:w="1469"/>
            <w:tcBorders/>
          </w:tcPr>
          <w:p>
            <w:pPr>
              <w:spacing w:after="20" w:before="20" w:line="240" w:lineRule="exact"/>
            </w:pPr>
            <w:r>
              <w:rPr>
                <w:rFonts w:ascii="IPAexMincho" w:hAnsi="IPAexMincho" w:eastAsia="IPAexMincho" w:cs="IPAexMincho"/>
                <w:b w:val="0"/>
                <w:color w:val="000000"/>
                <w:sz w:val="20"/>
              </w:rPr>
              <w:t>出力不一致</w:t>
            </w:r>
          </w:p>
        </w:tc>
        <w:tc>
          <w:tcPr>
            <w:tcW w:type="dxa" w:w="781"/>
            <w:tcBorders/>
          </w:tcPr>
          <w:p>
            <w:pPr>
              <w:spacing w:after="20" w:before="20" w:line="240" w:lineRule="exact"/>
            </w:pPr>
            <w:r>
              <w:rPr>
                <w:rFonts w:ascii="IPAexMincho" w:hAnsi="IPAexMincho" w:eastAsia="IPAexMincho" w:cs="IPAexMincho"/>
                <w:b w:val="0"/>
                <w:color w:val="000000"/>
                <w:sz w:val="20"/>
              </w:rPr>
              <w:t>65</w:t>
            </w:r>
          </w:p>
        </w:tc>
        <w:tc>
          <w:tcPr>
            <w:tcW w:type="dxa" w:w="781"/>
            <w:tcBorders/>
          </w:tcPr>
          <w:p>
            <w:pPr>
              <w:spacing w:after="20" w:before="20" w:line="240" w:lineRule="exact"/>
            </w:pPr>
            <w:r>
              <w:rPr>
                <w:rFonts w:ascii="IPAexMincho" w:hAnsi="IPAexMincho" w:eastAsia="IPAexMincho" w:cs="IPAexMincho"/>
                <w:b w:val="0"/>
                <w:color w:val="000000"/>
                <w:sz w:val="20"/>
              </w:rPr>
              <w:t>16</w:t>
            </w:r>
          </w:p>
        </w:tc>
        <w:tc>
          <w:tcPr>
            <w:tcW w:type="dxa" w:w="781"/>
            <w:tcBorders/>
          </w:tcPr>
          <w:p>
            <w:pPr>
              <w:spacing w:after="20" w:before="20" w:line="240" w:lineRule="exact"/>
            </w:pPr>
            <w:r>
              <w:rPr>
                <w:rFonts w:ascii="IPAexMincho" w:hAnsi="IPAexMincho" w:eastAsia="IPAexMincho" w:cs="IPAexMincho"/>
                <w:b w:val="0"/>
                <w:color w:val="000000"/>
                <w:sz w:val="20"/>
              </w:rPr>
              <w:t>24</w:t>
            </w:r>
          </w:p>
        </w:tc>
        <w:tc>
          <w:tcPr>
            <w:tcW w:type="dxa" w:w="781"/>
            <w:tcBorders/>
          </w:tcPr>
          <w:p>
            <w:pPr>
              <w:spacing w:after="20" w:before="20" w:line="240" w:lineRule="exact"/>
            </w:pPr>
            <w:r>
              <w:rPr>
                <w:rFonts w:ascii="IPAexMincho" w:hAnsi="IPAexMincho" w:eastAsia="IPAexMincho" w:cs="IPAexMincho"/>
                <w:b w:val="0"/>
                <w:color w:val="000000"/>
                <w:sz w:val="20"/>
              </w:rPr>
              <w:t>18</w:t>
            </w:r>
          </w:p>
        </w:tc>
      </w:tr>
      <w:tr>
        <w:trPr>
          <w:cantSplit/>
        </w:trPr>
        <w:tc>
          <w:tcPr>
            <w:tcW w:type="dxa" w:w="1469"/>
            <w:tcBorders/>
          </w:tcPr>
          <w:p>
            <w:pPr>
              <w:spacing w:after="20" w:before="20" w:line="240" w:lineRule="exact"/>
            </w:pPr>
            <w:r>
              <w:rPr>
                <w:rFonts w:ascii="IPAexMincho" w:hAnsi="IPAexMincho" w:eastAsia="IPAexMincho" w:cs="IPAexMincho"/>
                <w:b w:val="0"/>
                <w:color w:val="000000"/>
                <w:sz w:val="20"/>
              </w:rPr>
              <w:t>IF不適合</w:t>
            </w:r>
          </w:p>
        </w:tc>
        <w:tc>
          <w:tcPr>
            <w:tcW w:type="dxa" w:w="781"/>
            <w:tcBorders/>
          </w:tcPr>
          <w:p>
            <w:pPr>
              <w:spacing w:after="20" w:before="20" w:line="240" w:lineRule="exact"/>
            </w:pPr>
            <w:r>
              <w:rPr>
                <w:rFonts w:ascii="IPAexMincho" w:hAnsi="IPAexMincho" w:eastAsia="IPAexMincho" w:cs="IPAexMincho"/>
                <w:b w:val="0"/>
                <w:color w:val="000000"/>
                <w:sz w:val="20"/>
              </w:rPr>
              <w:t>11</w:t>
            </w:r>
          </w:p>
        </w:tc>
        <w:tc>
          <w:tcPr>
            <w:tcW w:type="dxa" w:w="781"/>
            <w:tcBorders/>
          </w:tcPr>
          <w:p>
            <w:pPr>
              <w:spacing w:after="20" w:before="20" w:line="240" w:lineRule="exact"/>
            </w:pPr>
            <w:r>
              <w:rPr>
                <w:rFonts w:ascii="IPAexMincho" w:hAnsi="IPAexMincho" w:eastAsia="IPAexMincho" w:cs="IPAexMincho"/>
                <w:b w:val="0"/>
                <w:color w:val="000000"/>
                <w:sz w:val="20"/>
              </w:rPr>
              <w:t>1</w:t>
            </w:r>
          </w:p>
        </w:tc>
        <w:tc>
          <w:tcPr>
            <w:tcW w:type="dxa" w:w="781"/>
            <w:tcBorders/>
          </w:tcPr>
          <w:p>
            <w:pPr>
              <w:spacing w:after="20" w:before="20" w:line="240" w:lineRule="exact"/>
            </w:pPr>
            <w:r>
              <w:rPr>
                <w:rFonts w:ascii="IPAexMincho" w:hAnsi="IPAexMincho" w:eastAsia="IPAexMincho" w:cs="IPAexMincho"/>
                <w:b w:val="0"/>
                <w:color w:val="000000"/>
                <w:sz w:val="20"/>
              </w:rPr>
              <w:t>0</w:t>
            </w:r>
          </w:p>
        </w:tc>
        <w:tc>
          <w:tcPr>
            <w:tcW w:type="dxa" w:w="781"/>
            <w:tcBorders/>
          </w:tcPr>
          <w:p>
            <w:pPr>
              <w:spacing w:after="20" w:before="20" w:line="240" w:lineRule="exact"/>
            </w:pPr>
            <w:r>
              <w:rPr>
                <w:rFonts w:ascii="IPAexMincho" w:hAnsi="IPAexMincho" w:eastAsia="IPAexMincho" w:cs="IPAexMincho"/>
                <w:b w:val="0"/>
                <w:color w:val="000000"/>
                <w:sz w:val="20"/>
              </w:rPr>
              <w:t>1</w:t>
            </w:r>
          </w:p>
        </w:tc>
      </w:tr>
      <w:tr>
        <w:trPr>
          <w:cantSplit/>
        </w:trPr>
        <w:tc>
          <w:tcPr>
            <w:tcW w:type="dxa" w:w="1469"/>
            <w:tcBorders/>
          </w:tcPr>
          <w:p>
            <w:pPr>
              <w:spacing w:after="20" w:before="20" w:line="240" w:lineRule="exact"/>
            </w:pPr>
            <w:r>
              <w:rPr>
                <w:rFonts w:ascii="IPAexMincho" w:hAnsi="IPAexMincho" w:eastAsia="IPAexMincho" w:cs="IPAexMincho"/>
                <w:b w:val="0"/>
                <w:color w:val="000000"/>
                <w:sz w:val="20"/>
              </w:rPr>
              <w:t>量子ビット数</w:t>
            </w:r>
          </w:p>
        </w:tc>
        <w:tc>
          <w:tcPr>
            <w:tcW w:type="dxa" w:w="781"/>
            <w:tcBorders/>
          </w:tcPr>
          <w:p>
            <w:pPr>
              <w:spacing w:after="20" w:before="20" w:line="240" w:lineRule="exact"/>
            </w:pPr>
            <w:r>
              <w:rPr>
                <w:rFonts w:ascii="IPAexMincho" w:hAnsi="IPAexMincho" w:eastAsia="IPAexMincho" w:cs="IPAexMincho"/>
                <w:b w:val="0"/>
                <w:color w:val="000000"/>
                <w:sz w:val="20"/>
              </w:rPr>
              <w:t>3</w:t>
            </w:r>
          </w:p>
        </w:tc>
        <w:tc>
          <w:tcPr>
            <w:tcW w:type="dxa" w:w="781"/>
            <w:tcBorders/>
          </w:tcPr>
          <w:p>
            <w:pPr>
              <w:spacing w:after="20" w:before="20" w:line="240" w:lineRule="exact"/>
            </w:pPr>
            <w:r>
              <w:rPr>
                <w:rFonts w:ascii="IPAexMincho" w:hAnsi="IPAexMincho" w:eastAsia="IPAexMincho" w:cs="IPAexMincho"/>
                <w:b w:val="0"/>
                <w:color w:val="000000"/>
                <w:sz w:val="20"/>
              </w:rPr>
              <w:t>2</w:t>
            </w:r>
          </w:p>
        </w:tc>
        <w:tc>
          <w:tcPr>
            <w:tcW w:type="dxa" w:w="781"/>
            <w:tcBorders/>
          </w:tcPr>
          <w:p>
            <w:pPr>
              <w:spacing w:after="20" w:before="20" w:line="240" w:lineRule="exact"/>
            </w:pPr>
            <w:r>
              <w:rPr>
                <w:rFonts w:ascii="IPAexMincho" w:hAnsi="IPAexMincho" w:eastAsia="IPAexMincho" w:cs="IPAexMincho"/>
                <w:b w:val="0"/>
                <w:color w:val="000000"/>
                <w:sz w:val="20"/>
              </w:rPr>
              <w:t>0</w:t>
            </w:r>
          </w:p>
        </w:tc>
        <w:tc>
          <w:tcPr>
            <w:tcW w:type="dxa" w:w="781"/>
            <w:tcBorders/>
          </w:tcPr>
          <w:p>
            <w:pPr>
              <w:spacing w:after="20" w:before="20" w:line="240" w:lineRule="exact"/>
            </w:pPr>
            <w:r>
              <w:rPr>
                <w:rFonts w:ascii="IPAexMincho" w:hAnsi="IPAexMincho" w:eastAsia="IPAexMincho" w:cs="IPAexMincho"/>
                <w:b w:val="0"/>
                <w:color w:val="000000"/>
                <w:sz w:val="20"/>
              </w:rPr>
              <w:t>0</w:t>
            </w:r>
          </w:p>
        </w:tc>
      </w:tr>
      <w:tr>
        <w:trPr>
          <w:cantSplit/>
        </w:trPr>
        <w:tc>
          <w:tcPr>
            <w:tcW w:type="dxa" w:w="1469"/>
            <w:tcBorders>
              <w:bottom w:val="single" w:sz="4"/>
            </w:tcBorders>
          </w:tcPr>
          <w:p>
            <w:pPr>
              <w:spacing w:after="20" w:before="20" w:line="240" w:lineRule="exact"/>
            </w:pPr>
            <w:r>
              <w:rPr>
                <w:rFonts w:ascii="IPAexMincho" w:hAnsi="IPAexMincho" w:eastAsia="IPAexMincho" w:cs="IPAexMincho"/>
                <w:b w:val="0"/>
                <w:color w:val="000000"/>
                <w:sz w:val="20"/>
              </w:rPr>
              <w:t>保存分類unknown</w:t>
            </w:r>
          </w:p>
        </w:tc>
        <w:tc>
          <w:tcPr>
            <w:tcW w:type="dxa" w:w="781"/>
            <w:tcBorders>
              <w:bottom w:val="single" w:sz="4"/>
            </w:tcBorders>
          </w:tcPr>
          <w:p>
            <w:pPr>
              <w:spacing w:after="20" w:before="20" w:line="240" w:lineRule="exact"/>
            </w:pPr>
            <w:r>
              <w:rPr>
                <w:rFonts w:ascii="IPAexMincho" w:hAnsi="IPAexMincho" w:eastAsia="IPAexMincho" w:cs="IPAexMincho"/>
                <w:b w:val="0"/>
                <w:color w:val="000000"/>
                <w:sz w:val="20"/>
              </w:rPr>
              <w:t>1</w:t>
            </w:r>
          </w:p>
        </w:tc>
        <w:tc>
          <w:tcPr>
            <w:tcW w:type="dxa" w:w="781"/>
            <w:tcBorders>
              <w:bottom w:val="single" w:sz="4"/>
            </w:tcBorders>
          </w:tcPr>
          <w:p>
            <w:pPr>
              <w:spacing w:after="20" w:before="20" w:line="240" w:lineRule="exact"/>
            </w:pPr>
            <w:r>
              <w:rPr>
                <w:rFonts w:ascii="IPAexMincho" w:hAnsi="IPAexMincho" w:eastAsia="IPAexMincho" w:cs="IPAexMincho"/>
                <w:b w:val="0"/>
                <w:color w:val="000000"/>
                <w:sz w:val="20"/>
              </w:rPr>
              <w:t>0</w:t>
            </w:r>
          </w:p>
        </w:tc>
        <w:tc>
          <w:tcPr>
            <w:tcW w:type="dxa" w:w="781"/>
            <w:tcBorders>
              <w:bottom w:val="single" w:sz="4"/>
            </w:tcBorders>
          </w:tcPr>
          <w:p>
            <w:pPr>
              <w:spacing w:after="20" w:before="20" w:line="240" w:lineRule="exact"/>
            </w:pPr>
            <w:r>
              <w:rPr>
                <w:rFonts w:ascii="IPAexMincho" w:hAnsi="IPAexMincho" w:eastAsia="IPAexMincho" w:cs="IPAexMincho"/>
                <w:b w:val="0"/>
                <w:color w:val="000000"/>
                <w:sz w:val="20"/>
              </w:rPr>
              <w:t>0</w:t>
            </w:r>
          </w:p>
        </w:tc>
        <w:tc>
          <w:tcPr>
            <w:tcW w:type="dxa" w:w="781"/>
            <w:tcBorders>
              <w:bottom w:val="single" w:sz="4"/>
            </w:tcBorders>
          </w:tcPr>
          <w:p>
            <w:pPr>
              <w:spacing w:after="20" w:before="20" w:line="240" w:lineRule="exact"/>
            </w:pPr>
            <w:r>
              <w:rPr>
                <w:rFonts w:ascii="IPAexMincho" w:hAnsi="IPAexMincho" w:eastAsia="IPAexMincho" w:cs="IPAexMincho"/>
                <w:b w:val="0"/>
                <w:color w:val="000000"/>
                <w:sz w:val="20"/>
              </w:rPr>
              <w:t>0</w:t>
            </w:r>
          </w:p>
        </w:tc>
      </w:tr>
    </w:tbl>
    <w:p>
      <w:pPr>
        <w:spacing w:after="0" w:line="40" w:lineRule="exact"/>
      </w:pPr>
      <w:r>
        <w:rPr>
          <w:rFonts w:ascii="IPAexMincho" w:hAnsi="IPAexMincho" w:eastAsia="IPAexMincho" w:cs="IPAexMincho"/>
          <w:b w:val="0"/>
          <w:color w:val="000000"/>
          <w:sz w:val="4"/>
        </w:rPr>
      </w:r>
    </w:p>
    <w:p>
      <w:pPr>
        <w:pStyle w:val="Heading2"/>
        <w:spacing w:before="100" w:after="60"/>
      </w:pPr>
      <w:r>
        <w:rPr>
          <w:rFonts w:ascii="IPAexGothic" w:hAnsi="IPAexGothic" w:eastAsia="IPAexGothic" w:cs="IPAexGothic"/>
          <w:b/>
          <w:color w:val="000000"/>
          <w:sz w:val="21"/>
        </w:rPr>
        <w:t>5　救済対象の違いと追加消費</w:t>
      </w:r>
    </w:p>
    <w:p>
      <w:pPr>
        <w:ind w:firstLine="200"/>
      </w:pPr>
      <w:r>
        <w:rPr>
          <w:rFonts w:ascii="IPAexMincho" w:hAnsi="IPAexMincho" w:eastAsia="IPAexMincho" w:cs="IPAexMincho"/>
          <w:b w:val="0"/>
          <w:color w:val="000000"/>
          <w:sz w:val="20"/>
        </w:rPr>
        <w:t>F/Dの共通救済は140組，Fのみ43組，Dのみ40組，双方未救済322組であった．片側救済83組の両条件166履歴・398修正遷移を全件静的確認した．importや回路構築等の変更は複数箇所が同時に現れ，静的差分だけでは救済原因を分離できない．</w:t>
      </w:r>
    </w:p>
    <w:p>
      <w:pPr>
        <w:ind w:firstLine="200"/>
      </w:pPr>
      <w:r>
        <w:rPr>
          <w:rFonts w:ascii="IPAexMincho" w:hAnsi="IPAexMincho" w:eastAsia="IPAexMincho" w:cs="IPAexMincho"/>
          <w:b w:val="0"/>
          <w:color w:val="000000"/>
          <w:sz w:val="20"/>
        </w:rPr>
        <w:t>少なくとも一方が救済した223/545組（40.9%）は両条件の結果を見て選んだ集合であり，実行前の介入選択方策の成功率ではない．</w:t>
      </w:r>
    </w:p>
    <w:p>
      <w:pPr>
        <w:ind w:firstLine="200"/>
      </w:pPr>
      <w:r>
        <w:rPr>
          <w:rFonts w:ascii="IPAexMincho" w:hAnsi="IPAexMincho" w:eastAsia="IPAexMincho" w:cs="IPAexMincho"/>
          <w:b w:val="0"/>
          <w:color w:val="000000"/>
          <w:sz w:val="20"/>
        </w:rPr>
        <w:t>共有初期生成を除き，未救済例への消費も含む追加tokens／救済はR18,852.6，F9,333.8，D10,976.6であった．保存prefixの過去の記録値と部分追試suffixの実測値を合わせた経路の計算値であり，全件新実験の実測コストや金銭費用ではない．</w:t>
      </w:r>
    </w:p>
    <w:p>
      <w:r>
        <w:br w:type="column"/>
      </w:r>
    </w:p>
    <w:p>
      <w:pPr>
        <w:ind w:firstLine="200"/>
      </w:pPr>
      <w:r>
        <w:rPr>
          <w:rFonts w:ascii="IPAexMincho" w:hAnsi="IPAexMincho" w:eastAsia="IPAexMincho" w:cs="IPAexMincho"/>
          <w:b w:val="0"/>
          <w:color w:val="000000"/>
          <w:sz w:val="20"/>
        </w:rPr>
        <w:t>3回目の追加救済はR19組，F28組，D33組であった．2回で区切ると3回までの救済のF15.3%，D18.3%を失う．同じ最大3修正の履歴を区切った比較であり，上限別の独立実験ではない．</w:t>
      </w:r>
    </w:p>
    <w:p>
      <w:pPr>
        <w:ind w:firstLine="200"/>
      </w:pPr>
      <w:r>
        <w:rPr>
          <w:rFonts w:ascii="IPAexMincho" w:hAnsi="IPAexMincho" w:eastAsia="IPAexMincho" w:cs="IPAexMincho"/>
          <w:b w:val="0"/>
          <w:color w:val="000000"/>
          <w:sz w:val="20"/>
        </w:rPr>
        <w:t>PはBの初期失敗に対応する成功124/545組，初期成功に対応する失敗106/455組で，最終成功473/1,000組だった．独立生成の改善と悪化を含み，R/F/Dと同じ修正効果とは解釈しない．</w:t>
      </w:r>
    </w:p>
    <w:p>
      <w:pPr>
        <w:pStyle w:val="Heading2"/>
        <w:spacing w:before="100" w:after="60"/>
      </w:pPr>
      <w:r>
        <w:rPr>
          <w:rFonts w:ascii="IPAexGothic" w:hAnsi="IPAexGothic" w:eastAsia="IPAexGothic" w:cs="IPAexGothic"/>
          <w:b/>
          <w:color w:val="000000"/>
          <w:sz w:val="21"/>
        </w:rPr>
        <w:t>6　考察・限界と今後の課題</w:t>
      </w:r>
    </w:p>
    <w:p>
      <w:pPr>
        <w:ind w:firstLine="200"/>
      </w:pPr>
      <w:r>
        <w:rPr>
          <w:rFonts w:ascii="IPAexMincho" w:hAnsi="IPAexMincho" w:eastAsia="IPAexMincho" w:cs="IPAexMincho"/>
          <w:b w:val="0"/>
          <w:color w:val="000000"/>
          <w:sz w:val="20"/>
        </w:rPr>
        <w:t>本対象ではFとDがRより多くの初期失敗を救済した．FとDの全体差は3組だが，片側救済83組が示すように救済する対象は異なる．率とともに失敗類型やモデルによる適用範囲を確認する必要がある．</w:t>
      </w:r>
    </w:p>
    <w:p>
      <w:pPr>
        <w:ind w:firstLine="200"/>
      </w:pPr>
      <w:r>
        <w:rPr>
          <w:rFonts w:ascii="IPAexMincho" w:hAnsi="IPAexMincho" w:eastAsia="IPAexMincho" w:cs="IPAexMincho"/>
          <w:b w:val="0"/>
          <w:color w:val="000000"/>
          <w:sz w:val="20"/>
        </w:rPr>
        <w:t>共有初期・タスク・seedの依存，元実験のschema・診断文差があり，5,000条件を独立標本と扱わない．指定入力だけの主L3，有限shotsと未固定の測定乱数，1,024 tokens上限，モデルdigest・量子化・負荷差が限界である．介入やモデルの一般的優劣，因果効果，統計的有意差を断定しない．</w:t>
      </w:r>
    </w:p>
    <w:p>
      <w:pPr>
        <w:ind w:firstLine="200"/>
      </w:pPr>
      <w:r>
        <w:rPr>
          <w:rFonts w:ascii="IPAexMincho" w:hAnsi="IPAexMincho" w:eastAsia="IPAexMincho" w:cs="IPAexMincho"/>
          <w:b w:val="0"/>
          <w:color w:val="000000"/>
          <w:sz w:val="20"/>
        </w:rPr>
        <w:t>今後は介入選択と停止方策を事前固定し，別seed・タスクで検証する．意味的変更の人手確認と，測定乱数・生成長・負荷への感度も課題とする．本稿作成に伴う追加実験は行っていない．</w:t>
      </w:r>
    </w:p>
    <w:p>
      <w:pPr>
        <w:pStyle w:val="Heading2"/>
        <w:spacing w:before="100" w:after="60"/>
      </w:pPr>
      <w:r>
        <w:rPr>
          <w:rFonts w:ascii="IPAexGothic" w:hAnsi="IPAexGothic" w:eastAsia="IPAexGothic" w:cs="IPAexGothic"/>
          <w:b/>
          <w:color w:val="000000"/>
          <w:sz w:val="21"/>
        </w:rPr>
        <w:t>参考文献</w:t>
      </w:r>
    </w:p>
    <w:p>
      <w:pPr>
        <w:ind w:firstLine="0"/>
      </w:pPr>
      <w:r>
        <w:rPr>
          <w:rFonts w:ascii="IPAexMincho" w:hAnsi="IPAexMincho" w:eastAsia="IPAexMincho" w:cs="IPAexMincho"/>
          <w:b w:val="0"/>
          <w:color w:val="000000"/>
          <w:sz w:val="20"/>
        </w:rPr>
        <w:t>[1] A. Madaan et al.：Self-Refine: Iterative Refinement with Self-Feedback，arXiv:2303.17651v2（2023）．https://arxiv.org/abs/2303.17651v2</w:t>
      </w:r>
    </w:p>
    <w:p>
      <w:pPr>
        <w:ind w:firstLine="0"/>
      </w:pPr>
      <w:r>
        <w:rPr>
          <w:rFonts w:ascii="IPAexMincho" w:hAnsi="IPAexMincho" w:eastAsia="IPAexMincho" w:cs="IPAexMincho"/>
          <w:b w:val="0"/>
          <w:color w:val="000000"/>
          <w:sz w:val="20"/>
        </w:rPr>
        <w:t>[2] X. Chen，M. Lin，N. Schärli，D. Zhou：Teaching Large Language Models to Self-Debug，arXiv:2304.05128v2（2023）．https://arxiv.org/abs/2304.05128v2</w:t>
      </w:r>
    </w:p>
    <w:p>
      <w:pPr>
        <w:ind w:firstLine="0"/>
      </w:pPr>
      <w:r>
        <w:rPr>
          <w:rFonts w:ascii="IPAexMincho" w:hAnsi="IPAexMincho" w:eastAsia="IPAexMincho" w:cs="IPAexMincho"/>
          <w:b w:val="0"/>
          <w:color w:val="000000"/>
          <w:sz w:val="20"/>
        </w:rPr>
        <w:t>[3] 伊藤悠真：現行救済経路の固定集計・保存設定・出典（2026-10-16版）．本資料README記載の固定出典を参照．</w:t>
      </w:r>
    </w:p>
    <w:sectPr w:rsidR="00FC693F" w:rsidRPr="0006063C" w:rsidSect="00034616">
      <w:type w:val="continuous"/>
      <w:pgSz w:w="11906" w:h="16838"/>
      <w:pgMar w:top="1020" w:right="1020" w:bottom="1361" w:left="1020" w:header="567" w:footer="680" w:gutter="0"/>
      <w:cols w:space="340" w:num="2"/>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IPAexMincho" w:hAnsi="IPAexMincho" w:eastAsia="IPAexMincho" w:cs="IPAexMincho"/>
        <w:b w:val="0"/>
        <w:color w:val="000000"/>
        <w:sz w:val="20"/>
      </w:rPr>
      <w:fldChar w:fldCharType="begin"/>
      <w:instrText>PAGE</w:instrText>
      <w:fldChar w:fldCharType="separate"/>
    </w:r>
    <w:r>
      <w:rPr>
        <w:rFonts w:ascii="IPAexMincho" w:hAnsi="IPAexMincho" w:eastAsia="IPAexMincho" w:cs="IPAexMincho"/>
        <w:b w:val="0"/>
        <w:color w:val="000000"/>
        <w:sz w:val="20"/>
      </w:rPr>
      <w:t>1</w:t>
    </w:r>
    <w:r>
      <w:rPr>
        <w:rFonts w:ascii="IPAexMincho" w:hAnsi="IPAexMincho" w:eastAsia="IPAexMincho" w:cs="IPAexMincho"/>
        <w:b w:val="0"/>
        <w:color w:val="000000"/>
        <w:sz w:val="20"/>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0" w:line="254" w:lineRule="exact"/>
    </w:pPr>
    <w:rPr>
      <w:rFonts w:ascii="IPAexMincho" w:hAnsi="IPAexMincho" w:eastAsia="IPAexMincho"/>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100"/>
      <w:outlineLvl w:val="0"/>
    </w:pPr>
    <w:rPr>
      <w:rFonts w:asciiTheme="majorHAnsi" w:eastAsiaTheme="majorEastAsia" w:hAnsiTheme="majorHAnsi" w:cstheme="majorBidi" w:ascii="IPAexGothic" w:hAnsi="IPAexGothic" w:eastAsia="IPAexGothic"/>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160" w:after="100"/>
      <w:outlineLvl w:val="1"/>
    </w:pPr>
    <w:rPr>
      <w:rFonts w:asciiTheme="majorHAnsi" w:eastAsiaTheme="majorEastAsia" w:hAnsiTheme="majorHAnsi" w:cstheme="majorBidi" w:ascii="IPAexGothic" w:hAnsi="IPAexGothic" w:eastAsia="IPAexGothic"/>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160" w:after="100"/>
      <w:outlineLvl w:val="2"/>
    </w:pPr>
    <w:rPr>
      <w:rFonts w:asciiTheme="majorHAnsi" w:eastAsiaTheme="majorEastAsia" w:hAnsiTheme="majorHAnsi" w:cstheme="majorBidi" w:ascii="IPAexGothic" w:hAnsi="IPAexGothic" w:eastAsia="IPAexGothic"/>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00" w:line="240" w:lineRule="auto" w:before="160"/>
      <w:contextualSpacing/>
    </w:pPr>
    <w:rPr>
      <w:rFonts w:asciiTheme="majorHAnsi" w:eastAsiaTheme="majorEastAsia" w:hAnsiTheme="majorHAnsi" w:cstheme="majorBidi" w:ascii="IPAexGothic" w:hAnsi="IPAexGothic" w:eastAsia="IPAexGothic"/>
      <w:color w:val="000000"/>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widowControl/>
      <w:spacing w:after="0" w:line="254" w:lineRule="exact"/>
    </w:pPr>
    <w:rPr>
      <w:rFonts w:ascii="IPAexMincho" w:hAnsi="IPAexMincho" w:eastAsia="IPAexMincho"/>
      <w:sz w:val="20"/>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widowControl/>
      <w:spacing w:line="254" w:lineRule="exact" w:after="0"/>
    </w:pPr>
    <w:rPr>
      <w:rFonts w:ascii="IPAexMincho" w:hAnsi="IPAexMincho" w:eastAsia="IPAexMincho"/>
      <w:b/>
      <w:bCs/>
      <w:color w:val="4F81BD" w:themeColor="accent1"/>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Qiskit量子回路コードの初期失敗に対する修正介入の救済率と救済対象の分析</dc:title>
  <dc:subject>卒業研究発表会用草稿・2026-10-16固定集計</dc:subject>
  <dc:creator>伊藤 悠真</dc:creator>
  <cp:keywords/>
  <dc:description>検証済み保存結果に基づく草稿．提出年月・所属英訳・教員確認・類似レポートは要確認．</dc:description>
  <cp:lastModifiedBy/>
  <cp:revision>1</cp:revision>
  <dcterms:created xsi:type="dcterms:W3CDTF">2013-12-23T23:15:00Z</dcterms:created>
  <dcterms:modified xsi:type="dcterms:W3CDTF">2013-12-23T23:15:00Z</dcterms:modified>
  <cp:category/>
</cp:coreProperties>
</file>