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全1,000初期組の最終L3成功率はB45.5%，P47.3%，R55.1%，F63.8%，D63.5%，B4 67.2%であった．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6条件と共有初期コード</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18</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19</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19</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20</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21</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22</w:t>
      </w:r>
    </w:p>
    <w:p>
      <w:pPr>
        <w:tabs>
          <w:tab w:pos="9581" w:val="right" w:leader="dot"/>
        </w:tabs>
        <w:spacing w:before="0" w:after="0" w:line="240" w:lineRule="auto"/>
        <w:ind w:left="0"/>
      </w:pPr>
      <w:r>
        <w:rPr>
          <w:rFonts w:ascii="Century" w:hAnsi="Century" w:cs="Century" w:eastAsia="MS 明朝"/>
          <w:b w:val="0"/>
          <w:color w:val="000000"/>
          <w:sz w:val="18"/>
        </w:rPr>
        <w:t>5 考察</w:t>
        <w:tab/>
        <w:t>23</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23</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23</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24</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24</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24</w:t>
      </w:r>
    </w:p>
    <w:p>
      <w:pPr>
        <w:tabs>
          <w:tab w:pos="9581" w:val="right" w:leader="dot"/>
        </w:tabs>
        <w:spacing w:before="0" w:after="0" w:line="240" w:lineRule="auto"/>
        <w:ind w:left="0"/>
      </w:pPr>
      <w:r>
        <w:rPr>
          <w:rFonts w:ascii="Century" w:hAnsi="Century" w:cs="Century" w:eastAsia="MS 明朝"/>
          <w:b w:val="0"/>
          <w:color w:val="000000"/>
          <w:sz w:val="18"/>
        </w:rPr>
        <w:t>6 おわりに</w:t>
        <w:tab/>
        <w:t>26</w:t>
      </w:r>
    </w:p>
    <w:p>
      <w:pPr>
        <w:tabs>
          <w:tab w:pos="9581" w:val="right" w:leader="dot"/>
        </w:tabs>
        <w:spacing w:before="0" w:after="0" w:line="240" w:lineRule="auto"/>
        <w:ind w:left="227"/>
      </w:pPr>
      <w:r>
        <w:rPr>
          <w:rFonts w:ascii="Century" w:hAnsi="Century" w:cs="Century" w:eastAsia="MS 明朝"/>
          <w:b w:val="0"/>
          <w:color w:val="000000"/>
          <w:sz w:val="18"/>
        </w:rPr>
        <w:t>6.1 研究成果</w:t>
        <w:tab/>
        <w:t>26</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26</w:t>
      </w:r>
    </w:p>
    <w:p>
      <w:pPr>
        <w:tabs>
          <w:tab w:pos="9581" w:val="right" w:leader="dot"/>
        </w:tabs>
        <w:spacing w:before="0" w:after="0" w:line="240" w:lineRule="auto"/>
        <w:ind w:left="0"/>
      </w:pPr>
      <w:r>
        <w:rPr>
          <w:rFonts w:ascii="Century" w:hAnsi="Century" w:cs="Century" w:eastAsia="MS 明朝"/>
          <w:b w:val="0"/>
          <w:color w:val="000000"/>
          <w:sz w:val="18"/>
        </w:rPr>
        <w:t>7 参考文献</w:t>
        <w:tab/>
        <w:t>27</w:t>
      </w:r>
    </w:p>
    <w:p>
      <w:pPr>
        <w:tabs>
          <w:tab w:pos="9581" w:val="right" w:leader="dot"/>
        </w:tabs>
        <w:spacing w:before="0" w:after="0" w:line="240" w:lineRule="auto"/>
        <w:ind w:left="0"/>
      </w:pPr>
      <w:r>
        <w:rPr>
          <w:rFonts w:ascii="Century" w:hAnsi="Century" w:cs="Century" w:eastAsia="MS 明朝"/>
          <w:b w:val="0"/>
          <w:color w:val="000000"/>
          <w:sz w:val="18"/>
        </w:rPr>
        <w:t>8 付録</w:t>
        <w:tab/>
        <w:t>28</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28</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28</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29</w:t>
      </w:r>
    </w:p>
    <w:p>
      <w:pPr>
        <w:tabs>
          <w:tab w:pos="9581" w:val="right" w:leader="dot"/>
        </w:tabs>
        <w:spacing w:before="0" w:after="0" w:line="240" w:lineRule="auto"/>
        <w:ind w:left="454"/>
      </w:pPr>
      <w:r>
        <w:rPr>
          <w:rFonts w:ascii="Century" w:hAnsi="Century" w:cs="Century" w:eastAsia="MS 明朝"/>
          <w:b w:val="0"/>
          <w:color w:val="000000"/>
          <w:sz w:val="18"/>
        </w:rPr>
        <w:t>8.2.1 集計単位</w:t>
        <w:tab/>
        <w:t>29</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29</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29</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29</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30</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30</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30</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30</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30</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31</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31</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31</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32</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32</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32</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33</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33</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33</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34</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34</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w:t>
      </w:r>
    </w:p>
    <w:p>
      <w:pPr>
        <w:widowControl/>
        <w:jc w:val="left"/>
      </w:pPr>
      <w:r>
        <w:rPr>
          <w:rFonts w:ascii="Century" w:hAnsi="Century" w:cs="Century" w:eastAsia="MS 明朝"/>
          <w:b w:val="0"/>
          <w:color w:val="000000"/>
          <w:sz w:val="21"/>
        </w:rPr>
        <w:t>RQ1（追加成功）　修正介入R/F/Dと独立再生成B4では，同じ初期失敗のうち，どれだけの事例が追加の生成によってL3に到達するか．</w:t>
      </w:r>
    </w:p>
    <w:p>
      <w:pPr>
        <w:widowControl/>
        <w:jc w:val="left"/>
      </w:pPr>
      <w:r>
        <w:rPr>
          <w:rFonts w:ascii="Century" w:hAnsi="Century" w:cs="Century" w:eastAsia="MS 明朝"/>
          <w:b w:val="0"/>
          <w:color w:val="000000"/>
          <w:sz w:val="21"/>
        </w:rPr>
        <w:t>RQ2（救済対象）　救済数が近い介入は，同じ初期失敗事例を救済するか．</w:t>
      </w:r>
    </w:p>
    <w:p>
      <w:pPr>
        <w:widowControl/>
        <w:jc w:val="left"/>
      </w:pPr>
      <w:r>
        <w:rPr>
          <w:rFonts w:ascii="Century" w:hAnsi="Century" w:cs="Century" w:eastAsia="MS 明朝"/>
          <w:b w:val="0"/>
          <w:color w:val="000000"/>
          <w:sz w:val="21"/>
        </w:rPr>
        <w:t>RQ3（追加計算コストと修正回数）　未救済例も含む追加計算コストと修正回数は，救済数とどのように対応するか．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評価方式に基づく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6条件と共有初期コード</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6条件の方法，最大生成回数と役割を示す．モデル・タスク・seedの組を初期組と呼ぶ．Bは初期生成のみの条件である．R/F/DはBと同じ初期コードと判定を共有し，初期失敗に対して最大3回の修正を行う．成功した時点で停止し，以降の修正は行わない．R/F/D/B4の最大4回は，初回1回と最大3回の追加生成を意味する．B4もBの初期コードを共有する一方，PはBとは異なる初期コードを独立に生成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6条件の方法・最大生成回数・役割</w:t>
      </w:r>
    </w:p>
    <w:tbl>
      <w:tblPr>
        <w:tblW w:type="dxa" w:w="9071"/>
        <w:tblLayout w:type="fixed"/>
        <w:tblLook w:firstColumn="1" w:firstRow="1" w:lastColumn="0" w:lastRow="0" w:noHBand="0" w:noVBand="1" w:val="04A0"/>
      </w:tblPr>
      <w:tblGrid>
        <w:gridCol w:w="907"/>
        <w:gridCol w:w="2721"/>
        <w:gridCol w:w="1701"/>
        <w:gridCol w:w="374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72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方法</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最大生成回数</w:t>
            </w:r>
          </w:p>
        </w:tc>
        <w:tc>
          <w:tcPr>
            <w:tcW w:type="dxa" w:w="374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役割</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初回生成のみ</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基準条件</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2721"/>
            <w:tcBorders/>
          </w:tcPr>
          <w:p>
            <w:pPr>
              <w:keepNext/>
              <w:keepLines/>
              <w:spacing w:after="20" w:before="20" w:line="250" w:lineRule="exact"/>
              <w:jc w:val="left"/>
            </w:pPr>
            <w:r>
              <w:rPr>
                <w:rFonts w:ascii="Century" w:hAnsi="Century" w:cs="Century" w:eastAsia="MS 明朝"/>
                <w:b w:val="0"/>
                <w:color w:val="000000"/>
                <w:sz w:val="21"/>
              </w:rPr>
              <w:t>生成前注意事項付き生成</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生成前介入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自己見直し</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実行結果提示</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自己デバッグ</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独立再生成</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w:t>
            </w:r>
          </w:p>
        </w:tc>
        <w:tc>
          <w:tcPr>
            <w:tcW w:type="dxa" w:w="3742"/>
            <w:tcBorders>
              <w:bottom w:val="single" w:sz="4"/>
            </w:tcBorders>
          </w:tcPr>
          <w:p>
            <w:pPr>
              <w:keepNext w:val="0"/>
              <w:keepLines/>
              <w:spacing w:after="20" w:before="20" w:line="250" w:lineRule="exact"/>
              <w:jc w:val="left"/>
            </w:pPr>
            <w:r>
              <w:rPr>
                <w:rFonts w:ascii="Century" w:hAnsi="Century" w:cs="Century" w:eastAsia="MS 明朝"/>
                <w:b w:val="0"/>
                <w:color w:val="000000"/>
                <w:sz w:val="21"/>
              </w:rPr>
              <w:t>生成機会上限をそろえた対照条件</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と</w:t>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全1,000初期組に対するB・P・R・F・D・B4の最終L3成功率を示す．Bは初回生成のみの基準条件，Pは生成前注意事項を加えた独立生成である．R/F/DはBの初期失敗コードを修正し，B4はBの初期コードを共有したうえで，前回コードや診断を与えず再生成する．まず全対象の最終的な到達状況を比較し，次に初期成功の保持を除いて，失敗後の修正・再生成による追加成功を比較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6条件の最終L3成功率（全1,000初期組）</w:t>
      </w:r>
    </w:p>
    <w:tbl>
      <w:tblPr>
        <w:tblW w:type="dxa" w:w="9071"/>
        <w:tblLayout w:type="fixed"/>
        <w:tblLook w:firstColumn="1" w:firstRow="1" w:lastColumn="0" w:lastRow="0" w:noHBand="0" w:noVBand="1" w:val="04A0"/>
      </w:tblPr>
      <w:tblGrid>
        <w:gridCol w:w="1134"/>
        <w:gridCol w:w="2381"/>
        <w:gridCol w:w="2381"/>
        <w:gridCol w:w="3175"/>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L3成功数</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3175"/>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最終L3成功率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B</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455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45.5%</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P</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473</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47.3%</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551</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638</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1,000</w:t>
            </w:r>
          </w:p>
        </w:tc>
        <w:tc>
          <w:tcPr>
            <w:tcW w:type="dxa" w:w="3175"/>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493241"/>
            <wp:docPr id="2" name="Picture 2" descr="6条件の最終L3成功率（分母は全1,000初期組）"/>
            <wp:cNvGraphicFramePr>
              <a:graphicFrameLocks noChangeAspect="1"/>
            </wp:cNvGraphicFramePr>
            <a:graphic>
              <a:graphicData uri="http://schemas.openxmlformats.org/drawingml/2006/picture">
                <pic:pic>
                  <pic:nvPicPr>
                    <pic:cNvPr id="0" name="final_success_rates.png"/>
                    <pic:cNvPicPr/>
                  </pic:nvPicPr>
                  <pic:blipFill>
                    <a:blip r:embed="rId11"/>
                    <a:stretch>
                      <a:fillRect/>
                    </a:stretch>
                  </pic:blipFill>
                  <pic:spPr>
                    <a:xfrm>
                      <a:off x="0" y="0"/>
                      <a:ext cx="5760000" cy="3493241"/>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6条件の最終L3成功率（分母は全1,000初期組）</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Bは追加生成を行わず，Pは初期コードを共有しないため，初期失敗への追加成功率の比較には含めない．Pの独立生成による改善と悪化は4.7節で詳述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134"/>
        <w:gridCol w:w="2494"/>
        <w:gridCol w:w="2494"/>
        <w:gridCol w:w="2948"/>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追加成功数</w:t>
            </w:r>
          </w:p>
        </w:tc>
        <w:tc>
          <w:tcPr>
            <w:tcW w:type="dxa" w:w="294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96</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17.6%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33.0%</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545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94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r>
    </w:tbl>
    <w:p>
      <w:pPr>
        <w:keepNext/>
        <w:keepLines/>
        <w:jc w:val="center"/>
      </w:pPr>
      <w:r>
        <w:drawing>
          <wp:inline xmlns:a="http://schemas.openxmlformats.org/drawingml/2006/main" xmlns:pic="http://schemas.openxmlformats.org/drawingml/2006/picture">
            <wp:extent cx="5760000" cy="3141140"/>
            <wp:docPr id="3" name="Picture 3"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2"/>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keepNext/>
        <w:keepLines/>
        <w:pageBreakBefore/>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Next/>
        <w:keepLines/>
        <w:widowControl/>
        <w:jc w:val="left"/>
      </w:pPr>
      <w:r>
        <w:rPr>
          <w:rFonts w:ascii="Century" w:hAnsi="Century" w:cs="Century" w:eastAsia="MS 明朝"/>
          <w:b w:val="0"/>
          <w:color w:val="000000"/>
          <w:sz w:val="21"/>
        </w:rPr>
        <w:t>修正前（Dの初期コードから抜粋）</w:t>
        <w:br/>
        <w:t>qc.inverse_qft(range(n_counting))</w:t>
      </w:r>
    </w:p>
    <w:p>
      <w:pPr>
        <w:keepNext/>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keepLines/>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4" name="Picture 4"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3"/>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4" w:name="Figur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04"/>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RQ1への回答．初期失敗545組に対する追加成功数はR96組，F183組，D180組，B4 217組であり，本対象ではB4が最多であっ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前回コードの再利用は，正しい部分を残す一方で誤った構造を引き継ぎ，入力を長くする可能性もある．これらの影響は本研究では分離して検証していない．</w:t>
      </w:r>
    </w:p>
    <w:p>
      <w:pPr>
        <w:widowControl/>
        <w:jc w:val="left"/>
      </w:pPr>
      <w:r>
        <w:rPr>
          <w:rFonts w:ascii="Century" w:hAnsi="Century" w:cs="Century" w:eastAsia="MS 明朝"/>
          <w:b w:val="0"/>
          <w:color w:val="000000"/>
          <w:sz w:val="21"/>
        </w:rPr>
        <w:t>RQ2への回答．F183組とD180組の救済数は近かったが，共通救済は140組，Fのみ43組，Dのみ40組であり，救済対象は一致しなかった．B4が失敗し，FまたはDが成功する対象もあるため，全体の追加成功数が最多の条件でも，他条件の成功対象をすべて含むわけではない．</w:t>
      </w:r>
    </w:p>
    <w:p>
      <w:pPr>
        <w:widowControl/>
        <w:jc w:val="left"/>
      </w:pPr>
      <w:r>
        <w:rPr>
          <w:rFonts w:ascii="Century" w:hAnsi="Century" w:cs="Century" w:eastAsia="MS 明朝"/>
          <w:b w:val="0"/>
          <w:color w:val="000000"/>
          <w:sz w:val="21"/>
        </w:rPr>
        <w:t>共有初期と最大生成機会を揃えても，投入情報，tokens，seed規則，実行時期は一致しない．成功率の差を介入の因果効果と解釈しない．本研究の到達点は対象集合内の成績と成功対象の範囲の記述であり，一般的なモデル順位や未知タスクでの最適介入は確定していない．</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と同じ初期失敗数を用いた介入カタログの抜粋を示す．初期失敗の多い3類型について，F/Dの救済率とB4の追加成功率を並べた．率は各条件の成功数を同じ類型の初期失敗数で割って算出し，条件間で初期対象を変えていない．他の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を参照する．</w:t>
      </w:r>
    </w:p>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介入カタログの抜粋（主要3類型の観測率）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比較条件の違いは5.1節に述べたとおりであり，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失敗した生成要求の消費も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import失敗と回路構築失敗ではFとDの救済数の関係が異なった．カタログでは，この観測を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RQ3への回答．未救済例への消費を含む追加tokens／救済の計算値はR18,852.6，F9,333.8，D10,976.6であった．独立再生成B4の追加tokens／追加成功は4,589.0であり，未成功例への消費を含む総追加995,815 tokensを追加成功217組で割った値である．3回目の修正ではF28組，D33組が追加救済された．追加計算コストと救済数は条件ごとに異なり，修正回数を減らす際には失われる救済も考慮する必要がある．</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Pの注意事項には，量子ビット数と古典ビット数を一致させる指示が含まれる．一方，共通systemメッセージではbuild_circuit()内に測定操作を追加しないよう指示しており，課題によっては古典ビットを必要としない．両者は必ずしも論理矛盾ではないが，Pの一律の注意事項が課題仕様や共通指示と競合し，不要な古典ビットの追加を促す可能性がある．この指示が生成コードやPの成績に与える影響は分離して検証していない．したがって，Pの結果は付録8.3に示す注意事項の構成に依存する観測として扱い，予防的注意事項一般の有効性へは一般化しない．</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全1,000初期組の最終L3成功率はB45.5%，P47.3%，R55.1%，F63.8%，D63.5%，B4 67.2%であった．独立再生成B4は217組が追加成功し，F/Dだけが成功する対象も残った．主要な初期失敗3類型（import失敗，回路構築失敗，出力不一致）について，初期失敗数とF/Dによる修正の救済率，B4による独立再生成の追加成功率を比較する介入カタログを作成した．これは観測結果を整理したものであり，自動選択方策の有効性を実証したものではない．</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