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全1,000初期組の最終L3成功率はB45.5%，P47.3%，R55.1%，F63.8%，D63.5%，B4 67.2%であった．</w:t>
      </w:r>
    </w:p>
    <w:p>
      <w:pPr>
        <w:jc w:val="left"/>
      </w:pPr>
      <w:r>
        <w:rPr>
          <w:rFonts w:ascii="Century" w:hAnsi="Century" w:cs="Century" w:eastAsia="MS 明朝"/>
          <w:b w:val="0"/>
          <w:color w:val="000000"/>
          <w:sz w:val="21"/>
        </w:rPr>
        <w:t>対象は5モデル，10タスク，seed 0〜19である．モデル・タスク・seedの組合せを初期組と呼び，B/R/F/D/Pの1,000初期組・5,000条件記録を対象とし，B4の追加実験を別に集計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Fのみ・Dのみの救済計83組について，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6条件と共有初期コード</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18</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19</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19</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20</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21</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22</w:t>
      </w:r>
    </w:p>
    <w:p>
      <w:pPr>
        <w:tabs>
          <w:tab w:pos="9581" w:val="right" w:leader="dot"/>
        </w:tabs>
        <w:spacing w:before="0" w:after="0" w:line="240" w:lineRule="auto"/>
        <w:ind w:left="0"/>
      </w:pPr>
      <w:r>
        <w:rPr>
          <w:rFonts w:ascii="Century" w:hAnsi="Century" w:cs="Century" w:eastAsia="MS 明朝"/>
          <w:b w:val="0"/>
          <w:color w:val="000000"/>
          <w:sz w:val="18"/>
        </w:rPr>
        <w:t>5 考察</w:t>
        <w:tab/>
        <w:t>23</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23</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23</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24</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24</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24</w:t>
      </w:r>
    </w:p>
    <w:p>
      <w:pPr>
        <w:tabs>
          <w:tab w:pos="9581" w:val="right" w:leader="dot"/>
        </w:tabs>
        <w:spacing w:before="0" w:after="0" w:line="240" w:lineRule="auto"/>
        <w:ind w:left="0"/>
      </w:pPr>
      <w:r>
        <w:rPr>
          <w:rFonts w:ascii="Century" w:hAnsi="Century" w:cs="Century" w:eastAsia="MS 明朝"/>
          <w:b w:val="0"/>
          <w:color w:val="000000"/>
          <w:sz w:val="18"/>
        </w:rPr>
        <w:t>6 おわりに</w:t>
        <w:tab/>
        <w:t>26</w:t>
      </w:r>
    </w:p>
    <w:p>
      <w:pPr>
        <w:tabs>
          <w:tab w:pos="9581" w:val="right" w:leader="dot"/>
        </w:tabs>
        <w:spacing w:before="0" w:after="0" w:line="240" w:lineRule="auto"/>
        <w:ind w:left="227"/>
      </w:pPr>
      <w:r>
        <w:rPr>
          <w:rFonts w:ascii="Century" w:hAnsi="Century" w:cs="Century" w:eastAsia="MS 明朝"/>
          <w:b w:val="0"/>
          <w:color w:val="000000"/>
          <w:sz w:val="18"/>
        </w:rPr>
        <w:t>6.1 研究成果</w:t>
        <w:tab/>
        <w:t>26</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26</w:t>
      </w:r>
    </w:p>
    <w:p>
      <w:pPr>
        <w:tabs>
          <w:tab w:pos="9581" w:val="right" w:leader="dot"/>
        </w:tabs>
        <w:spacing w:before="0" w:after="0" w:line="240" w:lineRule="auto"/>
        <w:ind w:left="0"/>
      </w:pPr>
      <w:r>
        <w:rPr>
          <w:rFonts w:ascii="Century" w:hAnsi="Century" w:cs="Century" w:eastAsia="MS 明朝"/>
          <w:b w:val="0"/>
          <w:color w:val="000000"/>
          <w:sz w:val="18"/>
        </w:rPr>
        <w:t>7 参考文献</w:t>
        <w:tab/>
        <w:t>27</w:t>
      </w:r>
    </w:p>
    <w:p>
      <w:pPr>
        <w:tabs>
          <w:tab w:pos="9581" w:val="right" w:leader="dot"/>
        </w:tabs>
        <w:spacing w:before="0" w:after="0" w:line="240" w:lineRule="auto"/>
        <w:ind w:left="0"/>
      </w:pPr>
      <w:r>
        <w:rPr>
          <w:rFonts w:ascii="Century" w:hAnsi="Century" w:cs="Century" w:eastAsia="MS 明朝"/>
          <w:b w:val="0"/>
          <w:color w:val="000000"/>
          <w:sz w:val="18"/>
        </w:rPr>
        <w:t>8 付録</w:t>
        <w:tab/>
        <w:t>28</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28</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28</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29</w:t>
      </w:r>
    </w:p>
    <w:p>
      <w:pPr>
        <w:tabs>
          <w:tab w:pos="9581" w:val="right" w:leader="dot"/>
        </w:tabs>
        <w:spacing w:before="0" w:after="0" w:line="240" w:lineRule="auto"/>
        <w:ind w:left="454"/>
      </w:pPr>
      <w:r>
        <w:rPr>
          <w:rFonts w:ascii="Century" w:hAnsi="Century" w:cs="Century" w:eastAsia="MS 明朝"/>
          <w:b w:val="0"/>
          <w:color w:val="000000"/>
          <w:sz w:val="18"/>
        </w:rPr>
        <w:t>8.2.1 集計単位</w:t>
        <w:tab/>
        <w:t>29</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29</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29</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29</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30</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30</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30</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30</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30</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31</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31</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31</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32</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32</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32</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33</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33</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33</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34</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34</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第一の問いは，同じ初期失敗に対して修正介入R/F/Dと独立再生成B4がそれぞれどれだけ追加の生成によってL3に到達す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指標の読み方，実験プロンプトを付録として示す．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評価方式に基づく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は，選定した量子回路課題における介入の救済対象と追加計算コストを記述する実証研究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違いを踏まえ，本研究では外部情報の有無を比較条件として明示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同ベンチマークから抽出したものではなく，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各候補をL3で検査し，成功時に停止する対照である．候補の生成だけでなく，評価と停止も含む手順として比較す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ただし，生成回数の上限を揃えても，入力情報量や消費tokensは一致しない．</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6条件と共有初期コード</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6条件の方法，最大生成回数と役割を示す．モデル・タスク・seedの組を初期組と呼ぶ．Bは初期生成のみの条件である．R/F/DはBと同じ初期コードと判定を共有し，初期失敗に対して最大3回の修正を行う．成功した時点で停止し，以降の修正は行わない．R/F/D/B4の最大4回は，初回1回と最大3回の追加生成を意味する．B4もBの初期コードを共有する一方，PはBとは異なる初期コードを独立に生成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6条件の方法・最大生成回数・役割</w:t>
      </w:r>
    </w:p>
    <w:tbl>
      <w:tblPr>
        <w:tblW w:type="dxa" w:w="9071"/>
        <w:tblLayout w:type="fixed"/>
        <w:tblLook w:firstColumn="1" w:firstRow="1" w:lastColumn="0" w:lastRow="0" w:noHBand="0" w:noVBand="1" w:val="04A0"/>
      </w:tblPr>
      <w:tblGrid>
        <w:gridCol w:w="907"/>
        <w:gridCol w:w="2721"/>
        <w:gridCol w:w="1701"/>
        <w:gridCol w:w="374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72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方法</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最大生成回数</w:t>
            </w:r>
          </w:p>
        </w:tc>
        <w:tc>
          <w:tcPr>
            <w:tcW w:type="dxa" w:w="374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役割</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初回生成のみ</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基準条件</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2721"/>
            <w:tcBorders/>
          </w:tcPr>
          <w:p>
            <w:pPr>
              <w:keepNext/>
              <w:keepLines/>
              <w:spacing w:after="20" w:before="20" w:line="250" w:lineRule="exact"/>
              <w:jc w:val="left"/>
            </w:pPr>
            <w:r>
              <w:rPr>
                <w:rFonts w:ascii="Century" w:hAnsi="Century" w:cs="Century" w:eastAsia="MS 明朝"/>
                <w:b w:val="0"/>
                <w:color w:val="000000"/>
                <w:sz w:val="21"/>
              </w:rPr>
              <w:t>生成前注意事項付き生成</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生成前介入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自己見直し</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実行結果提示</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自己デバッグ</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独立再生成</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w:t>
            </w:r>
          </w:p>
        </w:tc>
        <w:tc>
          <w:tcPr>
            <w:tcW w:type="dxa" w:w="3742"/>
            <w:tcBorders>
              <w:bottom w:val="single" w:sz="4"/>
            </w:tcBorders>
          </w:tcPr>
          <w:p>
            <w:pPr>
              <w:keepNext w:val="0"/>
              <w:keepLines/>
              <w:spacing w:after="20" w:before="20" w:line="250" w:lineRule="exact"/>
              <w:jc w:val="left"/>
            </w:pPr>
            <w:r>
              <w:rPr>
                <w:rFonts w:ascii="Century" w:hAnsi="Century" w:cs="Century" w:eastAsia="MS 明朝"/>
                <w:b w:val="0"/>
                <w:color w:val="000000"/>
                <w:sz w:val="21"/>
              </w:rPr>
              <w:t>生成機会上限をそろえた対照条件</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R/F/Dによる修正で，初期L3未達から最終L3成功に変化した初期組を救済と呼ぶ．救済率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生成要求の回数と，保存された条件記録数は異な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を後続生成へ与える条件では，採点変更は最終判定だけでなく後続の要求にも影響する．</w:t>
      </w:r>
    </w:p>
    <w:p>
      <w:pPr>
        <w:widowControl/>
        <w:jc w:val="left"/>
      </w:pPr>
      <w:r>
        <w:rPr>
          <w:rFonts w:ascii="Century" w:hAnsi="Century" w:cs="Century" w:eastAsia="MS 明朝"/>
          <w:b w:val="0"/>
          <w:color w:val="000000"/>
          <w:sz w:val="21"/>
        </w:rPr>
        <w:t>本研究で分析する到達履歴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確認せずに異なる履歴の一部を接続すると，実際には到達できない経路を作るおそれ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分類ラベルだけでなく例外の由来を確認し，コード側の失敗として集計した．</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では，救済対象の不一致が生じた初期類型と，各履歴で変更されたコード領域を対応づける．意味的寄与を確かめるには，個別変更を分離した検証や，回路の作用に基づく別の分析が必要になる．静的確認だけでは，修正が成功に至る仕組みは特定でき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履歴の前半の記録値と，部分追試による後半の実測値を分け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公開集計には，実験ID，保存設定，記録の完備性，集計単位を記載する．本文では集計結果とその解釈，検証上の制約を示し，個別記録の由来はmanifestとCSVで追跡できるようにする．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と</w:t>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全1,000初期組に対するB・P・R・F・D・B4の最終L3成功率を示す．Bは初回生成のみの基準条件，Pは生成前注意事項を加えた独立生成である．R/F/DはBの初期失敗コードを修正し，B4はBの初期コードを共有したうえで，前回コードや診断を与えず再生成する．この比較は全対象で最終的にL3を満たした割合を示し，初期成功の保持も含む．</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6条件の最終L3成功率（全1,000初期組）</w:t>
      </w:r>
    </w:p>
    <w:tbl>
      <w:tblPr>
        <w:tblW w:type="dxa" w:w="9071"/>
        <w:tblLayout w:type="fixed"/>
        <w:tblLook w:firstColumn="1" w:firstRow="1" w:lastColumn="0" w:lastRow="0" w:noHBand="0" w:noVBand="1" w:val="04A0"/>
      </w:tblPr>
      <w:tblGrid>
        <w:gridCol w:w="1134"/>
        <w:gridCol w:w="2381"/>
        <w:gridCol w:w="2381"/>
        <w:gridCol w:w="3175"/>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L3成功数</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3175"/>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最終L3成功率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B</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455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45.5%</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P</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473</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47.3%</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551</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638</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1,000</w:t>
            </w:r>
          </w:p>
        </w:tc>
        <w:tc>
          <w:tcPr>
            <w:tcW w:type="dxa" w:w="3175"/>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493241"/>
            <wp:docPr id="2" name="Picture 2" descr="6条件の最終L3成功率（分母は全1,000初期組）"/>
            <wp:cNvGraphicFramePr>
              <a:graphicFrameLocks noChangeAspect="1"/>
            </wp:cNvGraphicFramePr>
            <a:graphic>
              <a:graphicData uri="http://schemas.openxmlformats.org/drawingml/2006/picture">
                <pic:pic>
                  <pic:nvPicPr>
                    <pic:cNvPr id="0" name="final_success_rates.png"/>
                    <pic:cNvPicPr/>
                  </pic:nvPicPr>
                  <pic:blipFill>
                    <a:blip r:embed="rId11"/>
                    <a:stretch>
                      <a:fillRect/>
                    </a:stretch>
                  </pic:blipFill>
                  <pic:spPr>
                    <a:xfrm>
                      <a:off x="0" y="0"/>
                      <a:ext cx="5760000" cy="3493241"/>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6条件の最終L3成功率（分母は全1,000初期組）</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Bは追加生成を行わず，Pは初期コードを共有しないため，初期失敗への追加成功率の比較には含めない．Pの独立生成による改善と悪化は4.7節で詳述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3" name="Picture 3"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2"/>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Dの救済数が多かった．全体でFが3組多いという結果は，すべてのモデルでFが多いことを意味しない．C7ではF/Dの救済件数が同じだが，成功した初期組が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全体の追加成功率が最も高い条件でも，各モデルで最も多く成功するとは限ら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数と失敗類型の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救済数の差は3組だが，片側のみ救済された対象は83組あった．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keepNext/>
        <w:keepLines/>
        <w:pageBreakBefore/>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Next/>
        <w:keepLines/>
        <w:widowControl/>
        <w:jc w:val="left"/>
      </w:pPr>
      <w:r>
        <w:rPr>
          <w:rFonts w:ascii="Century" w:hAnsi="Century" w:cs="Century" w:eastAsia="MS 明朝"/>
          <w:b w:val="0"/>
          <w:color w:val="000000"/>
          <w:sz w:val="21"/>
        </w:rPr>
        <w:t>修正前（Dの初期コードから抜粋）</w:t>
        <w:br/>
        <w:t>qc.inverse_qft(range(n_counting))</w:t>
      </w:r>
    </w:p>
    <w:p>
      <w:pPr>
        <w:keepNext/>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keepLines/>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説明するため，同一モデルから選んだ．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4" name="Picture 4"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3"/>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4" w:name="Figur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04"/>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同じ履歴を2回で打ち切る計算では，最終救済のうちF15.3%，D18.3%が失われる．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Bは初回生成のみの基準条件，Pは生成前介入による独立生成である．R/F/Dは初期失敗コードを修正し，B4は前回コード・診断を使わず独立再生成する．本対象ではFとDがRより多くを救済し，B4ではさらに多くの初期失敗事例が追加でL3を達成し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と最大生成機会を揃えても，投入情報，tokens，seed規則，実行時期は一致しない．成功率の差を介入の因果効果と解釈しない．本研究の到達点は対象集合内の成績と成功対象の範囲の記述であり，一般的なモデル順位や未知タスクでの最適介入は確定していない．</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に，</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と同じ初期失敗数を用いた介入カタログの抜粋を示す．初期失敗の多い3類型について，F/Dの救済率とB4の追加成功率を並べた．率は各条件の成功数を同じ類型の初期失敗数で割って算出し，条件間で初期対象を変えていない．他の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を参照する．</w:t>
      </w:r>
    </w:p>
    <w:p>
      <w:pPr>
        <w:keepNext/>
        <w:keepLines/>
        <w:widowControl/>
        <w:jc w:val="center"/>
      </w:pPr>
      <w:r>
        <w:rPr>
          <w:rFonts w:ascii="Century" w:hAnsi="Century" w:cs="Century" w:eastAsia="MS 明朝"/>
          <w:b w:val="0"/>
          <w:color w:val="000000"/>
          <w:sz w:val="21"/>
        </w:rPr>
        <w:t>表</w:t>
      </w:r>
      <w:bookmarkStart w:id="111" w:name="Table1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bookmarkEnd w:id="111"/>
      <w:r>
        <w:rPr>
          <w:rFonts w:ascii="Century" w:hAnsi="Century" w:cs="Century" w:eastAsia="MS 明朝"/>
          <w:b w:val="0"/>
          <w:color w:val="000000"/>
          <w:sz w:val="21"/>
        </w:rPr>
        <w:t xml:space="preserve"> 介入カタログの抜粋（主要3類型の観測率）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入力情報・要求数・seed・実行時期に差があり，診断提示の因果効果や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失敗した生成要求の消費も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import失敗と回路構築失敗ではFとDの救済数の関係が異なった．カタログでは，この観測を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の初期失敗数と救済数に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では，最良となる条件が異なり得る．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例への消費が大きくても，その対象を事前に識別できるとは限ら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の接続だけで，新しい方策の成績を確定することはできない．</w:t>
      </w:r>
    </w:p>
    <w:p>
      <w:pPr>
        <w:widowControl/>
        <w:jc w:val="left"/>
      </w:pPr>
      <w:r>
        <w:rPr>
          <w:rFonts w:ascii="Century" w:hAnsi="Century" w:cs="Century" w:eastAsia="MS 明朝"/>
          <w:b w:val="0"/>
          <w:color w:val="000000"/>
          <w:sz w:val="21"/>
        </w:rPr>
        <w:t>実運用で待機時間，tokens，成功数のどれを重視するかによっても，選択する条件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Pの注意事項には，量子ビット数と古典ビット数を一致させる指示が含まれる．一方，共通systemメッセージではbuild_circuit()内に測定操作を追加しないよう指示しており，課題によっては古典ビットを必要としない．両者は必ずしも論理矛盾ではないが，Pの一律の注意事項が課題仕様や共通指示と競合し，不要な古典ビットの追加を促す可能性がある．この指示が生成コードやPの成績に与える影響は分離して検証していない．したがって，Pの結果は付録8.3に示す注意事項の構成に依存する観測として扱い，予防的注意事項一般の有効性へは一般化しない．</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介入選択時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全1,000初期組の最終L3成功率はB45.5%，P47.3%，R55.1%，F63.8%，D63.5%，B4 67.2%であった．独立再生成B4は217組が追加成功し，F/Dだけが成功する対象も残った．この結果から，介入カタログには修正だけでなく独立再生成を含め，初期失敗の分母，入力情報，停止条件，失敗した生成要求の消費も含む追加計算コストを併記する必要がある．本研究では，介入選択方策を検証するための基礎資料として，観測された成功数，成功対象，追加計算コストとその適用範囲を整理した．</w:t>
      </w:r>
    </w:p>
    <w:p>
      <w:pPr>
        <w:pStyle w:val="Heading2"/>
      </w:pPr>
      <w:r>
        <w:t>今後の課題</w:t>
      </w:r>
    </w:p>
    <w:p>
      <w:pPr>
        <w:widowControl/>
        <w:jc w:val="left"/>
      </w:pPr>
      <w:r>
        <w:rPr>
          <w:rFonts w:ascii="Century" w:hAnsi="Century" w:cs="Century" w:eastAsia="MS 明朝"/>
          <w:b w:val="0"/>
          <w:color w:val="000000"/>
          <w:sz w:val="21"/>
        </w:rPr>
        <w:t>次の段階では，介入選択時や停止判断時に利用できる特徴に基づいて規則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今後は，未成功対象への消費も含む観測結果を基に選択方策を定め，別の対象で検証する必要があ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初期組はモデル×タスク×seedの1,000組，B/R/F/D/Pの条件記録は5,000記録，到達roundは9,249 roundである．B4の追加実験1,000組は別に集計する．単位を混ぜて成功率の分母にしない．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